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ras-20251231.htm"/>
      <w:bookmarkStart w:id="1" w:name="kseras2025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Arial" w:hAnsi="Arial"/>
          <w:b/>
          <w:color w:val="000000"/>
          <w:sz w:val="20"/>
        </w:rPr>
        <w:t>001-40602</w:t>
      </w:r>
      <w:r>
        <w:rPr>
          <w:rFonts w:ascii="Times New Roman" w:hAnsi="Times New Roman"/>
          <w:color w:val="000000"/>
          <w:sz w:val="20"/>
        </w:rPr>
        <w:t xml:space="preserve"> </w:t>
      </w:r>
    </w:p>
    <w:p>
      <w:pPr>
        <w:pStyle w:val="TextBody"/>
        <w:bidi w:val="0"/>
        <w:jc w:val="center"/>
        <w:rPr>
          <w:rFonts w:ascii="Times New Roman" w:hAnsi="Times New Roman"/>
          <w:b/>
          <w:color w:val="000000"/>
          <w:sz w:val="44"/>
        </w:rPr>
      </w:pPr>
      <w:r>
        <w:rPr>
          <w:rFonts w:ascii="Times New Roman" w:hAnsi="Times New Roman"/>
          <w:b/>
          <w:color w:val="000000"/>
          <w:sz w:val="44"/>
        </w:rPr>
        <w:t>ERASCA,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83-1217027</w:t>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9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3115 Merryfield Row, Suite 300</w:t>
            </w:r>
          </w:p>
          <w:p>
            <w:pPr>
              <w:pStyle w:val="TableContents"/>
              <w:bidi w:val="0"/>
              <w:spacing w:before="0" w:after="283"/>
              <w:jc w:val="center"/>
              <w:rPr>
                <w:rFonts w:ascii="Arial" w:hAnsi="Arial"/>
                <w:b/>
                <w:color w:val="000000"/>
                <w:sz w:val="20"/>
              </w:rPr>
            </w:pPr>
            <w:r>
              <w:rPr>
                <w:rFonts w:ascii="Arial" w:hAnsi="Arial"/>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Arial" w:hAnsi="Arial"/>
          <w:b/>
          <w:color w:val="000000"/>
          <w:sz w:val="20"/>
        </w:rPr>
        <w:t>(858) 465-6511</w:t>
      </w:r>
    </w:p>
    <w:p>
      <w:pPr>
        <w:pStyle w:val="TextBody"/>
        <w:bidi w:val="0"/>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tbl>
      <w:tblPr>
        <w:tblW w:w="8126" w:type="dxa"/>
        <w:jc w:val="left"/>
        <w:tblInd w:w="0" w:type="dxa"/>
        <w:tblLayout w:type="fixed"/>
        <w:tblCellMar>
          <w:top w:w="28" w:type="dxa"/>
          <w:left w:w="28" w:type="dxa"/>
          <w:bottom w:w="28" w:type="dxa"/>
          <w:right w:w="28" w:type="dxa"/>
        </w:tblCellMar>
      </w:tblPr>
      <w:tblGrid>
        <w:gridCol w:w="3766"/>
        <w:gridCol w:w="109"/>
        <w:gridCol w:w="826"/>
        <w:gridCol w:w="109"/>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ERAS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Arial" w:hAnsi="Arial"/>
                <w:color w:val="000000"/>
                <w:sz w:val="18"/>
              </w:rPr>
              <w:t>Nasdaq Global Select Market</w:t>
            </w:r>
            <w:r>
              <w:rPr>
                <w:rFonts w:ascii="Times New Roman" w:hAnsi="Times New Roman"/>
                <w:color w:val="000000"/>
                <w:sz w:val="17"/>
              </w:rPr>
              <w:t xml:space="preserve"> </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YES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01" w:type="dxa"/>
        <w:jc w:val="left"/>
        <w:tblInd w:w="0" w:type="dxa"/>
        <w:tblLayout w:type="fixed"/>
        <w:tblCellMar>
          <w:top w:w="28" w:type="dxa"/>
          <w:left w:w="28" w:type="dxa"/>
          <w:bottom w:w="28" w:type="dxa"/>
          <w:right w:w="28" w:type="dxa"/>
        </w:tblCellMar>
      </w:tblPr>
      <w:tblGrid>
        <w:gridCol w:w="1756"/>
        <w:gridCol w:w="109"/>
        <w:gridCol w:w="316"/>
        <w:gridCol w:w="109"/>
        <w:gridCol w:w="1741"/>
        <w:gridCol w:w="109"/>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231F20"/>
          <w:sz w:val="20"/>
        </w:rPr>
        <w:t xml:space="preserve">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Registrant's common stock held by non-affiliates of the Registrant was</w:t>
      </w:r>
      <w:r>
        <w:rPr>
          <w:rFonts w:ascii="Times New Roman" w:hAnsi="Times New Roman"/>
          <w:color w:val="000000"/>
          <w:sz w:val="20"/>
        </w:rPr>
        <w:t xml:space="preserve"> </w:t>
      </w:r>
      <w:r>
        <w:rPr>
          <w:rFonts w:ascii="Times New Roman" w:hAnsi="Times New Roman"/>
          <w:color w:val="000000"/>
          <w:sz w:val="15"/>
        </w:rPr>
        <w:t>approximately $316.4</w:t>
      </w:r>
      <w:r>
        <w:rPr>
          <w:rFonts w:ascii="Times New Roman" w:hAnsi="Times New Roman"/>
          <w:color w:val="000000"/>
          <w:sz w:val="20"/>
        </w:rPr>
        <w:t xml:space="preserve"> </w:t>
      </w:r>
      <w:r>
        <w:rPr>
          <w:rFonts w:ascii="Times New Roman" w:hAnsi="Times New Roman"/>
          <w:color w:val="000000"/>
          <w:sz w:val="15"/>
        </w:rPr>
        <w:t>million based on the closing price of the Registrant's common stock as reported on the Nasdaq Global Select Market of $1.27 per share on June 30, 2025, the last business day of the Registrant's most recently completed second quarter.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pStyle w:val="TextBody"/>
        <w:bidi w:val="0"/>
        <w:spacing w:before="60" w:after="283"/>
        <w:jc w:val="left"/>
        <w:rPr>
          <w:rFonts w:ascii="Times New Roman" w:hAnsi="Times New Roman"/>
          <w:sz w:val="20"/>
        </w:rPr>
      </w:pPr>
      <w:r>
        <w:rPr>
          <w:rFonts w:ascii="Times New Roman" w:hAnsi="Times New Roman"/>
          <w:color w:val="000000"/>
          <w:sz w:val="15"/>
        </w:rPr>
        <w:t>The number of shares of Registrant’s Common Stock outstanding as of March 5, 2026 was 310,799,547.</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Certain sections of the Registrant’s definitive proxy statement for the 2026 annual meeting of stockholders to be filed with the Securities and Exchange Commission pursuant to Regulation 14A not later than 120 days after the end of the fiscal year covered by this Form 10-K are incorporated by reference into Part III of this Form 10-K.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66"/>
        <w:gridCol w:w="8722"/>
        <w:gridCol w:w="617"/>
      </w:tblGrid>
      <w:tr>
        <w:trPr/>
        <w:tc>
          <w:tcPr>
            <w:tcW w:w="866" w:type="dxa"/>
            <w:tcBorders/>
            <w:vAlign w:val="center"/>
          </w:tcPr>
          <w:p>
            <w:pPr>
              <w:pStyle w:val="TableContents"/>
              <w:bidi w:val="0"/>
              <w:spacing w:before="0" w:after="283"/>
              <w:jc w:val="left"/>
              <w:rPr>
                <w:sz w:val="4"/>
                <w:szCs w:val="4"/>
              </w:rPr>
            </w:pPr>
            <w:r>
              <w:rPr>
                <w:sz w:val="4"/>
                <w:szCs w:val="4"/>
              </w:rPr>
            </w:r>
          </w:p>
        </w:tc>
        <w:tc>
          <w:tcPr>
            <w:tcW w:w="87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
              <w:r>
                <w:rPr>
                  <w:rStyle w:val="InternetLink"/>
                  <w:rFonts w:ascii="Arial" w:hAnsi="Arial"/>
                  <w:b/>
                  <w:color w:val="0000FF"/>
                  <w:sz w:val="20"/>
                  <w:u w:val="single"/>
                </w:rPr>
                <w:t>PART I</w:t>
              </w:r>
            </w:hyperlink>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usiness_">
              <w:r>
                <w:rPr>
                  <w:rStyle w:val="InternetLink"/>
                  <w:rFonts w:ascii="Arial" w:hAnsi="Arial"/>
                  <w:color w:val="0000FF"/>
                  <w:sz w:val="20"/>
                  <w:u w:val="single"/>
                </w:rPr>
                <w:t>Business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
              <w:r>
                <w:rPr>
                  <w:rStyle w:val="InternetLink"/>
                  <w:rFonts w:ascii="Arial" w:hAnsi="Arial"/>
                  <w:color w:val="0000FF"/>
                  <w:sz w:val="20"/>
                  <w:u w:val="single"/>
                </w:rPr>
                <w:t>Risk Factors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1B.</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_">
              <w:r>
                <w:rPr>
                  <w:rStyle w:val="InternetLink"/>
                  <w:rFonts w:ascii="Arial" w:hAnsi="Arial"/>
                  <w:color w:val="0000FF"/>
                  <w:sz w:val="20"/>
                  <w:u w:val="single"/>
                </w:rPr>
                <w:t>Unresolved Staff Comments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1C.</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_">
              <w:r>
                <w:rPr>
                  <w:rStyle w:val="InternetLink"/>
                  <w:rFonts w:ascii="Arial" w:hAnsi="Arial"/>
                  <w:color w:val="0000FF"/>
                  <w:sz w:val="20"/>
                  <w:u w:val="single"/>
                </w:rPr>
                <w:t>Cybersecurity</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erties_">
              <w:r>
                <w:rPr>
                  <w:rStyle w:val="InternetLink"/>
                  <w:rFonts w:ascii="Arial" w:hAnsi="Arial"/>
                  <w:color w:val="0000FF"/>
                  <w:sz w:val="20"/>
                  <w:u w:val="single"/>
                </w:rPr>
                <w:t>Properties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_">
              <w:r>
                <w:rPr>
                  <w:rStyle w:val="InternetLink"/>
                  <w:rFonts w:ascii="Arial" w:hAnsi="Arial"/>
                  <w:color w:val="0000FF"/>
                  <w:sz w:val="20"/>
                  <w:u w:val="single"/>
                </w:rPr>
                <w:t>Legal Proceedings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_">
              <w:r>
                <w:rPr>
                  <w:rStyle w:val="InternetLink"/>
                  <w:rFonts w:ascii="Arial" w:hAnsi="Arial"/>
                  <w:color w:val="0000FF"/>
                  <w:sz w:val="20"/>
                  <w:u w:val="single"/>
                </w:rPr>
                <w:t>Mine Safety Disclosures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
              <w:r>
                <w:rPr>
                  <w:rStyle w:val="InternetLink"/>
                  <w:rFonts w:ascii="Arial" w:hAnsi="Arial"/>
                  <w:b/>
                  <w:color w:val="0000FF"/>
                  <w:sz w:val="20"/>
                  <w:u w:val="single"/>
                </w:rPr>
                <w:t>PART II</w:t>
              </w:r>
            </w:hyperlink>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for_registrant_common_equity_">
              <w:r>
                <w:rPr>
                  <w:rStyle w:val="InternetLink"/>
                  <w:rFonts w:ascii="Arial" w:hAnsi="Arial"/>
                  <w:color w:val="0000FF"/>
                  <w:sz w:val="20"/>
                  <w:u w:val="single"/>
                </w:rPr>
                <w:t>Market for Registrant’s Common Equity, Related Stockholder Matters and Issuer Purchases of Equity Securities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_">
              <w:r>
                <w:rPr>
                  <w:rStyle w:val="InternetLink"/>
                  <w:rFonts w:ascii="Arial" w:hAnsi="Arial"/>
                  <w:color w:val="0000FF"/>
                  <w:sz w:val="20"/>
                  <w:u w:val="single"/>
                </w:rPr>
                <w:t>[Reserved]</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d_analysis_">
              <w:r>
                <w:rPr>
                  <w:rStyle w:val="InternetLink"/>
                  <w:rFonts w:ascii="Arial" w:hAnsi="Arial"/>
                  <w:color w:val="0000FF"/>
                  <w:sz w:val="20"/>
                  <w:u w:val="single"/>
                </w:rPr>
                <w:t>Management’s Discussion and Analysis of Financial Condition and Results of Operations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7A.</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
              <w:r>
                <w:rPr>
                  <w:rStyle w:val="InternetLink"/>
                  <w:rFonts w:ascii="Arial" w:hAnsi="Arial"/>
                  <w:color w:val="0000FF"/>
                  <w:sz w:val="20"/>
                  <w:u w:val="single"/>
                </w:rPr>
                <w:t>Quantitative and Qualitative Disclosures About Market Risk</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8.</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mt_and_supplementary_data_">
              <w:r>
                <w:rPr>
                  <w:rStyle w:val="InternetLink"/>
                  <w:rFonts w:ascii="Arial" w:hAnsi="Arial"/>
                  <w:color w:val="0000FF"/>
                  <w:sz w:val="20"/>
                  <w:u w:val="single"/>
                </w:rPr>
                <w:t>Financial Statements and Supplementary Data</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in_and_disagreements_">
              <w:r>
                <w:rPr>
                  <w:rStyle w:val="InternetLink"/>
                  <w:rFonts w:ascii="Arial" w:hAnsi="Arial"/>
                  <w:color w:val="0000FF"/>
                  <w:sz w:val="20"/>
                  <w:u w:val="single"/>
                </w:rPr>
                <w:t>Changes in and Disagreements with Accountants on Accounting and Financial Disclosure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9A.</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_">
              <w:r>
                <w:rPr>
                  <w:rStyle w:val="InternetLink"/>
                  <w:rFonts w:ascii="Arial" w:hAnsi="Arial"/>
                  <w:color w:val="0000FF"/>
                  <w:sz w:val="20"/>
                  <w:u w:val="single"/>
                </w:rPr>
                <w:t>Controls and Procedures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9B.</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Arial" w:hAnsi="Arial"/>
                  <w:color w:val="0000FF"/>
                  <w:sz w:val="20"/>
                  <w:u w:val="single"/>
                </w:rPr>
                <w:t>Other Information</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9C.</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Arial" w:hAnsi="Arial"/>
                  <w:color w:val="0000FF"/>
                  <w:sz w:val="20"/>
                  <w:u w:val="single"/>
                </w:rPr>
                <w:t>Disclosure Regarding Foreign Jurisdictions that Prevent Inspections</w:t>
              </w:r>
            </w:hyperlink>
            <w:r>
              <w:rPr>
                <w:rFonts w:ascii="Times New Roman" w:hAnsi="Times New Roman"/>
                <w:color w:val="000000"/>
                <w:sz w:val="20"/>
              </w:rPr>
              <w:t xml:space="preserve">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Arial" w:hAnsi="Arial"/>
                  <w:b/>
                  <w:color w:val="0000FF"/>
                  <w:sz w:val="20"/>
                  <w:u w:val="single"/>
                </w:rPr>
                <w:t>PART III</w:t>
              </w:r>
            </w:hyperlink>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10.</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ectors_executive_officers_">
              <w:r>
                <w:rPr>
                  <w:rStyle w:val="InternetLink"/>
                  <w:rFonts w:ascii="Arial" w:hAnsi="Arial"/>
                  <w:color w:val="0000FF"/>
                  <w:sz w:val="20"/>
                  <w:u w:val="single"/>
                </w:rPr>
                <w:t>Directors, Executive Officers and Corporate Governance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11.</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_">
              <w:r>
                <w:rPr>
                  <w:rStyle w:val="InternetLink"/>
                  <w:rFonts w:ascii="Arial" w:hAnsi="Arial"/>
                  <w:color w:val="0000FF"/>
                  <w:sz w:val="20"/>
                  <w:u w:val="single"/>
                </w:rPr>
                <w:t>Executive Compensation</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12.</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_certain_beneficial_owner_">
              <w:r>
                <w:rPr>
                  <w:rStyle w:val="InternetLink"/>
                  <w:rFonts w:ascii="Arial" w:hAnsi="Arial"/>
                  <w:color w:val="0000FF"/>
                  <w:sz w:val="20"/>
                  <w:u w:val="single"/>
                </w:rPr>
                <w:t>Security Ownership of Certain Beneficial Owners and Management and Related Stockholder Matters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13.</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ertain_relationship_related_trans_">
              <w:r>
                <w:rPr>
                  <w:rStyle w:val="InternetLink"/>
                  <w:rFonts w:ascii="Arial" w:hAnsi="Arial"/>
                  <w:color w:val="0000FF"/>
                  <w:sz w:val="20"/>
                  <w:u w:val="single"/>
                </w:rPr>
                <w:t>Certain Relationships and Related Transactions, and Director Independence</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14.</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incipal_account_fees_and_services_">
              <w:r>
                <w:rPr>
                  <w:rStyle w:val="InternetLink"/>
                  <w:rFonts w:ascii="Arial" w:hAnsi="Arial"/>
                  <w:color w:val="0000FF"/>
                  <w:sz w:val="20"/>
                  <w:u w:val="single"/>
                </w:rPr>
                <w:t>Principal Accountant Fees and Services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
              <w:r>
                <w:rPr>
                  <w:rStyle w:val="InternetLink"/>
                  <w:rFonts w:ascii="Arial" w:hAnsi="Arial"/>
                  <w:b/>
                  <w:color w:val="0000FF"/>
                  <w:sz w:val="20"/>
                  <w:u w:val="single"/>
                </w:rPr>
                <w:t>PART IV</w:t>
              </w:r>
            </w:hyperlink>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15.</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_financial_statement_schedules_">
              <w:r>
                <w:rPr>
                  <w:rStyle w:val="InternetLink"/>
                  <w:rFonts w:ascii="Arial" w:hAnsi="Arial"/>
                  <w:color w:val="0000FF"/>
                  <w:sz w:val="20"/>
                  <w:u w:val="single"/>
                </w:rPr>
                <w:t>Exhibits, Financial Statement Schedules</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r>
        <w:trPr/>
        <w:tc>
          <w:tcPr>
            <w:tcW w:w="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16</w:t>
            </w:r>
          </w:p>
        </w:tc>
        <w:tc>
          <w:tcPr>
            <w:tcW w:w="87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m_10_summary_">
              <w:r>
                <w:rPr>
                  <w:rStyle w:val="InternetLink"/>
                  <w:rFonts w:ascii="Arial" w:hAnsi="Arial"/>
                  <w:color w:val="0000FF"/>
                  <w:sz w:val="20"/>
                  <w:u w:val="single"/>
                </w:rPr>
                <w:t>Form 10-K Summary</w:t>
              </w:r>
            </w:hyperlink>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r>
    </w:tbl>
    <w:p>
      <w:pPr>
        <w:pStyle w:val="TextBody"/>
        <w:bidi w:val="0"/>
        <w:spacing w:before="240" w:after="283"/>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part_i_"/>
      <w:bookmarkEnd w:id="2"/>
      <w:r>
        <w:rPr>
          <w:rFonts w:ascii="Arial" w:hAnsi="Arial"/>
          <w:b/>
          <w:color w:val="000000"/>
          <w:sz w:val="20"/>
        </w:rPr>
        <w:t>PART I</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Forward-Looking Statements and Market Data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Annual Report on Form 10-K contains forward-looking statements within the meaning of Section 21E of the Securities Exchange Act of 1934, as amended (the Exchange Act), and Section 27A of the Securities Act of 1933, as amended (the Securities Act). All statements other than statements of historical facts contained in this Annual Report on Form 10-K,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pricing and reimbursement of our product candidates, if approved, the impact of global geopolitical and economic events and war on our business,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Annual Report on Form 10-K includes our trademarks as well as trademarks, tradenames and service marks that are the property of other organizations. Solely for convenience, trademarks and tradenames referred to in this Annual Report on Form 10-K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maintain a website at www.erasca.com, to which we regularly post copies of our press releases as well as additional</w:t>
      </w:r>
    </w:p>
    <w:p>
      <w:pPr>
        <w:pStyle w:val="TextBody"/>
        <w:bidi w:val="0"/>
        <w:jc w:val="left"/>
        <w:rPr>
          <w:rFonts w:ascii="Arial" w:hAnsi="Arial"/>
          <w:color w:val="000000"/>
          <w:sz w:val="20"/>
        </w:rPr>
      </w:pPr>
      <w:r>
        <w:rPr>
          <w:rFonts w:ascii="Arial" w:hAnsi="Arial"/>
          <w:color w:val="000000"/>
          <w:sz w:val="20"/>
        </w:rPr>
        <w:t>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pStyle w:val="TextBody"/>
        <w:bidi w:val="0"/>
        <w:spacing w:before="360" w:after="283"/>
        <w:jc w:val="left"/>
        <w:rPr>
          <w:rFonts w:ascii="Arial" w:hAnsi="Arial"/>
          <w:b/>
          <w:color w:val="000000"/>
          <w:sz w:val="20"/>
        </w:rPr>
      </w:pPr>
      <w:r>
        <w:rPr>
          <w:rFonts w:ascii="Arial" w:hAnsi="Arial"/>
          <w:b/>
          <w:color w:val="000000"/>
          <w:sz w:val="20"/>
        </w:rPr>
        <w:t>Risk Factor Summary</w:t>
      </w:r>
    </w:p>
    <w:p>
      <w:pPr>
        <w:pStyle w:val="TextBody"/>
        <w:bidi w:val="0"/>
        <w:jc w:val="left"/>
        <w:rPr>
          <w:rFonts w:ascii="Arial" w:hAnsi="Arial"/>
          <w:i/>
          <w:color w:val="000000"/>
          <w:sz w:val="20"/>
        </w:rPr>
      </w:pPr>
      <w:r>
        <w:rPr>
          <w:rFonts w:ascii="Arial" w:hAnsi="Arial"/>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Item 1A of Part I of this Annual Report on Form 10-K, and should be carefully considered, together with other information in this Annual Report on Form 10-K and our other filings with the SEC before making investment decisions regarding our common stock.</w:t>
      </w:r>
    </w:p>
    <w:p>
      <w:pPr>
        <w:pStyle w:val="TextBody"/>
        <w:bidi w:val="0"/>
        <w:spacing w:before="20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are unable to successfully develop and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approach to the discovery and development of product candidates is unproven, and we do not know whether we will be able to develop any products of commercial value, or if competing approaches will limit the commercial value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and preclinical development involves a lengthy and expensive process with an uncertain outcome, and the results of preclinical studies and early clinical trials are not necessarily predictive of future results. Our product candidates may not have favorable results in clinical trials, if any, or receive regulatory approval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difficulties or delays in the commencement or completion, or termination or suspension, of our current or future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rely on third parties to conduct many of our preclinical studies and clinical trials and to manufacture our product candidates, and these third parties may not perform satisfactorily.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face significant competition from entities that have developed or may develop product candidates for cancer, including companies developing novel treatments and technology platforms. If our competitors develop technologies or product candidates more rapidly than we do or their technologies are more effective, our business and our ability to develop and successfully commercialize products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trading price of the shares of our common stock has been, and is likely to continue to be highly volatile, and purchasers of our common stock could incur substantial losses.</w:t>
      </w:r>
    </w:p>
    <w:p>
      <w:pPr>
        <w:pStyle w:val="TextBody"/>
        <w:bidi w:val="0"/>
        <w:spacing w:before="20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3" w:name="business_"/>
      <w:bookmarkEnd w:id="3"/>
      <w:r>
        <w:rPr>
          <w:rFonts w:ascii="Arial" w:hAnsi="Arial"/>
          <w:b/>
          <w:color w:val="000000"/>
          <w:sz w:val="20"/>
        </w:rPr>
        <w:t>Item 1. Business.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Overview</w:t>
      </w:r>
    </w:p>
    <w:p>
      <w:pPr>
        <w:pStyle w:val="TextBody"/>
        <w:bidi w:val="0"/>
        <w:jc w:val="left"/>
        <w:rPr>
          <w:rFonts w:ascii="Times New Roman" w:hAnsi="Times New Roman"/>
          <w:sz w:val="20"/>
        </w:rPr>
      </w:pPr>
      <w:r>
        <w:rPr>
          <w:rFonts w:ascii="Arial" w:hAnsi="Arial"/>
          <w:color w:val="000000"/>
          <w:sz w:val="20"/>
        </w:rPr>
        <w:t xml:space="preserve">At Erasca, our name is our mission: to </w:t>
      </w:r>
      <w:r>
        <w:rPr>
          <w:rFonts w:ascii="Arial" w:hAnsi="Arial"/>
          <w:color w:val="000000"/>
          <w:sz w:val="20"/>
          <w:u w:val="single"/>
        </w:rPr>
        <w:t>eras</w:t>
      </w:r>
      <w:r>
        <w:rPr>
          <w:rFonts w:ascii="Arial" w:hAnsi="Arial"/>
          <w:color w:val="000000"/>
          <w:sz w:val="20"/>
        </w:rPr>
        <w:t xml:space="preserve">e </w:t>
      </w:r>
      <w:r>
        <w:rPr>
          <w:rFonts w:ascii="Arial" w:hAnsi="Arial"/>
          <w:color w:val="000000"/>
          <w:sz w:val="20"/>
          <w:u w:val="single"/>
        </w:rPr>
        <w:t>ca</w:t>
      </w:r>
      <w:r>
        <w:rPr>
          <w:rFonts w:ascii="Arial" w:hAnsi="Arial"/>
          <w:color w:val="000000"/>
          <w:sz w:val="20"/>
        </w:rPr>
        <w:t>ncer.</w:t>
      </w:r>
    </w:p>
    <w:p>
      <w:pPr>
        <w:pStyle w:val="TextBody"/>
        <w:bidi w:val="0"/>
        <w:jc w:val="left"/>
        <w:rPr>
          <w:rFonts w:ascii="Arial" w:hAnsi="Arial"/>
          <w:color w:val="000000"/>
          <w:sz w:val="20"/>
        </w:rPr>
      </w:pPr>
      <w:r>
        <w:rPr>
          <w:rFonts w:ascii="Arial" w:hAnsi="Arial"/>
          <w:color w:val="000000"/>
          <w:sz w:val="20"/>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 Our pipeline enables us to pursue a systematic, data-driven, portfolio-wide clinical development effort to identify therapeutic approaches with the goal of prolonging survival in numerous patient populations with high unmet medical needs.</w:t>
      </w:r>
    </w:p>
    <w:p>
      <w:pPr>
        <w:pStyle w:val="TextBody"/>
        <w:bidi w:val="0"/>
        <w:jc w:val="left"/>
        <w:rPr>
          <w:rFonts w:ascii="Arial" w:hAnsi="Arial"/>
          <w:color w:val="000000"/>
          <w:sz w:val="20"/>
        </w:rPr>
      </w:pPr>
      <w:r>
        <w:rPr>
          <w:rFonts w:ascii="Arial" w:hAnsi="Arial"/>
          <w:color w:val="000000"/>
          <w:sz w:val="20"/>
        </w:rPr>
        <w:t>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(SAB), which includes the world’s leading experts in the RAS/MAPK pathway, uniquely position us to achieve our bold mission of erasing cancer.</w:t>
      </w:r>
    </w:p>
    <w:p>
      <w:pPr>
        <w:pStyle w:val="TextBody"/>
        <w:bidi w:val="0"/>
        <w:jc w:val="left"/>
        <w:rPr>
          <w:rFonts w:ascii="Arial" w:hAnsi="Arial"/>
          <w:color w:val="000000"/>
          <w:sz w:val="20"/>
        </w:rPr>
      </w:pPr>
      <w:r>
        <w:rPr>
          <w:rFonts w:ascii="Arial" w:hAnsi="Arial"/>
          <w:color w:val="000000"/>
          <w:sz w:val="20"/>
        </w:rPr>
        <w:t>Of the more than five million new patients diagnosed globally per year with cancers driven by RAS/MAPK pathway molecular alterations, most have limited or no targeted therapy treatment options. While the RAS/MAPK pathway has been well characterized and validated based on multiple compounds approved or in development targeting discrete signaling nodes in the cascade, most of these compounds face resistance and tolerability challenges, highlighting the need for new approaches to target this pathway. We believe that to effectively shut down a pathway that signals as promiscuously as RAS/MAPK, a holistic approach must be taken to target not just individual nodes, but multiple nodes and cooperative mechanisms in parallel. As depicted in the following figure and described below, we are pursuing three therapeutic strategies that may be used in combination with the goal of comprehensively, and perhaps synergistically, shutting down the RAS/MAPK pathway.</w:t>
      </w:r>
    </w:p>
    <w:p>
      <w:pPr>
        <w:pStyle w:val="TextBody"/>
        <w:bidi w:val="0"/>
        <w:jc w:val="center"/>
        <w:rPr/>
      </w:pPr>
      <w:r>
        <w:rPr/>
        <w:t> </w:t>
      </w:r>
    </w:p>
    <w:p>
      <w:pPr>
        <w:pStyle w:val="TextBody"/>
        <w:bidi w:val="0"/>
        <w:jc w:val="center"/>
        <w:rPr/>
      </w:pPr>
      <w:r>
        <w:rPr/>
        <w:drawing>
          <wp:inline distT="0" distB="0" distL="0" distR="0">
            <wp:extent cx="4305300" cy="332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05300" cy="3324225"/>
                    </a:xfrm>
                    <a:prstGeom prst="rect">
                      <a:avLst/>
                    </a:prstGeom>
                  </pic:spPr>
                </pic:pic>
              </a:graphicData>
            </a:graphic>
          </wp:inline>
        </w:drawing>
      </w:r>
    </w:p>
    <w:p>
      <w:pPr>
        <w:pStyle w:val="TextBody"/>
        <w:bidi w:val="0"/>
        <w:jc w:val="center"/>
        <w:rPr/>
      </w:pPr>
      <w:r>
        <w:rPr/>
        <w:t> </w:t>
      </w:r>
    </w:p>
    <w:p>
      <w:pPr>
        <w:pStyle w:val="TextBody"/>
        <w:bidi w:val="0"/>
        <w:spacing w:before="20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i/>
          <w:color w:val="000000"/>
          <w:sz w:val="20"/>
        </w:rPr>
      </w:pPr>
      <w:r>
        <w:rPr>
          <w:rFonts w:ascii="Arial" w:hAnsi="Arial"/>
          <w:b/>
          <w:i/>
          <w:color w:val="000000"/>
          <w:sz w:val="20"/>
        </w:rPr>
        <w:t>1.</w:t>
      </w:r>
    </w:p>
    <w:p>
      <w:pPr>
        <w:pStyle w:val="TextBody"/>
        <w:bidi w:val="0"/>
        <w:jc w:val="left"/>
        <w:rPr/>
      </w:pPr>
      <w:r>
        <w:rPr>
          <w:rFonts w:ascii="Arial" w:hAnsi="Arial"/>
          <w:b/>
          <w:i/>
          <w:color w:val="000000"/>
          <w:sz w:val="20"/>
        </w:rPr>
        <w:t>Target upstream and downstream MAPK pathway nodes with single agents and combinations intended to clamp these oncogenic drivers.</w:t>
      </w:r>
      <w:r>
        <w:rPr>
          <w:color w:val="000000"/>
        </w:rPr>
        <w:t xml:space="preserve"> </w:t>
      </w:r>
      <w:r>
        <w:rPr>
          <w:rFonts w:ascii="Arial" w:hAnsi="Arial"/>
          <w:color w:val="000000"/>
          <w:sz w:val="20"/>
        </w:rPr>
        <w:t>We are evaluating drug combinations targeting upstream and downstream</w:t>
      </w:r>
      <w:r>
        <w:rPr>
          <w:color w:val="000000"/>
        </w:rPr>
        <w:t xml:space="preserve"> </w:t>
      </w:r>
      <w:r>
        <w:rPr>
          <w:rFonts w:ascii="Arial" w:hAnsi="Arial"/>
          <w:color w:val="000000"/>
          <w:sz w:val="20"/>
        </w:rPr>
        <w:t xml:space="preserve">nodes to shut down, or “clamp,” the signaling of various oncogenic drivers, such as receptor tyrosine kinases (RTKs), NF1, RAS, RAF, and MEK alterations, trapped between the inhibited nodes. For example, we are exploring ERAS-0015 in combination with an anti-EGFR monoclonal antibody for the treatment of patients with metastatic colorectal cancer. </w:t>
      </w:r>
    </w:p>
    <w:p>
      <w:pPr>
        <w:pStyle w:val="TextBody"/>
        <w:bidi w:val="0"/>
        <w:spacing w:before="0" w:after="0"/>
        <w:jc w:val="left"/>
        <w:rPr>
          <w:rFonts w:ascii="Arial" w:hAnsi="Arial"/>
          <w:b/>
          <w:i/>
          <w:color w:val="000000"/>
          <w:sz w:val="20"/>
        </w:rPr>
      </w:pPr>
      <w:r>
        <w:rPr>
          <w:rFonts w:ascii="Arial" w:hAnsi="Arial"/>
          <w:b/>
          <w:i/>
          <w:color w:val="000000"/>
          <w:sz w:val="20"/>
        </w:rPr>
        <w:t>2.</w:t>
      </w:r>
    </w:p>
    <w:p>
      <w:pPr>
        <w:pStyle w:val="TextBody"/>
        <w:bidi w:val="0"/>
        <w:jc w:val="left"/>
        <w:rPr/>
      </w:pPr>
      <w:r>
        <w:rPr>
          <w:rFonts w:ascii="Arial" w:hAnsi="Arial"/>
          <w:b/>
          <w:i/>
          <w:color w:val="000000"/>
          <w:sz w:val="20"/>
        </w:rPr>
        <w:t xml:space="preserve">Target RAS, the midstream MAPK pathway node, directly with single agents and combinations. </w:t>
      </w:r>
      <w:r>
        <w:rPr>
          <w:rFonts w:ascii="Arial" w:hAnsi="Arial"/>
          <w:color w:val="000000"/>
          <w:sz w:val="20"/>
        </w:rPr>
        <w:t>Our RAS-targeting franchise, ERAS-0015 and ERAS-4001, consists of molecules that are designed to potently and selectively bind to oncogenic RAS alterations (e.g., G12X, G13X +/- Q61X) and to block activation of wildtype RAS isoforms that mediate tumor resistance. These molecules are designed to prevent RAS-mediated signaling either by preventing RAS from binding to downstream effector proteins by forming a RAS-Cyclophilin A protein complex (as in the case of ERAS-0015) or by locking KRAS in the inactive GDP-bound state (as in the case of ERAS-4001).</w:t>
      </w:r>
    </w:p>
    <w:p>
      <w:pPr>
        <w:pStyle w:val="TextBody"/>
        <w:bidi w:val="0"/>
        <w:jc w:val="left"/>
        <w:rPr/>
      </w:pPr>
      <w:r>
        <w:rPr/>
        <w:t> </w:t>
      </w:r>
    </w:p>
    <w:p>
      <w:pPr>
        <w:pStyle w:val="TextBody"/>
        <w:bidi w:val="0"/>
        <w:spacing w:before="0" w:after="0"/>
        <w:jc w:val="left"/>
        <w:rPr>
          <w:rFonts w:ascii="Arial" w:hAnsi="Arial"/>
          <w:b/>
          <w:i/>
          <w:color w:val="000000"/>
          <w:sz w:val="20"/>
        </w:rPr>
      </w:pPr>
      <w:r>
        <w:rPr>
          <w:rFonts w:ascii="Arial" w:hAnsi="Arial"/>
          <w:b/>
          <w:i/>
          <w:color w:val="000000"/>
          <w:sz w:val="20"/>
        </w:rPr>
        <w:t>3.</w:t>
      </w:r>
    </w:p>
    <w:p>
      <w:pPr>
        <w:pStyle w:val="TextBody"/>
        <w:bidi w:val="0"/>
        <w:jc w:val="left"/>
        <w:rPr/>
      </w:pPr>
      <w:r>
        <w:rPr>
          <w:rFonts w:ascii="Arial" w:hAnsi="Arial"/>
          <w:b/>
          <w:i/>
          <w:color w:val="000000"/>
          <w:sz w:val="20"/>
        </w:rPr>
        <w:t xml:space="preserve">Target escape routes enabled by other proteins or pathways to further disrupt RAS/MAPK pathway signaling. </w:t>
      </w:r>
      <w:r>
        <w:rPr>
          <w:rFonts w:ascii="Arial" w:hAnsi="Arial"/>
          <w:color w:val="000000"/>
          <w:sz w:val="20"/>
        </w:rPr>
        <w:t>RAS-driven</w:t>
      </w:r>
      <w:r>
        <w:rPr>
          <w:color w:val="000000"/>
        </w:rPr>
        <w:t xml:space="preserve"> </w:t>
      </w:r>
      <w:r>
        <w:rPr>
          <w:rFonts w:ascii="Arial" w:hAnsi="Arial"/>
          <w:color w:val="000000"/>
          <w:sz w:val="20"/>
        </w:rPr>
        <w:t>cancers utilize escape routes, namely cooperative mechanisms, to develop resistance to targeted therapies. By shutting down these potential escape routes, we aim to provide more robust inhibition of oncogenic signaling.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 pursue these therapeutic strategies, we have assembled and are developing a pipeline targeting multiple signaling nodes to shut down the RAS/MAPK pathway. We intend to study these agents either alone or in rational combinations across multiple relevant tumor types. The following table summarizes our current modality-agnostic pipeline to eradicate RAS/MAPK pathway-driven cancers.</w:t>
      </w:r>
    </w:p>
    <w:p>
      <w:pPr>
        <w:pStyle w:val="TextBody"/>
        <w:bidi w:val="0"/>
        <w:jc w:val="left"/>
        <w:rPr/>
      </w:pPr>
      <w:r>
        <w:rPr/>
        <w:t> </w:t>
      </w:r>
    </w:p>
    <w:p>
      <w:pPr>
        <w:pStyle w:val="TextBody"/>
        <w:bidi w:val="0"/>
        <w:jc w:val="center"/>
        <w:rPr/>
      </w:pPr>
      <w:r>
        <w:rPr/>
        <w:drawing>
          <wp:inline distT="0" distB="0" distL="0" distR="0">
            <wp:extent cx="5991225" cy="1400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91225" cy="140017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ERAS-0015 is a potential best-in-class pan-RAS molecular glue in development for the treatment of patients with RAS-mutated solid tumors. In vitro, ERAS-0015 has shown approximately 8-21 times higher binding affinity to cyclophilin A versus the most advanced pan-RAS molecular glue in development. We believe this higher binding affinity results in approximately 5 times more potent RAS inhibition in cell-based assays versus the comparator. ERAS-0015 also has favorable absorption, distribution, metabolism and excretion (ADME) and pharmacokinetics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potential combination benefit of blocking both oncogenic drivers. Our initial clinical trial for ERAS-0015 is called AURORAS-1. The investigational new drug application (IND) for AURORAS-1 was cleared by the US Food and Drug Administration (FDA) in May 2025. ERAS-0015, which we license from Guangzhou Joyo Pharmatech Co., Ltd. (Joyo), is also being evaluated in the JYP0015M101 clinical trial in China, which is assessing ERAS-0015 in adult patients with advanced solid tumors harboring specific RAS mutations. The JYP0015M101 clinical trial is sponsored by Joyo.</w:t>
      </w:r>
    </w:p>
    <w:p>
      <w:pPr>
        <w:pStyle w:val="TextBody"/>
        <w:bidi w:val="0"/>
        <w:spacing w:before="20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On January 12, 2026, we provided an update regarding the initial clinical progress of ERAS-0015. The update consisted of the following, as of a data cutoff of January 7, 2026:</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Dose escalation in the ongoing AURORAS-1 Phase 1 trial was advancing faster than anticipated, underscoring significant unmet medical need and high investigator and patient enthusiasm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Ongoing confirmed and unconfirmed responses were observed in multiple patients with differing tumor types and RAS mutations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Ongoing responses (two confirmed partial responses (PRs) and one unconfirmed PR) were observed in patients with different tumor types and RAS mutations achieved at a low dose of 8 mg once daily (QD)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Additional ongoing unconfirmed responses were observed in patients at doses above 8 mg QD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Favorable safety and tolerability results, with no dose-limiting toxicities and predominantly low-grade adverse events observed at all dose levels evaluated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Well-behaved, linear PK across all dose levels evaluated to date with no observed evidence of exposure plateau </w:t>
      </w:r>
    </w:p>
    <w:p>
      <w:pPr>
        <w:pStyle w:val="TextBody"/>
        <w:bidi w:val="0"/>
        <w:jc w:val="left"/>
        <w:rPr>
          <w:rFonts w:ascii="Times New Roman" w:hAnsi="Times New Roman"/>
          <w:sz w:val="20"/>
        </w:rPr>
      </w:pPr>
      <w:r>
        <w:rPr>
          <w:rFonts w:ascii="Arial" w:hAnsi="Arial"/>
          <w:color w:val="000000"/>
          <w:sz w:val="20"/>
        </w:rPr>
        <w:t>On January 20, 2026, we announced that subsequent to the cut-off date, we have dosed patients at 40 mg QD.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anticipate a Phase 1 monotherapy data readout from the AURORAS-1 and JYP0015M101 trials in the first half of 2026. In addition, we anticipate the initiation of monotherapy expansion cohorts and combination dose escalation cohorts as part of the AURORAS-1 trial in the second half of 2026, with associated data readouts planned for 2027.</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ERAS-4001 is a potential first-in-class pan-KRAS inhibitor in development for the treatment of patients with 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versus the most advanced pan-RAS molecular glue in development. ERAS-4001 demonstrated activity against both GDP-bound (“inactive state”) and GTP-bound (“active state”) KRAS G12D with single digit nanomolar IC</w:t>
      </w:r>
      <w:r>
        <w:rPr>
          <w:rFonts w:ascii="Arial" w:hAnsi="Arial"/>
          <w:color w:val="000000"/>
          <w:sz w:val="13"/>
        </w:rPr>
        <w:t xml:space="preserve">50 </w:t>
      </w:r>
      <w:r>
        <w:rPr>
          <w:rFonts w:ascii="Arial" w:hAnsi="Arial"/>
          <w:color w:val="000000"/>
          <w:sz w:val="20"/>
        </w:rPr>
        <w:t>(a measure of the drug concentration needed to achieve half-maximal inhibition) values in a biochemical RAS – RAF1 RBD (RAS Binding Domain) assay. In vivo, ERAS-4001 showed tumor regression in multiple models when administered as a monotherapy. In combination with an anti-PD-1 antibody, ERAS-4001 was able to achieve complete disappearance of tumors in mice on day 31. The combination of ERAS-4001 plus the anti-EGFR antibody cetuximab induced significant tumor growth inhibition and demonstrated the potential combination benefit of blocking both oncogenic drivers. The initial clinical trial for ERAS-4001 is called BOREALIS-1. The IND for BOREALIS-1 was cleared by the FDA in May 2025. We anticipate a Phase 1 monotherapy data readout from the BOREALIS-1 trial in the second half of 2026. In addition, we anticipate the initiation of monotherapy expansion cohorts and combination dose escalation cohorts in 2027.</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next program is ERAS-12, our investigational EGFR D2/D3 biparatopic antibody (bpAb). ERAS-12 is a potential best-in-class biologic, for which we have identified a lead candidate,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w:t>
      </w:r>
      <w:r>
        <w:rPr>
          <w:rFonts w:ascii="Times New Roman" w:hAnsi="Times New Roman"/>
          <w:color w:val="000000"/>
          <w:sz w:val="20"/>
        </w:rPr>
        <w:t xml:space="preserve"> </w:t>
      </w:r>
      <w:r>
        <w:rPr>
          <w:rFonts w:ascii="Arial" w:hAnsi="Arial"/>
          <w:color w:val="000000"/>
          <w:sz w:val="20"/>
        </w:rPr>
        <w:t>homodimerization as well as heterodimerization. We believe the combined binding of D2 and D3 could result in differentiated and</w:t>
      </w:r>
      <w:r>
        <w:rPr>
          <w:rFonts w:ascii="Times New Roman" w:hAnsi="Times New Roman"/>
          <w:color w:val="000000"/>
          <w:sz w:val="20"/>
        </w:rPr>
        <w:t xml:space="preserve"> </w:t>
      </w:r>
      <w:r>
        <w:rPr>
          <w:rFonts w:ascii="Arial" w:hAnsi="Arial"/>
          <w:color w:val="000000"/>
          <w:sz w:val="20"/>
        </w:rPr>
        <w:t>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2025, in connection with our expectation that ERAS-0015 and ERAS-4001 would both become clinical stage programs, we conducted a strategic pipeline review. Following this review, in order to prioritize organizational focus and resources to advance our differentiated RAS-targeting franchise, we decided to evaluate strategic alternatives for our naporafenib program, which we in-licensed from Novartis Pharma AG (Novartis). After evaluating the clinical progress of our RAS franchise, we made a strategic decision to stop development of naporafenib. In March 2026, we sent a notice to Novartis to terminate our exclusive license agreement with Novartis (as amended, the Novartis Agreement) pursuant to which we acquired exclusive rights to develop naporafenib. The effective date of the termination of the Novartis Agreement is June 3, 2026. In connection with such termination, we and Novartis have agreed that we shall continue to ensure that the patients currently enrolled in the SEACRAFT-1 and SEACRAFT-2 trials will be permitted to continue to participate in such trials for the foreseeable future.</w:t>
      </w:r>
    </w:p>
    <w:p>
      <w:pPr>
        <w:pStyle w:val="TextBody"/>
        <w:bidi w:val="0"/>
        <w:spacing w:before="360" w:after="283"/>
        <w:jc w:val="left"/>
        <w:rPr>
          <w:rFonts w:ascii="Arial" w:hAnsi="Arial"/>
          <w:b/>
          <w:color w:val="000000"/>
          <w:sz w:val="22"/>
        </w:rPr>
      </w:pPr>
      <w:r>
        <w:rPr>
          <w:rFonts w:ascii="Arial" w:hAnsi="Arial"/>
          <w:b/>
          <w:color w:val="000000"/>
          <w:sz w:val="22"/>
        </w:rPr>
        <w:t>Our core values, team, and social mission</w:t>
      </w:r>
    </w:p>
    <w:p>
      <w:pPr>
        <w:pStyle w:val="TextBody"/>
        <w:bidi w:val="0"/>
        <w:jc w:val="left"/>
        <w:rPr>
          <w:rFonts w:ascii="Arial" w:hAnsi="Arial"/>
          <w:color w:val="000000"/>
          <w:sz w:val="20"/>
        </w:rPr>
      </w:pPr>
      <w:r>
        <w:rPr>
          <w:rFonts w:ascii="Arial" w:hAnsi="Arial"/>
          <w:color w:val="000000"/>
          <w:sz w:val="20"/>
        </w:rPr>
        <w:t>We are a team of experienced drug discoverers, developers, and company builders who are united by our mission to erase cancer and passionate about creating potentially life-saving precision oncology medicines singularly focused on targeting the RAS/MAPK pathway. Our leadership team has broad and deep experience in oncology, including advancing therapeutic candidates from discovery research to clinical development, regulatory approval, and commercialization. Our core values are embodied by our quest for the CURE:</w:t>
      </w:r>
    </w:p>
    <w:p>
      <w:pPr>
        <w:pStyle w:val="TextBody"/>
        <w:bidi w:val="0"/>
        <w:jc w:val="left"/>
        <w:rPr/>
      </w:pPr>
      <w:r>
        <w:rPr/>
        <w:t> </w:t>
      </w:r>
    </w:p>
    <w:p>
      <w:pPr>
        <w:pStyle w:val="TextBody"/>
        <w:bidi w:val="0"/>
        <w:jc w:val="center"/>
        <w:rPr/>
      </w:pPr>
      <w:r>
        <w:rPr/>
        <w:drawing>
          <wp:inline distT="0" distB="0" distL="0" distR="0">
            <wp:extent cx="5829300" cy="1304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29300" cy="130492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Dr. Jonathan Lim, our Chairman, CEO, and Co-Founder, has helped pioneer transformative advancements in precision oncology and drug delivery, including leading Ignyta’s trailblazing pursuit of a global tissue agnostic label for ROZLYTREK, which became the first drug in biopharmaceutical history to achieve the unprecedented triple crown of breakthrough designations with BTD (FDA), PRIME (EMA) and Sakigake (PMDA). He has served as Chairman and/or CEO and founding investor of six biotechnology companies that have collectively achieved global regulatory approval and launch of seven therapeutic products in oncology, immunology, and drug delivery, benefitting thousands of patients worldwide.</w:t>
      </w:r>
    </w:p>
    <w:p>
      <w:pPr>
        <w:pStyle w:val="TextBody"/>
        <w:bidi w:val="0"/>
        <w:jc w:val="left"/>
        <w:rPr>
          <w:rFonts w:ascii="Arial" w:hAnsi="Arial"/>
          <w:color w:val="000000"/>
          <w:sz w:val="20"/>
        </w:rPr>
      </w:pPr>
      <w:r>
        <w:rPr>
          <w:rFonts w:ascii="Arial" w:hAnsi="Arial"/>
          <w:color w:val="000000"/>
          <w:sz w:val="20"/>
        </w:rPr>
        <w:t>Dr. Michael Varney, our Chair of R&amp;D, SAB member, and a member of our board of directors, is a pioneer drug discoverer and biotech leader. His leadership at Agouron resulted in the discovery of multiple currently marketed anti-cancer agents, including XALKORI and INLYTA. As Executive Vice President and Head of Genentech’s Research and Early Development (gRED) and a member of the Roche Corporate Executive Committee, he was responsible for all aspects of gRED innovation, drug discovery and development, and built a team-based organization that today contributes to more than 40% of Genentech’s development portfolio, including the marketed anti-cancer agents ERIVEDGE and COTELLIC. Under his leadership, gRED teams discovered and developed successful medicines that include VENCLEXTA with AbbVie, the first BCL-2 inhibitor, and POLIVY, an antibody drug conjugate for the treatment of diffuse large B-cell lymphoma.</w:t>
      </w:r>
    </w:p>
    <w:p>
      <w:pPr>
        <w:pStyle w:val="TextBody"/>
        <w:bidi w:val="0"/>
        <w:jc w:val="left"/>
        <w:rPr>
          <w:rFonts w:ascii="Times New Roman" w:hAnsi="Times New Roman"/>
          <w:sz w:val="20"/>
        </w:rPr>
      </w:pPr>
      <w:r>
        <w:rPr>
          <w:rFonts w:ascii="Arial" w:hAnsi="Arial"/>
          <w:color w:val="000000"/>
          <w:sz w:val="20"/>
        </w:rPr>
        <w:t>Dr. Shannon Morris, our Chief Medical Officer, initially joined us as Senior Vice President of Clinical Development and was promoted to Chief Medical Officer in April 2023. She has more than 20 years of experience in the life sciences industry with a focus in oncology drug development, including contributions in both early and late phase development, as well as in both targeted and immune-based therapies. Prior to joining Erasca, she was responsible for the clinical development of lerapolturev, a novel poliovirus-based therapeutic targeting GBM, at Istari Oncology. Prior to Istari, she was the clinical lead for the approval of COSELA. During her time at GSK and MedImmune, she held positions of increasing responsibility and was involved in the development of a number of molecules, including the early development of MEKINIST, and supported the successful biologics license application for IMFINZI</w:t>
      </w:r>
      <w:r>
        <w:rPr>
          <w:rFonts w:ascii="Times New Roman" w:hAnsi="Times New Roman"/>
          <w:color w:val="000000"/>
          <w:sz w:val="20"/>
        </w:rPr>
        <w:t xml:space="preserve"> </w:t>
      </w:r>
      <w:r>
        <w:rPr>
          <w:rFonts w:ascii="Arial" w:hAnsi="Arial"/>
          <w:color w:val="000000"/>
          <w:sz w:val="20"/>
        </w:rPr>
        <w:t>in bladder cancer.</w:t>
      </w:r>
    </w:p>
    <w:p>
      <w:pPr>
        <w:pStyle w:val="TextBody"/>
        <w:bidi w:val="0"/>
        <w:spacing w:before="20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Dr. David Chacko, our Chief Financial Officer and Chief Business Officer, joined us from Versant Ventures, where he was a Principal with both investing and operating responsibilities. He helped lead investment opportunities across multiple therapeutic areas and advanced several Versant portfolio companies operationally through company formation, fundraising, corporate and business development, and clinical and regulatory activities. His prior roles at Alcon/Novartis, McKinsey, SR One, and Morgan Stanley bring to Erasca deep experience in strategy, finance, fundraising, business development, and operations.</w:t>
      </w:r>
    </w:p>
    <w:p>
      <w:pPr>
        <w:pStyle w:val="TextBody"/>
        <w:bidi w:val="0"/>
        <w:jc w:val="left"/>
        <w:rPr>
          <w:rFonts w:ascii="Arial" w:hAnsi="Arial"/>
          <w:color w:val="000000"/>
          <w:sz w:val="20"/>
        </w:rPr>
      </w:pPr>
      <w:r>
        <w:rPr>
          <w:rFonts w:ascii="Arial" w:hAnsi="Arial"/>
          <w:color w:val="000000"/>
          <w:sz w:val="20"/>
        </w:rPr>
        <w:t>Many members of our leadership team have worked together previously at Ignyta or Roche/Genentech, or have joined us from other leading companies in the biopharmaceutical and life science tools sectors such as Illumina, Lilly, Medivation, Merck, Myovant, Neurocrine, Pfizer, and Turning Point, and have worked on numerous oncology drugs that have been approved and launched for the benefit of patients.</w:t>
      </w:r>
    </w:p>
    <w:p>
      <w:pPr>
        <w:pStyle w:val="TextBody"/>
        <w:bidi w:val="0"/>
        <w:jc w:val="left"/>
        <w:rPr>
          <w:rFonts w:ascii="Arial" w:hAnsi="Arial"/>
          <w:color w:val="000000"/>
          <w:sz w:val="20"/>
        </w:rPr>
      </w:pPr>
      <w:r>
        <w:rPr>
          <w:rFonts w:ascii="Arial" w:hAnsi="Arial"/>
          <w:color w:val="000000"/>
          <w:sz w:val="20"/>
        </w:rPr>
        <w:t>Dr. Lim founded Erasca with Dr. Kevan Shokat (Professor and Chair of the Department of Cellular and Molecular Pharmacology at UCSF; Professor of Chemistry at the University of California, Berkeley; and an investigator at the Howard Hughes Medical Institute). In addition to Dr. Shokat, our SAB includes the following RAS/MAPK pathway experts: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Rene Bernards is a leader in the field of molecular carcinogenesis. His research at the Netherlands Cancer Institute uses functional genomic approaches to find vulnerabilities of cancers that can be exploited therapeutically. He studied medical biology at the University of Amsterdam and obtained his Ph.D. from Leiden University. After a post-doctoral fellowship, he became an assistant professor at Harvard University. In 1992, he joined the Netherlands Cancer Institute, where he continues to work at present.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Stephen Blacklow is a world expert in SHP2 who helped pioneer development of the first SHP2 inhibitor with Novartis, and is the Gustavus Adolphus Pfeiffer Professor of Biological Chemistry and Molecular Pharmacology, Biological Chemistry and Molecular Pharmacology at Harvard Medical School; a Professor of Pathology at the Brigham And Women’s Hospital; a Professor of Cancer Biology at the Dana-Farber Cancer Institute; and the Chair of the Department of Biological Chemistry and Molecular Pharmacology at Harvard Medical School.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Karen Cichowski is a world expert in RAS/MAPK pathway signaling, including elucidating how deregulated cell signaling drives tumorigenesis in nervous system, lung, prostate, and breast cancers, combining translational mouse modeling techniques with basic biochemical and cell biological studies, and in identifying novel combination therapies to shut down aberrant RAS/MAPK pathway signaling. She is Professor of Medicine at Harvard Medical School and Professor of Medicine/Genetics at Brigham and Women’s Hospital.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Ryan Corcoran is a gastrointestinal oncologist with a primary interest in translational oncology research who focuses on targeted therapies directed against mutations commonly found in human cancers, such as BRAF and KRAS mutations. He is also a world expert in ERK, having studied nearly every ERK inhibitor that has been or is being developed in the field. He is also the Director of the Gastrointestinal Cancer Center Program; the Scientific Director of the Termeer Center for Targeted Therapy at Massachusetts General Hospital Cancer Center; and an Associate Professor of Medicine at Harvard Medical School.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George Demetri is a world expert in targeted oncology therapies who pioneered the development of GLEEVEC that helped launch the revolution in precision oncology. He is the Director of the Center for Sarcoma and Bone Oncology at the Dana-Farber Cancer Institute; the Director of the Ludwig Center at the Dana-Farber/Harvard Cancer Center; and Executive Director for Clinical and Translational Research at the Ludwig Institute for Cancer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Piro Lito is a world expert in KRAS-driven cancers. His research focuses on proteins that drive cancer cell growth aiming to uncover the fundamental processes that govern tumor biology and to identify novel therapies that prolong survival and improve the quality of life in patients with cancer. More specifically, his research has made several key contributions in the effort to better understand KRAS-driven cancers and to develop therapeutics that directly target mutant KRAS. He is an associate member and attending physician at Memorial Sloan Kettering Cancer Center.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Pablo Rodriguez-Viciana is a world expert in the RAS/MAPK pathway whose major focus is the function of the SHOC2 phosphatase complex as a unique regulatory node required for efficient RAS/MAPK pathway activation in the context of diseases such as cancer and RASopathies. He has served as the group leader at the UCL Cancer Institute since 2008 and is a former postdoctoral researcher in Dr. Frank McCormick’s lab at the University of California, San Francisco.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Dr. Michael Varney is a pioneer drug discoverer and biotech leader and the former Executive Vice President and Head of Genentech’s gRED and a former member of the Roche Corporate Executive Committee.</w:t>
      </w:r>
    </w:p>
    <w:p>
      <w:pPr>
        <w:pStyle w:val="TextBody"/>
        <w:bidi w:val="0"/>
        <w:spacing w:before="20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Erasca Foundation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At Erasca, while our mission to erase cancer inspires us, we know we can do more to make an even broader contribution to society. In May 2021, we established the Erasca Foundation, a nonprofit California public benefit corporation, which was funded by the donation of 1,093,557 shares of our common stock (which at the time represented 1% of our capital stock), in conjunction with our initial public offering (IPO). In 2025, the Erasca Foundation provided funding for initiatives to positively impact society, including providing funding to Family Health Centers of San Diego; Cancer Angels of San Diego; the Emilio Nares Foundation; and Life Science Cares.</w:t>
      </w:r>
    </w:p>
    <w:p>
      <w:pPr>
        <w:pStyle w:val="TextBody"/>
        <w:bidi w:val="0"/>
        <w:spacing w:before="360" w:after="283"/>
        <w:jc w:val="left"/>
        <w:rPr>
          <w:rFonts w:ascii="Arial" w:hAnsi="Arial"/>
          <w:b/>
          <w:color w:val="000000"/>
          <w:sz w:val="22"/>
        </w:rPr>
      </w:pPr>
      <w:r>
        <w:rPr>
          <w:rFonts w:ascii="Arial" w:hAnsi="Arial"/>
          <w:b/>
          <w:color w:val="000000"/>
          <w:sz w:val="22"/>
        </w:rPr>
        <w:t>Our corporate strategies to erase cancer</w:t>
      </w:r>
    </w:p>
    <w:p>
      <w:pPr>
        <w:pStyle w:val="TextBody"/>
        <w:bidi w:val="0"/>
        <w:jc w:val="left"/>
        <w:rPr>
          <w:rFonts w:ascii="Times New Roman" w:hAnsi="Times New Roman"/>
          <w:sz w:val="20"/>
        </w:rPr>
      </w:pPr>
      <w:r>
        <w:rPr>
          <w:rFonts w:ascii="Arial" w:hAnsi="Arial"/>
          <w:color w:val="000000"/>
          <w:sz w:val="20"/>
        </w:rPr>
        <w:t>Our mission is to erase cancer by eradicating RAS/MAPK pathway-driven cancers. Our corporate strategies to achieve our mission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Relentlessly focus on patients and society in our mission to erase cancer. </w:t>
      </w:r>
      <w:r>
        <w:rPr>
          <w:rFonts w:ascii="Arial" w:hAnsi="Arial"/>
          <w:color w:val="000000"/>
          <w:sz w:val="20"/>
        </w:rPr>
        <w:t>There are more than five million new patients</w:t>
      </w:r>
      <w:r>
        <w:rPr>
          <w:color w:val="000000"/>
        </w:rPr>
        <w:t xml:space="preserve"> </w:t>
      </w:r>
      <w:r>
        <w:rPr>
          <w:rFonts w:ascii="Arial" w:hAnsi="Arial"/>
          <w:color w:val="000000"/>
          <w:sz w:val="20"/>
        </w:rPr>
        <w:t>diagnosed globally per year with cancers driven by RAS/MAPK pathway alterations, most of whom have limited or no targeted therapy treatment options. We are a team of experienced drug discoverers, developers, and company builders who are united by our mission to erase cancer and passionate about creating potentially life-saving precision oncology medicines.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Develop novel single agent and combination regimens to comprehensively shut down the RAS/MAPK pathway for the treatment of patients with cancer. </w:t>
      </w:r>
      <w:r>
        <w:rPr>
          <w:rFonts w:ascii="Arial" w:hAnsi="Arial"/>
          <w:color w:val="000000"/>
          <w:sz w:val="20"/>
        </w:rPr>
        <w:t>We are pursuing three therapeutic strategies that may be used in combination to comprehensively, and perhaps</w:t>
      </w:r>
      <w:r>
        <w:rPr>
          <w:color w:val="000000"/>
        </w:rPr>
        <w:t xml:space="preserve"> </w:t>
      </w:r>
      <w:r>
        <w:rPr>
          <w:rFonts w:ascii="Arial" w:hAnsi="Arial"/>
          <w:color w:val="000000"/>
          <w:sz w:val="20"/>
        </w:rPr>
        <w:t>synergistically, shut down the RAS/MAPK pathway: (1) target upstream and downstream MAPK pathway nodes with single agents and combinations intended to clamp these oncogenic drivers; (2) target RAS directly with single agents and combinations; and (3) target escape routes enabled by other proteins or pathways to further disrupt RAS/MAPK pathway signaling. Our strategic focus on the RAS/MAPK pathway allows us to comprehensively target critical nodes in the pathway that could drive cancer signaling.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Advance our modality-agnostic RAS/MAPK pathway-focused pipeline. </w:t>
      </w:r>
      <w:r>
        <w:rPr>
          <w:rFonts w:ascii="Arial" w:hAnsi="Arial"/>
          <w:color w:val="000000"/>
          <w:sz w:val="20"/>
        </w:rPr>
        <w:t>Our</w:t>
      </w:r>
      <w:r>
        <w:rPr>
          <w:color w:val="000000"/>
        </w:rPr>
        <w:t xml:space="preserve"> </w:t>
      </w:r>
      <w:r>
        <w:rPr>
          <w:rFonts w:ascii="Arial" w:hAnsi="Arial"/>
          <w:color w:val="000000"/>
          <w:sz w:val="20"/>
        </w:rPr>
        <w:t>RAS/MAPK pathway-focused pipeline comprises several targeted therapy programs. Our modality-agnostic approach aims to selectively and potently target critical RAS/MAPK signaling nodes with the appropriate modality, including small and large molecule therapeutics. ERAS-0015 (our pan-RAS molecular glue) and ERAS-4001 (our pan-KRAS inhibitor) are currently being studied in clinical trials. Given the high unmet medical need of the patients we seek to treat, we will continually evaluate the potential for expedited development and review pathways.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Internally develop and externally source, on a global basis, potentially disruptive programs targeting RAS/MAPK pathway alterations. </w:t>
      </w:r>
      <w:r>
        <w:rPr>
          <w:rFonts w:ascii="Arial" w:hAnsi="Arial"/>
          <w:color w:val="000000"/>
          <w:sz w:val="20"/>
        </w:rPr>
        <w:t>We use computational biology and computational chemistry to accelerate our development activities. We have standardized how we characterize our compounds across in vitro/vivo activity, drug distribution, metabolism, and PK, structural, and secondary pharmacology assays, and centralized the storage of these data for automated analyses. We also believe that innovation is a collective, global endeavor and a single platform is unlikely to discover all the best ideas and approaches. We therefore plan to continue to opportunistically evaluate synergistic, in-pathway opportunities, regardless of origin, that meet our high scientific bar. Our extensive network and relationships provide us preferential—and at times exclusive—access to certain assets of interest.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 xml:space="preserve">Lead the next revolution in precision oncology. </w:t>
      </w:r>
      <w:r>
        <w:rPr>
          <w:rFonts w:ascii="Arial" w:hAnsi="Arial"/>
          <w:color w:val="000000"/>
          <w:sz w:val="20"/>
        </w:rPr>
        <w:t>The first wave of precision oncology included tyrosine kinase inhibitors such as</w:t>
      </w:r>
      <w:r>
        <w:rPr>
          <w:color w:val="000000"/>
        </w:rPr>
        <w:t xml:space="preserve"> </w:t>
      </w:r>
      <w:r>
        <w:rPr>
          <w:rFonts w:ascii="Arial" w:hAnsi="Arial"/>
          <w:color w:val="000000"/>
          <w:sz w:val="20"/>
        </w:rPr>
        <w:t>ROZLYTREK, approved for select tumors that harbor ROS1 or NTRK fusions. While these initial development efforts focused on specific disease-causing alterations in areas of high unmet medical need, these patient populations were modest in size. We believe that to effectively shut down a pathway that signals as promiscuously as RAS/MAPK and encompasses a range of alterations, a holistic approach must be taken to target not just specific individual mutations, but multiple alterations and cooperative mechanisms in parallel. We are pursuing tissue agnostic and tissue specific indications using flexible trial designs intended to efficiently transition molecules through each phase of development with the goal of identifying early efficacy signals warranting additional resource allocation for both monotherapy and combination approaches.</w:t>
      </w:r>
    </w:p>
    <w:p>
      <w:pPr>
        <w:pStyle w:val="TextBody"/>
        <w:bidi w:val="0"/>
        <w:spacing w:before="20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Evaluate opportunities to accelerate development timelines and enhance the commercial potential of our programs in collaboration with third parties</w:t>
      </w:r>
      <w:r>
        <w:rPr>
          <w:rFonts w:ascii="Arial" w:hAnsi="Arial"/>
          <w:color w:val="000000"/>
          <w:sz w:val="20"/>
        </w:rPr>
        <w:t>. We own or control worldwide development and commercialization rights to our entire pipeline of</w:t>
      </w:r>
      <w:r>
        <w:rPr>
          <w:color w:val="000000"/>
        </w:rPr>
        <w:t xml:space="preserve"> </w:t>
      </w:r>
      <w:r>
        <w:rPr>
          <w:rFonts w:ascii="Arial" w:hAnsi="Arial"/>
          <w:color w:val="000000"/>
          <w:sz w:val="20"/>
        </w:rPr>
        <w:t>targeted therapy programs. This provides us with the flexibility to explore combinations of our agents with each other, other investigational agents, and/or standard of care therapies. We intend to continue evaluating opportunities to work with partners that meaningfully enhance our capabilities with respect to the development and commercialization of our product candidates. In addition, we intend to commercialize our product candidates in the United States. We intend to explore partnerships in selected geographies to maximize the worldwide commercial potential of our programs.</w:t>
      </w:r>
    </w:p>
    <w:p>
      <w:pPr>
        <w:pStyle w:val="TextBody"/>
        <w:bidi w:val="0"/>
        <w:spacing w:before="360" w:after="283"/>
        <w:jc w:val="left"/>
        <w:rPr>
          <w:rFonts w:ascii="Arial" w:hAnsi="Arial"/>
          <w:b/>
          <w:color w:val="000000"/>
          <w:sz w:val="22"/>
        </w:rPr>
      </w:pPr>
      <w:r>
        <w:rPr>
          <w:rFonts w:ascii="Arial" w:hAnsi="Arial"/>
          <w:b/>
          <w:color w:val="000000"/>
          <w:sz w:val="22"/>
        </w:rPr>
        <w:t>Our singular focus on the RAS/MAPK pathway</w:t>
      </w:r>
    </w:p>
    <w:p>
      <w:pPr>
        <w:pStyle w:val="TextBody"/>
        <w:bidi w:val="0"/>
        <w:jc w:val="left"/>
        <w:rPr>
          <w:rFonts w:ascii="Arial" w:hAnsi="Arial"/>
          <w:b/>
          <w:i/>
          <w:color w:val="000000"/>
          <w:sz w:val="20"/>
        </w:rPr>
      </w:pPr>
      <w:r>
        <w:rPr>
          <w:rFonts w:ascii="Arial" w:hAnsi="Arial"/>
          <w:b/>
          <w:i/>
          <w:color w:val="000000"/>
          <w:sz w:val="20"/>
        </w:rPr>
        <w:t>Background</w:t>
      </w:r>
    </w:p>
    <w:p>
      <w:pPr>
        <w:pStyle w:val="TextBody"/>
        <w:bidi w:val="0"/>
        <w:jc w:val="left"/>
        <w:rPr>
          <w:rFonts w:ascii="Arial" w:hAnsi="Arial"/>
          <w:color w:val="000000"/>
          <w:sz w:val="20"/>
        </w:rPr>
      </w:pPr>
      <w:r>
        <w:rPr>
          <w:rFonts w:ascii="Arial" w:hAnsi="Arial"/>
          <w:color w:val="000000"/>
          <w:sz w:val="20"/>
        </w:rPr>
        <w:t>The RAS/MAPK pathway is one of the most frequently altered signaling pathways in cancer. Molecular alterations in key signaling nodes within the RAS/MAPK pathway have been shown to drive cell proliferation across a wide range of tumor types. As described further below, our pipeline targets all of the key signaling nodes colored in purple, either directly or indirectly as single agents and in combination in order to prolong survival in a wide range of patient populations.</w:t>
      </w:r>
    </w:p>
    <w:p>
      <w:pPr>
        <w:pStyle w:val="TextBody"/>
        <w:bidi w:val="0"/>
        <w:jc w:val="left"/>
        <w:rPr/>
      </w:pPr>
      <w:r>
        <w:rPr/>
        <w:t> </w:t>
      </w:r>
    </w:p>
    <w:p>
      <w:pPr>
        <w:pStyle w:val="TextBody"/>
        <w:bidi w:val="0"/>
        <w:jc w:val="center"/>
        <w:rPr/>
      </w:pPr>
      <w:r>
        <w:rPr/>
        <w:drawing>
          <wp:inline distT="0" distB="0" distL="0" distR="0">
            <wp:extent cx="3371850" cy="387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71850" cy="3876675"/>
                    </a:xfrm>
                    <a:prstGeom prst="rect">
                      <a:avLst/>
                    </a:prstGeom>
                  </pic:spPr>
                </pic:pic>
              </a:graphicData>
            </a:graphic>
          </wp:inline>
        </w:drawing>
      </w:r>
    </w:p>
    <w:p>
      <w:pPr>
        <w:pStyle w:val="TextBody"/>
        <w:bidi w:val="0"/>
        <w:spacing w:before="360" w:after="283"/>
        <w:jc w:val="left"/>
        <w:rPr>
          <w:rFonts w:ascii="Arial" w:hAnsi="Arial"/>
          <w:b/>
          <w:i/>
          <w:color w:val="000000"/>
          <w:sz w:val="20"/>
        </w:rPr>
      </w:pPr>
      <w:r>
        <w:rPr>
          <w:rFonts w:ascii="Arial" w:hAnsi="Arial"/>
          <w:b/>
          <w:i/>
          <w:color w:val="000000"/>
          <w:sz w:val="20"/>
        </w:rPr>
        <w:t>EGFR</w:t>
      </w:r>
    </w:p>
    <w:p>
      <w:pPr>
        <w:pStyle w:val="TextBody"/>
        <w:bidi w:val="0"/>
        <w:jc w:val="left"/>
        <w:rPr>
          <w:rFonts w:ascii="Arial" w:hAnsi="Arial"/>
          <w:color w:val="000000"/>
          <w:sz w:val="20"/>
        </w:rPr>
      </w:pPr>
      <w:r>
        <w:rPr>
          <w:rFonts w:ascii="Arial" w:hAnsi="Arial"/>
          <w:color w:val="000000"/>
          <w:sz w:val="20"/>
        </w:rPr>
        <w:t>RTKs like EGFR are proteins that are embedded in the cell membrane and relay growth signals from the outside environment to the cell’s internal machinery. At rest, these proteins reside on the cell membrane as inactive monomers. Growth factors secreted by nearby cells bind to specific RTKs, such as epidermal growth factor (EGF) binding to EGFR, and cause these RTKs to dimerize. Dimerized RTKs activate one another through transphosphorylation of their intracellular regions. Intracellular proteins, such as adapter proteins, bind to these phosphorylated regions and propagate the pro-growth signals within the cell via one or more signaling pathways. Cells express a variety of RTKs so that environmental cues can be relayed to specific cell populations in specific contexts. EGFR mediates pro-growth signaling in skin and in the ducts and outer surfaces of many organs.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Overactive RTK signaling can result in uncontrolled cell growth and survival that transforms normal cells into cancer cells.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RAS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RAS proteins are ubiquitously expressed GTPase proteins. The RAS protein family consists of KRAS, NRAS, and HRAS proteins and acts as the entry node in the RAS/MAPK signaling pathway. KRAS is the most abundantly expressed RAS protein followed by NRAS and then HRAS. RAS proteins act as signaling transducers since they are recruited to activated RTK complexes where they are converted into an active conformation (RAS-GTP) that enables them to activate downstream effector proteins, such as RAF proteins. The activation state of a RAS protein is dictated by the phosphorylation state of the bound guanosine; RAS adopts an inactive RAS-GDP conformation when bound to GDP and an active RAS-GTP conformation when bound to GTP. Conversion of RAS into an active conformation is mediated by binding to co-factor proteins, e.g., SOS1, and these co-factor proteins enable the exchange of the RAS-bound nucleotide from GDP to GTP. In the active state, RAS-GTP proteins interact with multiple effector proteins to propagate cell signaling through multiple pathways. For example, activated RAS-GTP proteins interact with RAF proteins to activate MAPK signaling, and PI3K proteins to activate PI3K pathway signaling. RAS can transition from the active state into the inactive state by hydrolyzing its bound nucleotide from GTP to GDP either intrinsically or catalyzed through interactions with co-factor proteins, such as NF1. RAS proteins are the most frequently mutated oncoproteins in cancer. These mutations occur at hotspots, such as amino acid residues 12, 13, and 61, and these hotspot mutations impair RAS’s ability to hydrolyze GTP to GDP. As a result, mutant RAS-GTP remains in the active state for prolonged periods of time resulting in hyperactive stimulation of the RAS/MAPK and other pathways.</w:t>
      </w:r>
    </w:p>
    <w:p>
      <w:pPr>
        <w:pStyle w:val="TextBody"/>
        <w:bidi w:val="0"/>
        <w:spacing w:before="360" w:after="283"/>
        <w:jc w:val="left"/>
        <w:rPr>
          <w:rFonts w:ascii="Arial" w:hAnsi="Arial"/>
          <w:b/>
          <w:i/>
          <w:color w:val="000000"/>
          <w:sz w:val="20"/>
        </w:rPr>
      </w:pPr>
      <w:r>
        <w:rPr>
          <w:rFonts w:ascii="Arial" w:hAnsi="Arial"/>
          <w:b/>
          <w:i/>
          <w:color w:val="000000"/>
          <w:sz w:val="20"/>
        </w:rPr>
        <w:t>RAF</w:t>
      </w:r>
    </w:p>
    <w:p>
      <w:pPr>
        <w:pStyle w:val="TextBody"/>
        <w:bidi w:val="0"/>
        <w:jc w:val="left"/>
        <w:rPr>
          <w:rFonts w:ascii="Arial" w:hAnsi="Arial"/>
          <w:color w:val="000000"/>
          <w:sz w:val="20"/>
        </w:rPr>
      </w:pPr>
      <w:r>
        <w:rPr>
          <w:rFonts w:ascii="Arial" w:hAnsi="Arial"/>
          <w:color w:val="000000"/>
          <w:sz w:val="20"/>
        </w:rPr>
        <w:t>RAF proteins are ubiquitously expressed serine-threonine kinases that are a part of the RAS/MAPK pathway and whose activity is regulated by RAS proteins. The RAF protein family consists of ARAF, BRAF, and CRAF (RAF1). In the absence of activated RAS-GTP, RAF proteins assume an autoinhibited conformation in complex with downstream effector proteins, MEK1 and MEK2. RAF proteins can homodimerize (e.g., BRAF-BRAF dimers) or heterodimerize (e.g., CRAF-BRAF dimers). When RAF proteins bind to activated RAS-GTP, they adopt an active conformation that results in activation of their kinase domains. The activated kinase domains then phosphorylate complexed MEK proteins, activating those proteins and releasing them from the RAF-MEK complex. Activated MEK then signals further down the RAS/MAPK pathway. Mutations in RAF proteins, especially in BRAF, have been observed in many cancers, such as melanoma, CRC, NSCLC, and thyroid cancer. For example, the BRAF V600E mutation (a class I BRAF mutation) is frequently observed in melanoma and this mutation enables BRAF to constitutively activate MEK as a monomer. Approved BRAF inhibitors for class I mutations include vemurafenib, dabrafenib, and encorafenib. Class II BRAF mutations enable BRAF to constitutively dimerize and activate MEK. Class III BRAF mutations impair the ability of the mutant BRAF protein to phosphorylate MEK, but class III mutant BRAF proteins can aberrantly dimerize with wildtype RAF proteins and enable their dimerized wildtype RAF partners to activate MEK. To our knowledge, there are no approved inhibitors of BRAF Class II or Class III mutations. A number of inhibitors targeting BRAF Class II and Class III mutations, as well as pan-RAF inhibitors designed to disrupt wildtype RAF signaling, are in development; however, to our knowledge, none have received regulatory approval.</w:t>
      </w:r>
    </w:p>
    <w:p>
      <w:pPr>
        <w:pStyle w:val="TextBody"/>
        <w:bidi w:val="0"/>
        <w:spacing w:before="360" w:after="283"/>
        <w:jc w:val="left"/>
        <w:rPr>
          <w:rFonts w:ascii="Arial" w:hAnsi="Arial"/>
          <w:b/>
          <w:i/>
          <w:color w:val="000000"/>
          <w:sz w:val="20"/>
        </w:rPr>
      </w:pPr>
      <w:r>
        <w:rPr>
          <w:rFonts w:ascii="Arial" w:hAnsi="Arial"/>
          <w:b/>
          <w:i/>
          <w:color w:val="000000"/>
          <w:sz w:val="20"/>
        </w:rPr>
        <w:t>MEK</w:t>
      </w:r>
    </w:p>
    <w:p>
      <w:pPr>
        <w:pStyle w:val="TextBody"/>
        <w:bidi w:val="0"/>
        <w:jc w:val="left"/>
        <w:rPr>
          <w:rFonts w:ascii="Arial" w:hAnsi="Arial"/>
          <w:color w:val="000000"/>
          <w:sz w:val="20"/>
        </w:rPr>
      </w:pPr>
      <w:r>
        <w:rPr>
          <w:rFonts w:ascii="Arial" w:hAnsi="Arial"/>
          <w:color w:val="000000"/>
          <w:sz w:val="20"/>
        </w:rPr>
        <w:t>MEK1 and MEK2 proteins are ubiquitously expressed serine-threonine kinases that are activated by RAF-mediated phosphorylation and signal downstream by activating ERK proteins. MEK1 and MEK2 proteins form complexes with RAF proteins in the inactive state and are recruited as a unit to activated RAS-GTP. RAS-GTP then activates the RAF-MEK complex by binding to RAF, which then activates MEK via phosphorylation and releases from the RAF-MEK complex. Activated MEK then selectively phosphorylates ERK1 and ERK2 proteins, which are the terminal nodes of the RAS/MAPK pathway. Currently approved MEK inhibitors, such as trametinib, binimetinib, cobimetinib, and selumetinib, allosterically bind MEK proteins and inhibit MEK activation, either as free proteins alone or in complex with RAF. The inhibition of RAS/MAPK signaling by MEK inhibitors can result in an upregulation of signaling upstream of MEK due to negative feedback loops within the RAS/MAPK pathway. This increased signaling pressure can overwhelm MEK inhibitors and result in reactivation of MAPK signaling. Most MEK inhibitors are approved in combination with a BRAF inhibitor partially due to their vulnerability of being overwhelmed by the reactivation of MAPK signaling. In this combination, BRAF inhibitors attenuate upstream signaling pressure on MEK inhibitors, and MEK inhibitors further limit downstream MAPK signaling not inhibited by the BRAF inhibitor.</w:t>
      </w:r>
    </w:p>
    <w:p>
      <w:pPr>
        <w:pStyle w:val="TextBody"/>
        <w:bidi w:val="0"/>
        <w:spacing w:before="20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Our therapeutic strategies for shutting down the RAS/MAPK pathway</w:t>
      </w:r>
    </w:p>
    <w:p>
      <w:pPr>
        <w:pStyle w:val="TextBody"/>
        <w:bidi w:val="0"/>
        <w:jc w:val="left"/>
        <w:rPr>
          <w:rFonts w:ascii="Arial" w:hAnsi="Arial"/>
          <w:color w:val="000000"/>
          <w:sz w:val="20"/>
        </w:rPr>
      </w:pPr>
      <w:r>
        <w:rPr>
          <w:rFonts w:ascii="Arial" w:hAnsi="Arial"/>
          <w:color w:val="000000"/>
          <w:sz w:val="20"/>
        </w:rPr>
        <w:t>We believe that to effectively shut down a pathway that signals as promiscuously as RAS/MAPK, a holistic approach must be taken to target not just single nodes, but multiple nodes and cooperative mechanisms in parallel. Our internally and externally sourced RAS/MAPK pathway-focused pipeline comprises several targeted therapy programs. Our pipeline enables us to pursue a systematic, data-driven, portfolio-wide clinical development effort to identify therapeutic approaches that aim to prolong survival in numerous patient populations with high unmet medical needs. We are pursuing three therapeutic strategies that may be used in combination with the goal of comprehensively, and perhaps synergistically, shutting down the RAS/MAPK pathway:</w:t>
      </w:r>
    </w:p>
    <w:p>
      <w:pPr>
        <w:pStyle w:val="TextBody"/>
        <w:bidi w:val="0"/>
        <w:jc w:val="left"/>
        <w:rPr/>
      </w:pPr>
      <w:r>
        <w:rPr/>
        <w:t> </w:t>
      </w:r>
    </w:p>
    <w:p>
      <w:pPr>
        <w:pStyle w:val="TextBody"/>
        <w:bidi w:val="0"/>
        <w:jc w:val="center"/>
        <w:rPr/>
      </w:pPr>
      <w:r>
        <w:rPr/>
        <w:drawing>
          <wp:inline distT="0" distB="0" distL="0" distR="0">
            <wp:extent cx="5981700" cy="2295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81700" cy="2295525"/>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Arial" w:hAnsi="Arial"/>
          <w:b/>
          <w:i/>
          <w:color w:val="000000"/>
          <w:sz w:val="20"/>
        </w:rPr>
      </w:pPr>
      <w:r>
        <w:rPr>
          <w:rFonts w:ascii="Arial" w:hAnsi="Arial"/>
          <w:b/>
          <w:i/>
          <w:color w:val="000000"/>
          <w:sz w:val="20"/>
        </w:rPr>
        <w:t>1.</w:t>
      </w:r>
    </w:p>
    <w:p>
      <w:pPr>
        <w:pStyle w:val="TextBody"/>
        <w:bidi w:val="0"/>
        <w:spacing w:before="120" w:after="283"/>
        <w:jc w:val="left"/>
        <w:rPr/>
      </w:pPr>
      <w:r>
        <w:rPr>
          <w:rFonts w:ascii="Arial" w:hAnsi="Arial"/>
          <w:b/>
          <w:i/>
          <w:color w:val="000000"/>
          <w:sz w:val="20"/>
        </w:rPr>
        <w:t xml:space="preserve">Target upstream and downstream MAPK pathway nodes with single agents and combinations intended to clamp these oncogenic drivers. </w:t>
      </w:r>
      <w:r>
        <w:rPr>
          <w:rFonts w:ascii="Arial" w:hAnsi="Arial"/>
          <w:color w:val="000000"/>
          <w:sz w:val="20"/>
        </w:rPr>
        <w:t>We are evaluating drug combinations targeting upstream and</w:t>
      </w:r>
      <w:r>
        <w:rPr>
          <w:color w:val="000000"/>
        </w:rPr>
        <w:t xml:space="preserve"> </w:t>
      </w:r>
      <w:r>
        <w:rPr>
          <w:rFonts w:ascii="Arial" w:hAnsi="Arial"/>
          <w:color w:val="000000"/>
          <w:sz w:val="20"/>
        </w:rPr>
        <w:t xml:space="preserve">downstream nodes to shut down, or "clamp," the signaling of various oncogenic drivers such as RTKs, NF1, RAS, RAF, and MEK alterations, trapped between the inhibited nodes. For example, we are exploring ERAS-0015 in combination with an anti-EGFR monoclonal antibody for the treatment of patients with metastatic colorectal cancer. </w:t>
      </w:r>
    </w:p>
    <w:p>
      <w:pPr>
        <w:pStyle w:val="TextBody"/>
        <w:bidi w:val="0"/>
        <w:spacing w:before="120" w:after="283"/>
        <w:jc w:val="left"/>
        <w:rPr>
          <w:rFonts w:ascii="Arial" w:hAnsi="Arial"/>
          <w:b/>
          <w:i/>
          <w:color w:val="000000"/>
          <w:sz w:val="20"/>
        </w:rPr>
      </w:pPr>
      <w:r>
        <w:rPr>
          <w:rFonts w:ascii="Arial" w:hAnsi="Arial"/>
          <w:b/>
          <w:i/>
          <w:color w:val="000000"/>
          <w:sz w:val="20"/>
        </w:rPr>
        <w:t>2.</w:t>
      </w:r>
    </w:p>
    <w:p>
      <w:pPr>
        <w:pStyle w:val="TextBody"/>
        <w:bidi w:val="0"/>
        <w:spacing w:before="120" w:after="283"/>
        <w:jc w:val="left"/>
        <w:rPr/>
      </w:pPr>
      <w:r>
        <w:rPr>
          <w:rFonts w:ascii="Arial" w:hAnsi="Arial"/>
          <w:b/>
          <w:i/>
          <w:color w:val="000000"/>
          <w:sz w:val="20"/>
        </w:rPr>
        <w:t xml:space="preserve">Target RAS, the midstream MAPK pathway node, directly with single agents and combinations. </w:t>
      </w:r>
      <w:r>
        <w:rPr>
          <w:rFonts w:ascii="Arial" w:hAnsi="Arial"/>
          <w:color w:val="000000"/>
          <w:sz w:val="20"/>
        </w:rPr>
        <w:t>Our RAS-targeting franchise, ERAS-0015 and ERAS-4001, consists of molecules that are designed to potently and selectively bind to oncogenic RAS alterations (e.g., G12X, G13X +/- Q61X) and to block activation of wildtype RAS isoforms that mediate tumor resistance. These molecules are designed to prevent RAS-mediated signaling either by preventing RAS from binding to downstream effector proteins by forming a RAS-Cyclophilin A protein complex (as in the case of ERAS-0015) or by locking KRAS in the inactive GDP-bound state (as in the case of ERAS-4001).</w:t>
      </w:r>
    </w:p>
    <w:p>
      <w:pPr>
        <w:pStyle w:val="TextBody"/>
        <w:bidi w:val="0"/>
        <w:spacing w:before="120" w:after="283"/>
        <w:jc w:val="left"/>
        <w:rPr>
          <w:rFonts w:ascii="Arial" w:hAnsi="Arial"/>
          <w:b/>
          <w:i/>
          <w:color w:val="000000"/>
          <w:sz w:val="20"/>
        </w:rPr>
      </w:pPr>
      <w:r>
        <w:rPr>
          <w:rFonts w:ascii="Arial" w:hAnsi="Arial"/>
          <w:b/>
          <w:i/>
          <w:color w:val="000000"/>
          <w:sz w:val="20"/>
        </w:rPr>
        <w:t>3.</w:t>
      </w:r>
    </w:p>
    <w:p>
      <w:pPr>
        <w:pStyle w:val="TextBody"/>
        <w:bidi w:val="0"/>
        <w:spacing w:before="120" w:after="283"/>
        <w:jc w:val="left"/>
        <w:rPr/>
      </w:pPr>
      <w:r>
        <w:rPr>
          <w:rFonts w:ascii="Arial" w:hAnsi="Arial"/>
          <w:b/>
          <w:i/>
          <w:color w:val="000000"/>
          <w:sz w:val="20"/>
        </w:rPr>
        <w:t xml:space="preserve">Target escape routes enabled by other proteins or pathways to further disrupt RAS/MAPK pathway signaling. </w:t>
      </w:r>
      <w:r>
        <w:rPr>
          <w:rFonts w:ascii="Arial" w:hAnsi="Arial"/>
          <w:color w:val="000000"/>
          <w:sz w:val="20"/>
        </w:rPr>
        <w:t xml:space="preserve">RAS-driven cancers utilize escape routes, namely cooperative mechanisms, to develop resistance to targeted therapies. By shutting down these potential escape routes, we aim to provide more robust inhibition of oncogenic signaling. </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strategic focus on the RAS/MAPK pathway allows us to comprehensively target critical nodes in the pathway that could drive signaling. As shown in the figure below, our pipeline targets, either directly or indirectly, each of the signaling nodes colored in purple.</w:t>
      </w:r>
    </w:p>
    <w:p>
      <w:pPr>
        <w:pStyle w:val="TextBody"/>
        <w:bidi w:val="0"/>
        <w:jc w:val="center"/>
        <w:rPr/>
      </w:pPr>
      <w:r>
        <w:rPr/>
        <w:drawing>
          <wp:inline distT="0" distB="0" distL="0" distR="0">
            <wp:extent cx="3486150" cy="410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86150" cy="41052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Our innovation model</w:t>
      </w:r>
    </w:p>
    <w:p>
      <w:pPr>
        <w:pStyle w:val="TextBody"/>
        <w:bidi w:val="0"/>
        <w:jc w:val="left"/>
        <w:rPr>
          <w:rFonts w:ascii="Arial" w:hAnsi="Arial"/>
          <w:color w:val="000000"/>
          <w:sz w:val="20"/>
        </w:rPr>
      </w:pPr>
      <w:r>
        <w:rPr>
          <w:rFonts w:ascii="Arial" w:hAnsi="Arial"/>
          <w:color w:val="000000"/>
          <w:sz w:val="20"/>
        </w:rPr>
        <w:t>Due to the magnitude of the challenge of erasing cancer, we are combining our robust internal development capabilities with a global in-licensing and acquisition strategy to assemble a modality-agnostic RAS/MAPK pathway-focused pipeline. We believe these complementary approaches to innovation provide us with important optionality, both therapeutically and strategically, as we endeavor to bring forth the next generation of potentially differentiated targeted therapies for RAS/MAPK pathway-driven cancers.</w:t>
      </w:r>
    </w:p>
    <w:p>
      <w:pPr>
        <w:pStyle w:val="TextBody"/>
        <w:bidi w:val="0"/>
        <w:spacing w:before="360" w:after="283"/>
        <w:jc w:val="left"/>
        <w:rPr>
          <w:rFonts w:ascii="Arial" w:hAnsi="Arial"/>
          <w:b/>
          <w:i/>
          <w:color w:val="000000"/>
          <w:sz w:val="20"/>
        </w:rPr>
      </w:pPr>
      <w:r>
        <w:rPr>
          <w:rFonts w:ascii="Arial" w:hAnsi="Arial"/>
          <w:b/>
          <w:i/>
          <w:color w:val="000000"/>
          <w:sz w:val="20"/>
        </w:rPr>
        <w:t>Internal development</w:t>
      </w:r>
    </w:p>
    <w:p>
      <w:pPr>
        <w:pStyle w:val="TextBody"/>
        <w:bidi w:val="0"/>
        <w:jc w:val="left"/>
        <w:rPr>
          <w:rFonts w:ascii="Arial" w:hAnsi="Arial"/>
          <w:color w:val="000000"/>
          <w:sz w:val="20"/>
        </w:rPr>
      </w:pPr>
      <w:r>
        <w:rPr>
          <w:rFonts w:ascii="Arial" w:hAnsi="Arial"/>
          <w:color w:val="000000"/>
          <w:sz w:val="20"/>
        </w:rPr>
        <w:t>We use computational biology and computational chemistry to accelerate our development activities. We have standardized how we characterize our compounds across in vitro/vivo activity, drug distribution, metabolism, and PK, structural, and secondary pharmacology assays, and centralized the storage of these data for automated analyses. These data are continuously reviewed by our scientific teams, and promising trends, including unpredicted ones that arise serendipitously, are prioritized for future exploration.</w:t>
      </w:r>
    </w:p>
    <w:p>
      <w:pPr>
        <w:pStyle w:val="TextBody"/>
        <w:bidi w:val="0"/>
        <w:jc w:val="left"/>
        <w:rPr>
          <w:rFonts w:ascii="Arial" w:hAnsi="Arial"/>
          <w:color w:val="000000"/>
          <w:sz w:val="20"/>
        </w:rPr>
      </w:pPr>
      <w:r>
        <w:rPr>
          <w:rFonts w:ascii="Arial" w:hAnsi="Arial"/>
          <w:color w:val="000000"/>
          <w:sz w:val="20"/>
        </w:rPr>
        <w:t>Based on our previous collective experiences at Ignyta, Roche/Genentech, Pfizer, and elsewhere, our team has extensive precision oncology expertise with dynamic clinical trial designs such as adaptive trials, biomarker-based basket and umbrella studies, and master protocols. We will continue to leverage this experience, in collaboration with industry and academic partners, in order to quickly demonstrate clinical proof-of-concept in a variety of tumor types for both single agent and combination approaches.</w:t>
      </w:r>
    </w:p>
    <w:p>
      <w:pPr>
        <w:pStyle w:val="TextBody"/>
        <w:bidi w:val="0"/>
        <w:spacing w:before="20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External sources of innovation</w:t>
      </w:r>
    </w:p>
    <w:p>
      <w:pPr>
        <w:pStyle w:val="TextBody"/>
        <w:bidi w:val="0"/>
        <w:jc w:val="left"/>
        <w:rPr>
          <w:rFonts w:ascii="Times New Roman" w:hAnsi="Times New Roman"/>
          <w:sz w:val="20"/>
        </w:rPr>
      </w:pPr>
      <w:r>
        <w:rPr>
          <w:rFonts w:ascii="Arial" w:hAnsi="Arial"/>
          <w:color w:val="000000"/>
          <w:sz w:val="20"/>
        </w:rPr>
        <w:t>We believe innovation in cancer therapy is a collective, global endeavor unlikely to emerge from a single company or a single platform. There are exciting product candidates, technologies, and approaches in development worldwide, and our innovation model gives us the flexibility to supplement our internal efforts with externally sourced assets through collaboration, in-license, or acquisition. We also established Erasca Ventures, our wholly-owned subsidiary, in March 2021 to make equity investments in early-stage biotechnology companies that are aligned with our mission and strategy. To date, we have in-licensed or acquired novel therapies from multiple geographic regions, including ERAS-0015, which we in-licensed from Joyo, ERAS-4001, which we in-licensed from Medshine Discovery Inc. (Medshine), and our ERAS-12 program, which we acquired from Emerge Life Sciences, Pte. Ltd. (ELS).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leverage our extensive network of preferred relationships with our Scientific Advisory Board and our Research, Development, and Commercial Advisory Board, as well as leading institutional investors, investment banks, academic institutions, and biopharmaceutical companies that keep us apprised of assets of strategic interest. We pursue the best science in the world, regardless of its origin, and will continue to opportunistically evaluate additional opportunities to strengthen and diversify our pipeline through academic and biopharmaceutical collaborations, in-licenses, acquisitions, and strategic investments that meet our high scientific bar and can help us advance our mission to erase cancer.</w:t>
      </w:r>
    </w:p>
    <w:p>
      <w:pPr>
        <w:pStyle w:val="TextBody"/>
        <w:bidi w:val="0"/>
        <w:spacing w:before="360" w:after="283"/>
        <w:jc w:val="left"/>
        <w:rPr>
          <w:rFonts w:ascii="Arial" w:hAnsi="Arial"/>
          <w:b/>
          <w:i/>
          <w:color w:val="000000"/>
          <w:sz w:val="20"/>
        </w:rPr>
      </w:pPr>
      <w:r>
        <w:rPr>
          <w:rFonts w:ascii="Arial" w:hAnsi="Arial"/>
          <w:b/>
          <w:i/>
          <w:color w:val="000000"/>
          <w:sz w:val="20"/>
        </w:rPr>
        <w:t>Modality-agnostic pipeline</w:t>
      </w:r>
    </w:p>
    <w:p>
      <w:pPr>
        <w:pStyle w:val="TextBody"/>
        <w:bidi w:val="0"/>
        <w:jc w:val="left"/>
        <w:rPr>
          <w:rFonts w:ascii="Arial" w:hAnsi="Arial"/>
          <w:color w:val="000000"/>
          <w:sz w:val="20"/>
        </w:rPr>
      </w:pPr>
      <w:r>
        <w:rPr>
          <w:rFonts w:ascii="Arial" w:hAnsi="Arial"/>
          <w:color w:val="000000"/>
          <w:sz w:val="20"/>
        </w:rPr>
        <w:t>Cancer is a complex, heterogeneous disease that is unlikely to succumb to a one-size-fits-all approach. We believe shutting down the RAS/MAPK pathway in cancer requires a systematic, data-driven approach to development, part of which involves choosing the most appropriate technology for the target of interest, or what we call a modality-agnostic approach. We therefore seek to understand the biology of the target of interest first, and then choose the therapeutic modality best suited to optimally inhibit that target. We are currently utilizing several modalities to target the RAS/MAPK pathway, including small and large molecule therapeutics.</w:t>
      </w:r>
    </w:p>
    <w:p>
      <w:pPr>
        <w:pStyle w:val="TextBody"/>
        <w:bidi w:val="0"/>
        <w:jc w:val="left"/>
        <w:rPr>
          <w:rFonts w:ascii="Arial" w:hAnsi="Arial"/>
          <w:color w:val="000000"/>
          <w:sz w:val="20"/>
        </w:rPr>
      </w:pPr>
      <w:r>
        <w:rPr>
          <w:rFonts w:ascii="Arial" w:hAnsi="Arial"/>
          <w:color w:val="000000"/>
          <w:sz w:val="20"/>
        </w:rPr>
        <w:t>For example, we are developing proprietary bispecific antibodies that are designed to bind EGFR in both the active and inactive conformations, potentially leading to deeper inhibition of EGFR-mediated RAS/MAPK pathway signaling. In addition to inhibiting EGFR signaling, our bispecific antibodies are designed to induce higher orders of EGFR receptor clustering on the cell surface, which may induce antitumor activity mediated by the immune system, such as antibody-dependent cellular cytotoxicity, antibody-dependent cellular phagocytosis, and/or complement-dependent cytotoxicity. We believe these design attributes can potentially enable our proprietary bispecific anti-EGFR antibodies to achieve meaningfully improved activity relative to currently approved anti-EGFR antibodies, such as cetuximab, panitumumab, and amivantamab, since those antibodies preferentially bind EGFR only in the inactive state and may not as strongly elicit antitumor immunological responses.</w:t>
      </w:r>
    </w:p>
    <w:p>
      <w:pPr>
        <w:pStyle w:val="TextBody"/>
        <w:bidi w:val="0"/>
        <w:spacing w:before="360" w:after="283"/>
        <w:jc w:val="left"/>
        <w:rPr>
          <w:rFonts w:ascii="Arial" w:hAnsi="Arial"/>
          <w:b/>
          <w:color w:val="000000"/>
          <w:sz w:val="22"/>
        </w:rPr>
      </w:pPr>
      <w:r>
        <w:rPr>
          <w:rFonts w:ascii="Arial" w:hAnsi="Arial"/>
          <w:b/>
          <w:color w:val="000000"/>
          <w:sz w:val="22"/>
        </w:rPr>
        <w:t>Our pipeline</w:t>
      </w:r>
    </w:p>
    <w:p>
      <w:pPr>
        <w:pStyle w:val="TextBody"/>
        <w:bidi w:val="0"/>
        <w:jc w:val="left"/>
        <w:rPr>
          <w:rFonts w:ascii="Arial" w:hAnsi="Arial"/>
          <w:color w:val="000000"/>
          <w:sz w:val="20"/>
        </w:rPr>
      </w:pPr>
      <w:r>
        <w:rPr>
          <w:rFonts w:ascii="Arial" w:hAnsi="Arial"/>
          <w:color w:val="000000"/>
          <w:sz w:val="20"/>
        </w:rPr>
        <w:t>We have assembled a RAS/MAPK pathway-focused pipeline, consisting of modality-agnostic programs aligned with our three therapeutic strategies of: (1) targeting key upstream and downstream signaling nodes in the RAS/MAPK pathway; (2) targeting RAS directly; and (3) targeting escape routes that emerge in response to treatment. The table below summarizes our current pipeline. We have exclusive worldwide development and commercial rights for all of our programs.</w:t>
      </w:r>
    </w:p>
    <w:p>
      <w:pPr>
        <w:pStyle w:val="TextBody"/>
        <w:bidi w:val="0"/>
        <w:jc w:val="left"/>
        <w:rPr/>
      </w:pPr>
      <w:r>
        <w:rPr/>
        <w:t> </w:t>
      </w:r>
    </w:p>
    <w:p>
      <w:pPr>
        <w:pStyle w:val="TextBody"/>
        <w:bidi w:val="0"/>
        <w:jc w:val="center"/>
        <w:rPr/>
      </w:pPr>
      <w:r>
        <w:rPr/>
        <w:drawing>
          <wp:inline distT="0" distB="0" distL="0" distR="0">
            <wp:extent cx="5991225" cy="1400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91225" cy="1400175"/>
                    </a:xfrm>
                    <a:prstGeom prst="rect">
                      <a:avLst/>
                    </a:prstGeom>
                  </pic:spPr>
                </pic:pic>
              </a:graphicData>
            </a:graphic>
          </wp:inline>
        </w:drawing>
      </w:r>
    </w:p>
    <w:p>
      <w:pPr>
        <w:pStyle w:val="TextBody"/>
        <w:bidi w:val="0"/>
        <w:spacing w:before="20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60"/>
        <w:jc w:val="left"/>
        <w:rPr>
          <w:rFonts w:ascii="Arial" w:hAnsi="Arial"/>
          <w:b/>
          <w:i/>
          <w:color w:val="000000"/>
          <w:sz w:val="20"/>
        </w:rPr>
      </w:pPr>
      <w:r>
        <w:rPr>
          <w:rFonts w:ascii="Arial" w:hAnsi="Arial"/>
          <w:b/>
          <w:i/>
          <w:color w:val="000000"/>
          <w:sz w:val="20"/>
        </w:rPr>
        <w:t>RAS Franchise: ERAS-0015 pan-RAS molecular glue and ERAS-4001 pan-KRAS small molecule inhibitor</w:t>
      </w:r>
    </w:p>
    <w:p>
      <w:pPr>
        <w:pStyle w:val="TextBody"/>
        <w:bidi w:val="0"/>
        <w:jc w:val="left"/>
        <w:rPr>
          <w:rFonts w:ascii="Arial" w:hAnsi="Arial"/>
          <w:color w:val="000000"/>
          <w:sz w:val="20"/>
        </w:rPr>
      </w:pPr>
      <w:r>
        <w:rPr>
          <w:rFonts w:ascii="Arial" w:hAnsi="Arial"/>
          <w:color w:val="000000"/>
          <w:sz w:val="20"/>
        </w:rPr>
        <w:t>Our RAS franchise consists of two clinical-stage programs: ERAS-0015, a pan-RAS molecular glue and ERAS-4001, a pan-KRAS small molecule inhibitor, for which both INDs were cleared by the FDA in May 2025. Phase 1 monotherapy data readouts are expected for ERAS-0015 (AURORAS-1 and JYP0015M101) in the first half of 2026, and ERAS-4001 (BOREALIS-1) in the second half of 2026. For both data readouts, the data are expected to include safety, PK, and efficacy results at relevant dose(s) in relevant population(s) of interest.</w:t>
      </w:r>
    </w:p>
    <w:p>
      <w:pPr>
        <w:pStyle w:val="TextBody"/>
        <w:bidi w:val="0"/>
        <w:jc w:val="left"/>
        <w:rPr>
          <w:rFonts w:ascii="Times New Roman" w:hAnsi="Times New Roman"/>
          <w:sz w:val="20"/>
        </w:rPr>
      </w:pPr>
      <w:r>
        <w:rPr>
          <w:rFonts w:ascii="Arial" w:hAnsi="Arial"/>
          <w:color w:val="000000"/>
          <w:sz w:val="20"/>
        </w:rPr>
        <w:t>Both molecules exceed our target product profile across three key attributes: potency, favorable ADME/PK properties including oral bioavailability, and strong IP position. We are pursuing a clinical development strategy that we believe could enable us to address RAS mutant tumor types where there is the highest unmet medical need, including CRC, PDAC, and NSCLC. We plan to move swiftly into strategic combinations while, in parallel, characterizing the monotherapy activity and combination potential of each molecule. We also plan on capitalizing on our unique portfolio which has complementary proposed mechanisms of action and target profiles to develop novel combinations.</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ERAS-0015: our pan-RAS molecular glue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ERAS-0015's improved potency and oral bioavailability may enable dosing at a lower dose, which could translate into linear PK across biologically relevant doses, better GI tolerability profile given the lower drug load in the GI tract, and an improved therapeutic window.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Biophysical characterization of ERAS-0015</w:t>
      </w:r>
    </w:p>
    <w:p>
      <w:pPr>
        <w:pStyle w:val="TextBody"/>
        <w:bidi w:val="0"/>
        <w:jc w:val="left"/>
        <w:rPr>
          <w:rFonts w:ascii="Arial" w:hAnsi="Arial"/>
          <w:color w:val="000000"/>
          <w:sz w:val="20"/>
        </w:rPr>
      </w:pPr>
      <w:r>
        <w:rPr>
          <w:rFonts w:ascii="Arial" w:hAnsi="Arial"/>
          <w:color w:val="000000"/>
          <w:sz w:val="20"/>
        </w:rPr>
        <w:t>ERAS-0015 is a pan-RAS molecular glue that we believe has the potential to treat patients with RAS mutant solid tumors. The molecule forms a tripartite complex with Cyclophilin A (CypA) and the active form of RAS to inhibit RAS-dependent signaling. In surface plasmon residence (SPR) and isothermal titration calorimetry (ITC) binding assays, ERAS-0015 has demonstrated 8-21-fold higher binding affinity to cyclophilin A relative to RMC-6236 (the leading pan-RAS molecular glue in development), which we believe may enable more potent inhibition of RAS signaling.</w:t>
      </w:r>
    </w:p>
    <w:p>
      <w:pPr>
        <w:pStyle w:val="TextBody"/>
        <w:bidi w:val="0"/>
        <w:jc w:val="left"/>
        <w:rPr/>
      </w:pPr>
      <w:r>
        <w:rPr/>
        <w:t> </w:t>
      </w:r>
    </w:p>
    <w:p>
      <w:pPr>
        <w:pStyle w:val="TextBody"/>
        <w:bidi w:val="0"/>
        <w:jc w:val="center"/>
        <w:rPr/>
      </w:pPr>
      <w:r>
        <w:rPr/>
        <w:drawing>
          <wp:inline distT="0" distB="0" distL="0" distR="0">
            <wp:extent cx="4152900" cy="1438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52900" cy="14382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performed a tumor PK distribution assessment in TGI studies of ERAS-0015 versus RMC-6236 in PK-59 and PSN-1 CDX models. PK concentrations of paired tumor and blood samples were measured at 4 and 24 hours after the last dose of the TGI studies.</w:t>
      </w:r>
    </w:p>
    <w:p>
      <w:pPr>
        <w:pStyle w:val="TextBody"/>
        <w:bidi w:val="0"/>
        <w:jc w:val="left"/>
        <w:rPr>
          <w:rFonts w:ascii="Arial" w:hAnsi="Arial"/>
          <w:color w:val="000000"/>
          <w:sz w:val="20"/>
        </w:rPr>
      </w:pPr>
      <w:r>
        <w:rPr>
          <w:rFonts w:ascii="Arial" w:hAnsi="Arial"/>
          <w:color w:val="000000"/>
          <w:sz w:val="20"/>
        </w:rPr>
        <w:t>In the PK-59 CDX study, the dose normalized ERAS-0015 (across 3 ERAS-0015 dose levels: 0.1, 0.3, and 1 milligrams per kilograms (mpk)) tumor PK exposures relative to the corresponding blood concentrations at 4 and 24 hours post-dose were much higher compared to the same measure for RMC-6236 (dose normalized for 2 RMC-6236 dose levels: 1 and 3 mpk), indicating preferential tumor distribution for ERAS-0015. In addition, the decrease in ERAS-0015 tumor concentrations from 4 to 24 hours post-dose was much smaller compared to that of RMC-6236, suggesting longer tumor residence time for ERAS-0015.</w:t>
      </w:r>
    </w:p>
    <w:p>
      <w:pPr>
        <w:pStyle w:val="TextBody"/>
        <w:bidi w:val="0"/>
        <w:jc w:val="left"/>
        <w:rPr>
          <w:rFonts w:ascii="Times New Roman" w:hAnsi="Times New Roman"/>
          <w:sz w:val="20"/>
        </w:rPr>
      </w:pPr>
      <w:r>
        <w:rPr>
          <w:rFonts w:ascii="Arial" w:hAnsi="Arial"/>
          <w:color w:val="000000"/>
          <w:sz w:val="20"/>
        </w:rPr>
        <w:t>Similar findings were also observed in the PSN-1 CDX study as shown in the figure below. (In the PSN-1 model, ERAS-0015 exposures were dose normalized across 0.3 and 1 mpk; RMC-6236 exposures were dose normalized across 3 and 10 mpk).</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Taken together, these data demonstrated that ERAS-0015 showed preferential tumor distribution and longer residence time relative to RMC-6236, which we believe may help drive greater antitumor activity. We believe that the preferential tumor distribution and longer residence time could be related to the higher CypA binding affinity.</w:t>
      </w:r>
    </w:p>
    <w:p>
      <w:pPr>
        <w:pStyle w:val="TextBody"/>
        <w:bidi w:val="0"/>
        <w:spacing w:before="20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029325" cy="2743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29325" cy="27432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Preclinical potency of ERAS-0015</w:t>
      </w:r>
    </w:p>
    <w:p>
      <w:pPr>
        <w:pStyle w:val="TextBody"/>
        <w:bidi w:val="0"/>
        <w:jc w:val="left"/>
        <w:rPr>
          <w:rFonts w:ascii="Times New Roman" w:hAnsi="Times New Roman"/>
          <w:sz w:val="20"/>
        </w:rPr>
      </w:pPr>
      <w:r>
        <w:rPr>
          <w:rFonts w:ascii="Arial" w:hAnsi="Arial"/>
          <w:color w:val="000000"/>
          <w:sz w:val="20"/>
        </w:rPr>
        <w:t>In multiple in vitro cell lines containing representative mutations in KRAS G12X, Q61R, and G13D as well as KRAS wildtype, ERAS-0015 showed superior in vitro potency when compared to RMC-6236 with an average of 5 times greater potency. The molecule</w:t>
      </w:r>
      <w:r>
        <w:rPr>
          <w:rFonts w:ascii="Times New Roman" w:hAnsi="Times New Roman"/>
          <w:color w:val="000000"/>
          <w:sz w:val="20"/>
        </w:rPr>
        <w:t xml:space="preserve"> </w:t>
      </w:r>
      <w:r>
        <w:rPr>
          <w:rFonts w:ascii="Arial" w:hAnsi="Arial"/>
          <w:color w:val="000000"/>
          <w:sz w:val="20"/>
        </w:rPr>
        <w:t>showed subnanomolar to nanomolar potency against KRAS G12X, G13D, and KRAS wildtype and was also active against HRAS and NRAS. ERAS-0015 showed no activity in the BRAF V600E A375 cell line, demonstrating selective inhibition of RAS.</w:t>
      </w:r>
    </w:p>
    <w:p>
      <w:pPr>
        <w:pStyle w:val="TextBody"/>
        <w:bidi w:val="0"/>
        <w:jc w:val="left"/>
        <w:rPr/>
      </w:pPr>
      <w:r>
        <w:rPr/>
        <w:t> </w:t>
      </w:r>
    </w:p>
    <w:p>
      <w:pPr>
        <w:pStyle w:val="TextBody"/>
        <w:bidi w:val="0"/>
        <w:jc w:val="center"/>
        <w:rPr/>
      </w:pPr>
      <w:r>
        <w:rPr/>
        <w:drawing>
          <wp:inline distT="0" distB="0" distL="0" distR="0">
            <wp:extent cx="5219700" cy="2962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19700" cy="29622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Preclinical efficacy of ERAS-0015</w:t>
      </w:r>
    </w:p>
    <w:p>
      <w:pPr>
        <w:pStyle w:val="TextBody"/>
        <w:bidi w:val="0"/>
        <w:jc w:val="left"/>
        <w:rPr>
          <w:rFonts w:ascii="Arial" w:hAnsi="Arial"/>
          <w:color w:val="000000"/>
          <w:sz w:val="20"/>
        </w:rPr>
      </w:pPr>
      <w:r>
        <w:rPr>
          <w:rFonts w:ascii="Arial" w:hAnsi="Arial"/>
          <w:color w:val="000000"/>
          <w:sz w:val="20"/>
        </w:rPr>
        <w:t>In vivo, ERAS-0015 achieved tumor regression in multiple CDX models across PDAC, CRC, and NSCLC tumor types at doses as low as 0.3 to 0.5 mpk. Potentially due to its greater binding affinity to CypA than RMC-6236, ERAS-0015 demonstrated comparable to greater in vivo antitumor activity at doses which were approximately one-tenth to one-eighth of the dose of RMC-6236.</w:t>
      </w:r>
    </w:p>
    <w:p>
      <w:pPr>
        <w:pStyle w:val="TextBody"/>
        <w:bidi w:val="0"/>
        <w:spacing w:before="20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example, in the PK-59 KRAS G12D PDAC model, tumor regression observed with RMC-6236 at 3 mpk was comparable to the regression observed with ERAS-0015 at 0.3 mpk. This difference in in vivo antitumor activity was observed across multiple CDX models including KRAS G12R PDAC CDX PSN-1 and KRAS G12V CRC CDX SW620. This difference in in vivo antitumor activity was also observed in the NCI-H727 KRAS G12V NSCLC CDX model. ERAS-0015 was able to achieve tumor regression at 1 mpk relative to RMC-6236 at 10 mpk.</w:t>
      </w:r>
    </w:p>
    <w:p>
      <w:pPr>
        <w:pStyle w:val="TextBody"/>
        <w:bidi w:val="0"/>
        <w:jc w:val="left"/>
        <w:rPr/>
      </w:pPr>
      <w:r>
        <w:rPr/>
        <w:t> </w:t>
      </w:r>
    </w:p>
    <w:p>
      <w:pPr>
        <w:pStyle w:val="TextBody"/>
        <w:bidi w:val="0"/>
        <w:jc w:val="center"/>
        <w:rPr/>
      </w:pPr>
      <w:r>
        <w:rPr/>
        <w:drawing>
          <wp:inline distT="0" distB="0" distL="0" distR="0">
            <wp:extent cx="6048375" cy="2085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048375" cy="20859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91250" cy="2619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191250" cy="26193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Activity was also observed with the combination of ERAS-0015 and anti-PD-1 therapy in a KPC KRAS G12D CDX model where tumor regression was maintained even after treatment with both molecules was stopped on Day 31. Furthermore, tumors did not form after rechallenge, which involved injecting tumor cells in the contralateral side of the animal without administering any drug therapy. These rechallenge data suggest that the combination of ERAS-0015 and anti-PD-1 can stimulate immunologic antitumor memory in the rechallenged mouse. Doses administered were tolerable as measured by body weight change.</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276975" cy="2733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276975" cy="27336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Pharmacokinetics and ADME of ERAS-0015</w:t>
      </w:r>
    </w:p>
    <w:p>
      <w:pPr>
        <w:pStyle w:val="TextBody"/>
        <w:bidi w:val="0"/>
        <w:jc w:val="left"/>
        <w:rPr>
          <w:rFonts w:ascii="Arial" w:hAnsi="Arial"/>
          <w:color w:val="000000"/>
          <w:sz w:val="20"/>
        </w:rPr>
      </w:pPr>
      <w:r>
        <w:rPr>
          <w:rFonts w:ascii="Arial" w:hAnsi="Arial"/>
          <w:color w:val="000000"/>
          <w:sz w:val="20"/>
        </w:rPr>
        <w:t>ERAS-0015 has shown encouraging PK results in multiple species, including mouse, rat, dog, and monkey. In a head-to-head comparison of ERAS-0015 and RMC-6236, ERAS-0015 outperformed RMC-6236 on three key metrics (specifically, lower clearance, longer half-life, and higher bioavailability demonstrated across all species tested) that we believe may provide ERAS-0015 a clinical advantage in the clinic over RMC-6236.</w:t>
      </w:r>
    </w:p>
    <w:p>
      <w:pPr>
        <w:pStyle w:val="TextBody"/>
        <w:bidi w:val="0"/>
        <w:jc w:val="left"/>
        <w:rPr/>
      </w:pPr>
      <w:r>
        <w:rPr/>
        <w:t> </w:t>
      </w:r>
    </w:p>
    <w:p>
      <w:pPr>
        <w:pStyle w:val="TextBody"/>
        <w:bidi w:val="0"/>
        <w:jc w:val="center"/>
        <w:rPr/>
      </w:pPr>
      <w:r>
        <w:rPr/>
        <w:drawing>
          <wp:inline distT="0" distB="0" distL="0" distR="0">
            <wp:extent cx="5857875" cy="2724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857875" cy="27241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ERAS-0015 has shown favorable overall ADME properties in vitro and encouraging PK characteristics in in vivo animal studies that we believe support development in the clinic. Based on the differentiated potency and PK/ADME results, we predict that ERAS-0015 will be efficacious at lower doses than the leading pan-RAS molecular glue in development, which may lower the risk of solubility-limited absorption issues and enable linear PK exposure relative to the leading pan-RAS molecular glue in development. In addition, the GLP hERG IC50 was 6.0 micromolar which suggests potentially low concern for cardiovascular risk.</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4772025" cy="2476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772025" cy="2476500"/>
                    </a:xfrm>
                    <a:prstGeom prst="rect">
                      <a:avLst/>
                    </a:prstGeom>
                  </pic:spPr>
                </pic:pic>
              </a:graphicData>
            </a:graphic>
          </wp:inline>
        </w:drawing>
      </w:r>
    </w:p>
    <w:p>
      <w:pPr>
        <w:pStyle w:val="TextBody"/>
        <w:bidi w:val="0"/>
        <w:jc w:val="center"/>
        <w:rPr/>
      </w:pPr>
      <w:r>
        <w:rPr/>
        <w:t> </w:t>
      </w:r>
    </w:p>
    <w:p>
      <w:pPr>
        <w:pStyle w:val="TextBody"/>
        <w:bidi w:val="0"/>
        <w:spacing w:before="360" w:after="283"/>
        <w:jc w:val="left"/>
        <w:rPr>
          <w:rFonts w:ascii="Arial" w:hAnsi="Arial"/>
          <w:i/>
          <w:color w:val="000000"/>
          <w:sz w:val="20"/>
        </w:rPr>
      </w:pPr>
      <w:r>
        <w:rPr>
          <w:rFonts w:ascii="Arial" w:hAnsi="Arial"/>
          <w:i/>
          <w:color w:val="000000"/>
          <w:sz w:val="20"/>
        </w:rPr>
        <w:t>Initial clinical development strategy for ERAS-0015</w:t>
      </w:r>
    </w:p>
    <w:p>
      <w:pPr>
        <w:pStyle w:val="TextBody"/>
        <w:bidi w:val="0"/>
        <w:jc w:val="left"/>
        <w:rPr>
          <w:rFonts w:ascii="Arial" w:hAnsi="Arial"/>
          <w:color w:val="000000"/>
          <w:sz w:val="20"/>
        </w:rPr>
      </w:pPr>
      <w:r>
        <w:rPr>
          <w:rFonts w:ascii="Arial" w:hAnsi="Arial"/>
          <w:color w:val="000000"/>
          <w:sz w:val="20"/>
        </w:rPr>
        <w:t>Our initial clinical trial for ERAS-0015 is called AURORAS-1. The AURORAS-1 trial is assessing ERAS-0015 as a monotherapy and in combination with approved and unapproved therapies for the treatment of patients with RASm solid tumors. ERAS-0015 is also being evaluated in JYP0015M101, a clinical trial in China sponsored by Joyo that is assessing ERAS-0015 in adult patients with advanced solid tumors harboring specific RAS mutations. We anticipate a Phase 1 monotherapy data readout from the AURORAS-1 and JYP0015M101 trials in the first half of 2026. In addition, we anticipate the initiation of monotherapy expansion cohorts and combination dose escalation cohorts as part of the AURORAS-1 trial in the second half of 2026, with associated data readouts planned for 2027.</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we have entered into a clinical trial collaboration and supply agreement (CTCSA) with Tango Therapeutics, Inc. (Tango) to enable the evaluation of ERAS-0015 with Tango's PRMT5 inhibitor, vopimetostat, in a Phase 1 clinical trial sponsored by Tango. Pursuant to the CTCSA, Erasca will supply ERAS-0015 to Tango free of charge and Tango will be responsible for sponsoring the trial and the costs related to the trial.</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Early clinical progress of ERAS-0015</w:t>
      </w:r>
    </w:p>
    <w:p>
      <w:pPr>
        <w:pStyle w:val="TextBody"/>
        <w:bidi w:val="0"/>
        <w:jc w:val="both"/>
        <w:rPr>
          <w:rFonts w:ascii="Times New Roman" w:hAnsi="Times New Roman"/>
          <w:sz w:val="20"/>
        </w:rPr>
      </w:pPr>
      <w:r>
        <w:rPr>
          <w:rFonts w:ascii="Arial" w:hAnsi="Arial"/>
          <w:color w:val="000000"/>
          <w:sz w:val="20"/>
        </w:rPr>
        <w:t>On January 12, 2026, we provided an update regarding the initial clinical progress of ERAS-0015. The update consisted of the following, as of a data cutoff of January 7, 2026:</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Dose escalation in the ongoing AURORAS-1 Phase 1 trial was advancing faster than anticipated, underscoring significant unmet medical need and high investigator and patient enthusiasm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Ongoing confirmed and unconfirmed responses were observed in multiple patients with differing tumor types and RAS mutations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Ongoing responses (two confirmed partial responses (PRs) and one unconfirmed PR) were observed in patients with different tumor types and RAS mutations achieved at a low dose of 8 mg QD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Additional ongoing unconfirmed responses were observed in patients at doses above 8 mg QD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Favorable safety and tolerability results, with no dose-limiting toxicities and predominantly low-grade adverse events observed at all dose levels evaluated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Well-behaved, linear PK across all dose levels evaluated to date with no observed evidence of exposure plateau </w:t>
      </w:r>
    </w:p>
    <w:p>
      <w:pPr>
        <w:pStyle w:val="TextBody"/>
        <w:bidi w:val="0"/>
        <w:jc w:val="left"/>
        <w:rPr>
          <w:rFonts w:ascii="Times New Roman" w:hAnsi="Times New Roman"/>
          <w:sz w:val="20"/>
        </w:rPr>
      </w:pPr>
      <w:r>
        <w:rPr>
          <w:rFonts w:ascii="Arial" w:hAnsi="Arial"/>
          <w:color w:val="000000"/>
          <w:sz w:val="20"/>
        </w:rPr>
        <w:t>On January 20, 2026, we announced that subsequent to the cut-off date, we have dosed patients at 40 mg QD.</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ERAS-4001: our pan-KRAS small molecule inhibitor</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Biophysical characterization and preclinical potency of ERAS-4001</w:t>
      </w:r>
    </w:p>
    <w:p>
      <w:pPr>
        <w:pStyle w:val="TextBody"/>
        <w:bidi w:val="0"/>
        <w:jc w:val="left"/>
        <w:rPr>
          <w:rFonts w:ascii="Arial" w:hAnsi="Arial"/>
          <w:color w:val="000000"/>
          <w:sz w:val="20"/>
        </w:rPr>
      </w:pPr>
      <w:r>
        <w:rPr>
          <w:rFonts w:ascii="Arial" w:hAnsi="Arial"/>
          <w:color w:val="000000"/>
          <w:sz w:val="20"/>
        </w:rPr>
        <w:t>ERAS-4001 is a pan-KRAS small molecule inhibitor that demonstrated high affinity and long target residence time in vitro against multiple KRAS G12X mutations as well as KRAS wildtype, and selectivity for KRAS wildtype over HRAS wildtype and NRAS wildtype.</w:t>
      </w:r>
    </w:p>
    <w:p>
      <w:pPr>
        <w:pStyle w:val="TextBody"/>
        <w:bidi w:val="0"/>
        <w:jc w:val="left"/>
        <w:rPr/>
      </w:pPr>
      <w:r>
        <w:rPr/>
        <w:t> </w:t>
      </w:r>
    </w:p>
    <w:p>
      <w:pPr>
        <w:pStyle w:val="TextBody"/>
        <w:bidi w:val="0"/>
        <w:jc w:val="center"/>
        <w:rPr/>
      </w:pPr>
      <w:r>
        <w:rPr/>
        <w:drawing>
          <wp:inline distT="0" distB="0" distL="0" distR="0">
            <wp:extent cx="4695825" cy="2095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695825" cy="2095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ERAS-4001 potently and selectively inhibited multiple cell lines that represent </w:t>
      </w:r>
      <w:r>
        <w:rPr>
          <w:rFonts w:ascii="Arial" w:hAnsi="Arial"/>
          <w:color w:val="323130"/>
          <w:sz w:val="20"/>
        </w:rPr>
        <w:t xml:space="preserve">KRAS G12X, G13D, and </w:t>
      </w:r>
      <w:r>
        <w:rPr>
          <w:rFonts w:ascii="Arial" w:hAnsi="Arial"/>
          <w:color w:val="000000"/>
          <w:sz w:val="20"/>
        </w:rPr>
        <w:t>wildtype with single digit nanomolar potency. Demonstrating selective inhibition of KRAS, ERAS-4001 showed no activity in two KRAS independent cell lines, which are shown at the bottom.</w:t>
      </w:r>
    </w:p>
    <w:p>
      <w:pPr>
        <w:pStyle w:val="TextBody"/>
        <w:bidi w:val="0"/>
        <w:jc w:val="left"/>
        <w:rPr/>
      </w:pPr>
      <w:r>
        <w:rPr/>
        <w:t> </w:t>
      </w:r>
    </w:p>
    <w:p>
      <w:pPr>
        <w:pStyle w:val="TextBody"/>
        <w:bidi w:val="0"/>
        <w:jc w:val="center"/>
        <w:rPr/>
      </w:pPr>
      <w:r>
        <w:rPr/>
        <w:drawing>
          <wp:inline distT="0" distB="0" distL="0" distR="0">
            <wp:extent cx="4371975" cy="3248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371975" cy="3248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biochemical assays, ERAS-4001 potently inhibited KRAS in both the GTP- and GDP-bound states with single digit nanomolar IC50s. ERAS-4001’s potent disruption of binding between KRAS G12D and the RAS-binding domain peptide is intended to model ERAS-4001’s potential to block KRAS from signaling downstream via the RAS/MAPK pathway. ERAS-4001 showed the potential to inhibit KRAS mutants where KRAS spends more time in the activated GTP-bound state, such as G12D and G12V mutations.</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819775" cy="1028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819775" cy="10287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Preclinical activity of ERAS-4001</w:t>
      </w:r>
    </w:p>
    <w:p>
      <w:pPr>
        <w:pStyle w:val="TextBody"/>
        <w:bidi w:val="0"/>
        <w:jc w:val="left"/>
        <w:rPr>
          <w:rFonts w:ascii="Arial" w:hAnsi="Arial"/>
          <w:color w:val="000000"/>
          <w:sz w:val="20"/>
        </w:rPr>
      </w:pPr>
      <w:r>
        <w:rPr>
          <w:rFonts w:ascii="Arial" w:hAnsi="Arial"/>
          <w:color w:val="000000"/>
          <w:sz w:val="20"/>
        </w:rPr>
        <w:t>ERAS-4001 showed encouraging in vivo activity in multiple CDX models. ERAS-4001 achieved tumor stasis and regression in three sensitive KRAS G12D models and one sensitive KRAS G12V model. In addition, ERAS-4001 showed promising activity in the pan-KRAS inhibitor insensitive model, the KRAS G12V mutant CDX NCI-H727.</w:t>
      </w:r>
    </w:p>
    <w:p>
      <w:pPr>
        <w:pStyle w:val="TextBody"/>
        <w:bidi w:val="0"/>
        <w:jc w:val="left"/>
        <w:rPr/>
      </w:pPr>
      <w:r>
        <w:rPr/>
        <w:t> </w:t>
      </w:r>
    </w:p>
    <w:p>
      <w:pPr>
        <w:pStyle w:val="TextBody"/>
        <w:bidi w:val="0"/>
        <w:jc w:val="center"/>
        <w:rPr/>
      </w:pPr>
      <w:r>
        <w:rPr/>
        <w:drawing>
          <wp:inline distT="0" distB="0" distL="0" distR="0">
            <wp:extent cx="4543425" cy="2705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543425" cy="27051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ERAS-4001 has also demonstrated antitumor activity in combination with an anti-PD-1 in a KPC KRAS G12D CDX model where tumor regression was maintained even after treatment with both molecules was stopped on Day 38. Furthermore, no tumors formed in the rechallenge study, suggesting the combination of ERAS-4001 and anti-PD-1 can stimulate immunologic antitumor memory in the rechallenged mouse.</w:t>
      </w:r>
    </w:p>
    <w:p>
      <w:pPr>
        <w:pStyle w:val="TextBody"/>
        <w:bidi w:val="0"/>
        <w:jc w:val="left"/>
        <w:rPr/>
      </w:pPr>
      <w:r>
        <w:rPr/>
        <w:t> </w:t>
      </w:r>
    </w:p>
    <w:p>
      <w:pPr>
        <w:pStyle w:val="TextBody"/>
        <w:bidi w:val="0"/>
        <w:jc w:val="center"/>
        <w:rPr/>
      </w:pPr>
      <w:r>
        <w:rPr/>
        <w:drawing>
          <wp:inline distT="0" distB="0" distL="0" distR="0">
            <wp:extent cx="6181725" cy="2276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181725" cy="2276475"/>
                    </a:xfrm>
                    <a:prstGeom prst="rect">
                      <a:avLst/>
                    </a:prstGeom>
                  </pic:spPr>
                </pic:pic>
              </a:graphicData>
            </a:graphic>
          </wp:inline>
        </w:drawing>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Pharmacokinetics and ADME of ERAS-4001</w:t>
      </w:r>
    </w:p>
    <w:p>
      <w:pPr>
        <w:pStyle w:val="TextBody"/>
        <w:bidi w:val="0"/>
        <w:jc w:val="left"/>
        <w:rPr>
          <w:rFonts w:ascii="Arial" w:hAnsi="Arial"/>
          <w:color w:val="000000"/>
          <w:sz w:val="20"/>
        </w:rPr>
      </w:pPr>
      <w:r>
        <w:rPr>
          <w:rFonts w:ascii="Arial" w:hAnsi="Arial"/>
          <w:color w:val="000000"/>
          <w:sz w:val="20"/>
        </w:rPr>
        <w:t>ERAS-4001 showed encouraging PK results, including oral bioavailability in mouse, rat, and dog.</w:t>
      </w:r>
    </w:p>
    <w:p>
      <w:pPr>
        <w:pStyle w:val="TextBody"/>
        <w:bidi w:val="0"/>
        <w:jc w:val="left"/>
        <w:rPr/>
      </w:pPr>
      <w:r>
        <w:rPr/>
        <w:t> </w:t>
      </w:r>
    </w:p>
    <w:p>
      <w:pPr>
        <w:pStyle w:val="TextBody"/>
        <w:bidi w:val="0"/>
        <w:jc w:val="center"/>
        <w:rPr/>
      </w:pPr>
      <w:r>
        <w:rPr/>
        <w:drawing>
          <wp:inline distT="0" distB="0" distL="0" distR="0">
            <wp:extent cx="5038725" cy="2390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038725" cy="23907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ERAS-4001 demonstrated favorable ADME results in vitro. The GLP cardiovascular telemetry study in dogs showed no QTc prolongation.</w:t>
      </w:r>
    </w:p>
    <w:p>
      <w:pPr>
        <w:pStyle w:val="TextBody"/>
        <w:bidi w:val="0"/>
        <w:jc w:val="left"/>
        <w:rPr/>
      </w:pPr>
      <w:r>
        <w:rPr/>
        <w:t> </w:t>
      </w:r>
    </w:p>
    <w:p>
      <w:pPr>
        <w:pStyle w:val="TextBody"/>
        <w:bidi w:val="0"/>
        <w:jc w:val="center"/>
        <w:rPr/>
      </w:pPr>
      <w:r>
        <w:rPr/>
        <w:drawing>
          <wp:inline distT="0" distB="0" distL="0" distR="0">
            <wp:extent cx="5181600" cy="25431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181600" cy="25431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Initial clinical development strategy for ERAS-4001</w:t>
      </w:r>
    </w:p>
    <w:p>
      <w:pPr>
        <w:pStyle w:val="TextBody"/>
        <w:bidi w:val="0"/>
        <w:jc w:val="left"/>
        <w:rPr>
          <w:rFonts w:ascii="Arial" w:hAnsi="Arial"/>
          <w:color w:val="000000"/>
          <w:sz w:val="20"/>
        </w:rPr>
      </w:pPr>
      <w:r>
        <w:rPr>
          <w:rFonts w:ascii="Arial" w:hAnsi="Arial"/>
          <w:color w:val="000000"/>
          <w:sz w:val="20"/>
        </w:rPr>
        <w:t>The initial clinical trial for ERAS-4001 is called BOREALIS-1. The BOREALIS-1 trial is assessing ERAS-4001 as a monotherapy and in combination with approved and unapproved therapies for the treatment of patients with KRASm solid tumors. We anticipate a Phase 1 monotherapy data readout in the second half of 2026. In addition, we anticipate the initiation of monotherapy expansion cohorts and combination dose escalation cohorts in 2027.</w:t>
      </w:r>
    </w:p>
    <w:p>
      <w:pPr>
        <w:pStyle w:val="TextBody"/>
        <w:bidi w:val="0"/>
        <w:spacing w:before="20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ERAS-12: our EGFR D2/D3 biparatopic antibody program</w:t>
      </w:r>
    </w:p>
    <w:p>
      <w:pPr>
        <w:pStyle w:val="TextBody"/>
        <w:bidi w:val="0"/>
        <w:jc w:val="left"/>
        <w:rPr>
          <w:rFonts w:ascii="Times New Roman" w:hAnsi="Times New Roman"/>
          <w:sz w:val="20"/>
        </w:rPr>
      </w:pPr>
      <w:r>
        <w:rPr>
          <w:rFonts w:ascii="Arial" w:hAnsi="Arial"/>
          <w:color w:val="000000"/>
          <w:sz w:val="20"/>
        </w:rPr>
        <w:t>Inhibition of activated EGFR signaling mediated by overexpression of EGFR has shown promise in treating various tumors, including CRC and head and neck squamous cell carcinoma. In tumors where overexpression of wildtype EGFR is thought to be a primary driver of EGFR signaling, an antibody-based approach is an effective way to target the receptor, and approved antibodies have demonstrated good tolerability as well as activity by inhibiting EGFR activation and mediating antibody-dependent cellular cytotoxicity, a process by which the antibody alerts the immune system to attack the bound tumor cell. However, all approved anti-EGFR antibodies target D3 only, which is the main site for ligand binding, and no approved antibodies target D2, which is responsible for dimerization of EGFR upon ligand binding. Binding of D2 prevents both EGFR</w:t>
      </w:r>
      <w:r>
        <w:rPr>
          <w:rFonts w:ascii="Times New Roman" w:hAnsi="Times New Roman"/>
          <w:color w:val="000000"/>
          <w:sz w:val="20"/>
        </w:rPr>
        <w:t xml:space="preserve"> </w:t>
      </w:r>
      <w:r>
        <w:rPr>
          <w:rFonts w:ascii="Arial" w:hAnsi="Arial"/>
          <w:color w:val="000000"/>
          <w:sz w:val="20"/>
        </w:rPr>
        <w:t>homodimerization as well as heterodimerization. Overexpression of EGFR activates EGFR signaling by facilitating both homo- and heterodimerization. Consequently, an antibody that targets D2, the receptor domain responsible for dimerization upon ligand binding, would be predicted to be particularly efficacious.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Biparatopic antibodies are a subset of bispecific antibodies that have specificity for unique, non-overlapping epitopes found on the same molecular target. We have identified a lead biparatopic antibody that targets these two distinct domains on the EGFR receptor, which allows the antibody to inhibit both the ligand binding and dimerization functionality of the receptor.</w:t>
      </w:r>
    </w:p>
    <w:p>
      <w:pPr>
        <w:pStyle w:val="TextBody"/>
        <w:bidi w:val="0"/>
        <w:jc w:val="left"/>
        <w:rPr/>
      </w:pPr>
      <w:r>
        <w:rPr/>
        <w:t> </w:t>
      </w:r>
    </w:p>
    <w:p>
      <w:pPr>
        <w:pStyle w:val="TextBody"/>
        <w:bidi w:val="0"/>
        <w:jc w:val="center"/>
        <w:rPr/>
      </w:pPr>
      <w:r>
        <w:rPr/>
        <w:drawing>
          <wp:inline distT="0" distB="0" distL="0" distR="0">
            <wp:extent cx="5229225" cy="1447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229225" cy="1447800"/>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Diagram (A) visualizes the EGFR antibody ER-2a binding to the extracellular domain II of EGFR wildtype (purple), which is accessible when EGFR is in the active state. EGFR assumes an active state conformation when its ligand is bound (the bound ligand is shown in blue). Diagram (B) visualizes the EGFR antibody ER-3a binding to the extracellular domain III of EGFR wildtype (purple), which is accessible when EGFR is in the inactive state. In the rectangle, the portion of ER-2b that recognizes domain II of EGFR and the portion of ER-3b that recognizes domain III of EGFR are combined into a bispecific antibody that binds EGFR in both states.</w:t>
      </w:r>
    </w:p>
    <w:p>
      <w:pPr>
        <w:pStyle w:val="TextBody"/>
        <w:bidi w:val="0"/>
        <w:jc w:val="left"/>
        <w:rPr>
          <w:rFonts w:ascii="Times New Roman" w:hAnsi="Times New Roman"/>
          <w:sz w:val="20"/>
        </w:rPr>
      </w:pPr>
      <w:r>
        <w:rPr>
          <w:rFonts w:ascii="Arial" w:hAnsi="Arial"/>
          <w:color w:val="000000"/>
          <w:sz w:val="20"/>
        </w:rPr>
        <w:t>This dual inhibition can potentially achieve differentiated and potentially more effective EGFR inhibition than currently approved EGFR antibodies. Overall, we anticipate this strategy will result in better control of tumor growth and delay the emergence of resistance mechanisms.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Our lead ERAS-12 antibody is also designed with enhanced Fc-effector functions, including complement dependent cytotoxicity, antibody dependent cellular cytotoxicity, and antibody dependent cellular phagocytosis. The Fc region of IgG1 contains several binding sites for immune effector cells (i.e., Fcγ) and the classical complement protein C1q. As noted, our lead antibody is biparatopic, binding to both D2 and D3 of EGFR. This potentially can produce oligomerized EGFR-antibody structures on the cell surface. Complexes of this type can amplify Fc-effector functions creating multiple mechanisms to induce tumor cell death and encourage durable immune activity.</w:t>
      </w:r>
    </w:p>
    <w:p>
      <w:pPr>
        <w:pStyle w:val="TextBody"/>
        <w:bidi w:val="0"/>
        <w:jc w:val="left"/>
        <w:rPr/>
      </w:pPr>
      <w:r>
        <w:rPr/>
        <w:t> </w:t>
      </w:r>
    </w:p>
    <w:p>
      <w:pPr>
        <w:pStyle w:val="TextBody"/>
        <w:bidi w:val="0"/>
        <w:jc w:val="center"/>
        <w:rPr/>
      </w:pPr>
      <w:r>
        <w:rPr/>
        <w:drawing>
          <wp:inline distT="0" distB="0" distL="0" distR="0">
            <wp:extent cx="5229225" cy="1847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229225" cy="1847850"/>
                    </a:xfrm>
                    <a:prstGeom prst="rect">
                      <a:avLst/>
                    </a:prstGeom>
                  </pic:spPr>
                </pic:pic>
              </a:graphicData>
            </a:graphic>
          </wp:inline>
        </w:drawing>
      </w:r>
    </w:p>
    <w:p>
      <w:pPr>
        <w:pStyle w:val="TextBody"/>
        <w:bidi w:val="0"/>
        <w:spacing w:before="20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biparatopic antibody ER-3a/ER-2a and EGFR active state-binding antibody ER-2a inhibited cell growth in FaDu, an HNSCC cell line, and HCT-8, a CRC cell line, and the NSCLC cell line H1975. FaDu and HCT-8 expressed wildtype EGFR and H1975 expressed EGFR with two kinase domain mutations, L858R and T790M. EGFR’s ligand, EGF, was added to these cells to further stimulate EGFR activity and model environments where EGF is expressed. As expected, only the two antibodies that recognized the active state of EGFR, ER-3a/ER-2a, inhibited the proliferation of all three cell lines, as indicated by a reduced confluency percentage.</w:t>
      </w:r>
    </w:p>
    <w:p>
      <w:pPr>
        <w:pStyle w:val="TextBody"/>
        <w:bidi w:val="0"/>
        <w:spacing w:before="360" w:after="283"/>
        <w:jc w:val="left"/>
        <w:rPr>
          <w:rFonts w:ascii="Arial" w:hAnsi="Arial"/>
          <w:b/>
          <w:color w:val="000000"/>
          <w:sz w:val="22"/>
        </w:rPr>
      </w:pPr>
      <w:r>
        <w:rPr>
          <w:rFonts w:ascii="Arial" w:hAnsi="Arial"/>
          <w:b/>
          <w:color w:val="000000"/>
          <w:sz w:val="22"/>
        </w:rPr>
        <w:t>Our acquisition and license agreements</w:t>
      </w:r>
    </w:p>
    <w:p>
      <w:pPr>
        <w:pStyle w:val="TextBody"/>
        <w:bidi w:val="0"/>
        <w:spacing w:before="240" w:after="283"/>
        <w:jc w:val="left"/>
        <w:rPr>
          <w:rFonts w:ascii="Arial" w:hAnsi="Arial"/>
          <w:b/>
          <w:i/>
          <w:color w:val="000000"/>
          <w:sz w:val="20"/>
        </w:rPr>
      </w:pPr>
      <w:r>
        <w:rPr>
          <w:rFonts w:ascii="Arial" w:hAnsi="Arial"/>
          <w:b/>
          <w:i/>
          <w:color w:val="000000"/>
          <w:sz w:val="20"/>
        </w:rPr>
        <w:t>Guangzhou Joyo</w:t>
      </w:r>
    </w:p>
    <w:p>
      <w:pPr>
        <w:pStyle w:val="TextBody"/>
        <w:bidi w:val="0"/>
        <w:jc w:val="left"/>
        <w:rPr>
          <w:rFonts w:ascii="Arial" w:hAnsi="Arial"/>
          <w:color w:val="000000"/>
          <w:sz w:val="20"/>
        </w:rPr>
      </w:pPr>
      <w:r>
        <w:rPr>
          <w:rFonts w:ascii="Arial" w:hAnsi="Arial"/>
          <w:color w:val="000000"/>
          <w:sz w:val="20"/>
        </w:rPr>
        <w:t>In May 2024, we entered into an exclusive license agreement (the Joyo License Agreement) with Joyo under which we were granted an exclusive, worldwide (except mainland China, Hong Kong and Macau), royalty-bearing license to certain patent and other intellectual property rights owned or controlled by Joyo to develop, manufacture, and commercialize certain pan-RAS inhibitors in all fields of use. Pursuant to the Joyo License Agreement, we had an option to expand the territory of the license to include mainland China, Hong Kong and Macau by making a $50.0 million payment to Joyo on or prior to the first dosing of the first patient in a Phase 2 clinical trial by either us or Joyo, or a payment of $150.0 million after the first dosing of the first patient in a Phase 2 clinical trial by either us or Joyo, and before filing a new drug application (or the foreign equivalent) by either us or Joyo. In March 2026, we sent Joyo notice that we were exercising our option to expand our territory under the Joyo License Agreement to include mainland China, Hong Kong and Macau, and based upon feedback from Joyo that it had dosed the first patient in a Phase 2 clinical trial, we made the corresponding $150.0 million payment (less applicable withholding amounts). We have the right to sublicense (through multiple tiers) our rights under the Joyo License Agreement, subject to certain limitations and conditions, and are required to use commercially reasonable efforts to commercialize licensed products in the United States.</w:t>
      </w:r>
    </w:p>
    <w:p>
      <w:pPr>
        <w:pStyle w:val="TextBody"/>
        <w:bidi w:val="0"/>
        <w:jc w:val="left"/>
        <w:rPr>
          <w:rFonts w:ascii="Arial" w:hAnsi="Arial"/>
          <w:color w:val="000000"/>
          <w:sz w:val="20"/>
        </w:rPr>
      </w:pPr>
      <w:r>
        <w:rPr>
          <w:rFonts w:ascii="Arial" w:hAnsi="Arial"/>
          <w:color w:val="000000"/>
          <w:sz w:val="20"/>
        </w:rPr>
        <w:t>Under the Joyo License Agreement, we made an upfront cash payment to Joyo of $12.5 million. In addition, we are obligated to make development and regulatory milestone payments of up to $51.5 million (with such amount increasing to $57.5 million following our exercise of the option to expand our territory to include mainland China, Hong Kong, and Macau) and commercial milestone payments of up to $125.0 million upon the achievement of the corresponding milestones. We are also obligated to pay tiered royalties on net sales of all licensed products, in the low- to mid-single digit percentages, subject to certain reductions.</w:t>
      </w:r>
    </w:p>
    <w:p>
      <w:pPr>
        <w:pStyle w:val="TextBody"/>
        <w:bidi w:val="0"/>
        <w:jc w:val="left"/>
        <w:rPr>
          <w:rFonts w:ascii="Arial" w:hAnsi="Arial"/>
          <w:color w:val="000000"/>
          <w:sz w:val="20"/>
        </w:rPr>
      </w:pPr>
      <w:r>
        <w:rPr>
          <w:rFonts w:ascii="Arial" w:hAnsi="Arial"/>
          <w:color w:val="000000"/>
          <w:sz w:val="20"/>
        </w:rPr>
        <w:t>The Joyo License Agreement will expire upon the last to expire royalty term, which is determined on a licensed product-by-licensed product and country-by-country basis, and is the later of: (i) ten years from the date of first commercial sale for the licensed product in such country, (ii) the last to expire valid claim within the licensed patent rights covering such licensed product, or (iii) the expiration of all regulatory exclusivity for the licensed product in such country. Upon expiration of the Joyo License Agreement, on a licensed product-by-licensed product and country-by-country basis, the license granted to us with respect to such product in such countries shall be deemed to be fully paid-up, royalty-free, non-terminable, irrevocable and perpetual.</w:t>
      </w:r>
    </w:p>
    <w:p>
      <w:pPr>
        <w:pStyle w:val="TextBody"/>
        <w:bidi w:val="0"/>
        <w:jc w:val="left"/>
        <w:rPr>
          <w:rFonts w:ascii="Arial" w:hAnsi="Arial"/>
          <w:color w:val="000000"/>
          <w:sz w:val="20"/>
        </w:rPr>
      </w:pPr>
      <w:r>
        <w:rPr>
          <w:rFonts w:ascii="Arial" w:hAnsi="Arial"/>
          <w:color w:val="000000"/>
          <w:sz w:val="20"/>
        </w:rPr>
        <w:t>The Joyo License Agreement may be terminated in its entirety by either party in the event of an uncured material breach by the other party or in the event the other party becomes subject to specified bankruptcy, insolvency, or similar circumstances. Joyo may terminate the Joyo License Agreement in the event that we or our affiliates or any of our or their sublicensees institutes, prosecutes or otherwise participates in any challenge to the licensed patents. We may terminate the Joyo License Agreement in its entirety at any time upon the provision of prior written notice to Joyo.</w:t>
      </w:r>
    </w:p>
    <w:p>
      <w:pPr>
        <w:pStyle w:val="TextBody"/>
        <w:bidi w:val="0"/>
        <w:jc w:val="left"/>
        <w:rPr>
          <w:rFonts w:ascii="Arial" w:hAnsi="Arial"/>
          <w:color w:val="000000"/>
          <w:sz w:val="20"/>
        </w:rPr>
      </w:pPr>
      <w:r>
        <w:rPr>
          <w:rFonts w:ascii="Arial" w:hAnsi="Arial"/>
          <w:color w:val="000000"/>
          <w:sz w:val="20"/>
        </w:rPr>
        <w:t>Upon termination of the Joyo License Agreement for any reason, all rights and licenses granted to us will terminate; and Joyo has an option to negotiate a license under any patent rights, know-how, or other intellectual property rights relating to the licensed products that are owned or controlled by us for the purpose of developing, manufacturing and commercializing the licensed products in our territory on terms to be negotiated between the parties.</w:t>
      </w:r>
    </w:p>
    <w:p>
      <w:pPr>
        <w:pStyle w:val="TextBody"/>
        <w:bidi w:val="0"/>
        <w:spacing w:before="20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i/>
          <w:color w:val="000000"/>
          <w:sz w:val="20"/>
        </w:rPr>
        <w:t>Medshine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May 2024, we entered into an exclusive license agreement (the Medshine License Agreement) with Medshine under which we were granted an exclusive, worldwide, royalty-bearing license to certain patent and other intellectual property rights owned or controlled by Medshine to develop, manufacture and commercialize certain pan-KRAS inhibitors in all fields of use. We have the right to sublicense (through multiple tiers) our rights under the Medshine License Agreement, subject to certain limitations and conditions, and are required to use commercially reasonable efforts to commercialize licensed products in certain geographical markets.</w:t>
      </w:r>
    </w:p>
    <w:p>
      <w:pPr>
        <w:pStyle w:val="TextBody"/>
        <w:bidi w:val="0"/>
        <w:jc w:val="left"/>
        <w:rPr>
          <w:rFonts w:ascii="Arial" w:hAnsi="Arial"/>
          <w:color w:val="000000"/>
          <w:sz w:val="20"/>
        </w:rPr>
      </w:pPr>
      <w:r>
        <w:rPr>
          <w:rFonts w:ascii="Arial" w:hAnsi="Arial"/>
          <w:color w:val="000000"/>
          <w:sz w:val="20"/>
        </w:rPr>
        <w:t>Under the Medshine License Agreement, we made an upfront cash payment to Medshine of $10.0 million. In addition, we are obligated to make development and regulatory milestone payments of up to $30.0 million and commercial milestone payments of up to $130.0 million upon the achievement of the corresponding milestones. We are also obligated to pay a low-single digit percentage royalty on net sales of all licensed products, subject to certain reductions.</w:t>
      </w:r>
    </w:p>
    <w:p>
      <w:pPr>
        <w:pStyle w:val="TextBody"/>
        <w:bidi w:val="0"/>
        <w:jc w:val="left"/>
        <w:rPr>
          <w:rFonts w:ascii="Arial" w:hAnsi="Arial"/>
          <w:color w:val="000000"/>
          <w:sz w:val="20"/>
        </w:rPr>
      </w:pPr>
      <w:r>
        <w:rPr>
          <w:rFonts w:ascii="Arial" w:hAnsi="Arial"/>
          <w:color w:val="000000"/>
          <w:sz w:val="20"/>
        </w:rPr>
        <w:t>The Medshine License Agreement will expire upon the last to expire royalty term, which is determined on a licensed product-by-licensed product and country-by-country basis, and is the later of: (i) ten years from the date of first commercial sale for the licensed product in such country, (ii) the last to expire valid claim within the licensed patent rights covering such licensed product, or (iii) the expiration of all regulatory exclusivity for the licensed product in such country. Upon expiration of the Medshine License Agreement, on a licensed product-by-licensed product and country-by-country basis, the license granted to us with respect to such product in such countries shall be deemed to be fully paid-up, royalty-free, non-terminable, irrevocable and perpetual.</w:t>
      </w:r>
    </w:p>
    <w:p>
      <w:pPr>
        <w:pStyle w:val="TextBody"/>
        <w:bidi w:val="0"/>
        <w:jc w:val="left"/>
        <w:rPr>
          <w:rFonts w:ascii="Arial" w:hAnsi="Arial"/>
          <w:color w:val="000000"/>
          <w:sz w:val="20"/>
        </w:rPr>
      </w:pPr>
      <w:r>
        <w:rPr>
          <w:rFonts w:ascii="Arial" w:hAnsi="Arial"/>
          <w:color w:val="000000"/>
          <w:sz w:val="20"/>
        </w:rPr>
        <w:t>The Medshine License Agreement may be terminated in its entirety by either party in the event of an uncured material breach by the other party or in the event the other party becomes subject to specified bankruptcy, insolvency, or similar circumstances. Medshine may terminate the Medshine License Agreement in the event that we or our affiliates or any of our or their sublicensees commences or actively and voluntarily participates in any challenge to the licensed patents. We may terminate the Medshine License Agreement in its entirety at any time upon the provision of prior written notice to Medshine.</w:t>
      </w:r>
    </w:p>
    <w:p>
      <w:pPr>
        <w:pStyle w:val="TextBody"/>
        <w:bidi w:val="0"/>
        <w:jc w:val="left"/>
        <w:rPr>
          <w:rFonts w:ascii="Arial" w:hAnsi="Arial"/>
          <w:color w:val="000000"/>
          <w:sz w:val="20"/>
        </w:rPr>
      </w:pPr>
      <w:r>
        <w:rPr>
          <w:rFonts w:ascii="Arial" w:hAnsi="Arial"/>
          <w:color w:val="000000"/>
          <w:sz w:val="20"/>
        </w:rPr>
        <w:t>Upon termination of the Medshine License Agreement for any reason, all rights and licenses granted to us will terminate. In addition, upon termination of the Medshine License Agreement by Medshine for cause, Medshine has an option to negotiate a license under any patent rights, know-how, or other intellectual property rights relating to the licensed products that are owned or controlled by us for the purpose of developing, manufacturing and commercializing the licensed products on terms to be negotiated between the parties.</w:t>
      </w:r>
    </w:p>
    <w:p>
      <w:pPr>
        <w:pStyle w:val="TextBody"/>
        <w:bidi w:val="0"/>
        <w:spacing w:before="360" w:after="283"/>
        <w:jc w:val="left"/>
        <w:rPr>
          <w:rFonts w:ascii="Arial" w:hAnsi="Arial"/>
          <w:b/>
          <w:i/>
          <w:color w:val="000000"/>
          <w:sz w:val="20"/>
        </w:rPr>
      </w:pPr>
      <w:r>
        <w:rPr>
          <w:rFonts w:ascii="Arial" w:hAnsi="Arial"/>
          <w:b/>
          <w:i/>
          <w:color w:val="000000"/>
          <w:sz w:val="20"/>
        </w:rPr>
        <w:t>Emerge Life Sciences</w:t>
      </w:r>
    </w:p>
    <w:p>
      <w:pPr>
        <w:pStyle w:val="TextBody"/>
        <w:bidi w:val="0"/>
        <w:jc w:val="left"/>
        <w:rPr>
          <w:rFonts w:ascii="Arial" w:hAnsi="Arial"/>
          <w:color w:val="000000"/>
          <w:sz w:val="20"/>
        </w:rPr>
      </w:pPr>
      <w:r>
        <w:rPr>
          <w:rFonts w:ascii="Arial" w:hAnsi="Arial"/>
          <w:color w:val="000000"/>
          <w:sz w:val="20"/>
        </w:rPr>
        <w:t>In March 2021, we entered into an asset purchase agreement (the ELS Purchase Agreement) with Emerge Life Sciences, Pte. Ltd. (ELS) wherein we purchased all rights, title, and interest (including all patent and other intellectual property rights) to ELS’s EGFR antibodies directed against the EGFR domain II (EGFR-D2) and domain III (EGFR-D3) as well as a bispecific antibody where one arm is directed against EGFR-D2 and the other is directed against EGFR-D3. Under the ELS Purchase Agreement, we issued 500,000 shares of our common stock to ELS and made an upfront payment of $2.0 million, which represent all of the consideration payable to ELS under the ELS Purchase Agreement.</w:t>
      </w:r>
    </w:p>
    <w:p>
      <w:pPr>
        <w:pStyle w:val="TextBody"/>
        <w:bidi w:val="0"/>
        <w:spacing w:before="360" w:after="283"/>
        <w:jc w:val="left"/>
        <w:rPr>
          <w:rFonts w:ascii="Arial" w:hAnsi="Arial"/>
          <w:b/>
          <w:i/>
          <w:color w:val="000000"/>
          <w:sz w:val="20"/>
        </w:rPr>
      </w:pPr>
      <w:r>
        <w:rPr>
          <w:rFonts w:ascii="Arial" w:hAnsi="Arial"/>
          <w:b/>
          <w:i/>
          <w:color w:val="000000"/>
          <w:sz w:val="20"/>
        </w:rPr>
        <w:t>Novartis</w:t>
      </w:r>
    </w:p>
    <w:p>
      <w:pPr>
        <w:pStyle w:val="TextBody"/>
        <w:bidi w:val="0"/>
        <w:jc w:val="left"/>
        <w:rPr>
          <w:rFonts w:ascii="Arial" w:hAnsi="Arial"/>
          <w:color w:val="000000"/>
          <w:sz w:val="20"/>
        </w:rPr>
      </w:pPr>
      <w:r>
        <w:rPr>
          <w:rFonts w:ascii="Arial" w:hAnsi="Arial"/>
          <w:color w:val="000000"/>
          <w:sz w:val="20"/>
        </w:rPr>
        <w:t>In December 2022, we entered into the Novartis Agreement with Novartis under which we were granted an exclusive, worldwide, royalty-bearing license to certain patent and other intellectual property rights owned or controlled by Novartis to develop, manufacture, use, and commercialize naporafenib in all fields of use. In May 2025, in connection with our expectation that ERAS-0015 and ERAS-4001 would both become clinical stage programs, we conducted a strategic pipeline review. Following this review, in order to prioritize organizational focus and resources to advance our differentiated RAS-targeting franchise, we decided to evaluate strategic alternatives for our naporafenib program. After evaluating the clinical progress of our RAS franchise, we made a strategic decision to stop development of naporafenib. In March 2026, we sent a notice to Novartis to terminate the Novartis Agreement. The effective date of the termination of the Novartis Agreement is June 3, 2026. In connection with such termination, we and Novartis have agreed that we shall continue to ensure that the patients currently enrolled in the SEACRAFT-1 and SEACRAFT-2 trials will be permitted to continue to participate in such trials for the foreseeable future.</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Asana BioSciences</w:t>
      </w:r>
    </w:p>
    <w:p>
      <w:pPr>
        <w:pStyle w:val="TextBody"/>
        <w:bidi w:val="0"/>
        <w:jc w:val="left"/>
        <w:rPr>
          <w:rFonts w:ascii="Arial" w:hAnsi="Arial"/>
          <w:color w:val="000000"/>
          <w:sz w:val="20"/>
        </w:rPr>
      </w:pPr>
      <w:r>
        <w:rPr>
          <w:rFonts w:ascii="Arial" w:hAnsi="Arial"/>
          <w:color w:val="000000"/>
          <w:sz w:val="20"/>
        </w:rPr>
        <w:t>In November 2020, we entered into the Asana Merger Agreement with Asana BioSciences, LLC (Asana), pursuant to which ASN Product Development, Inc. (ASN) became our wholly-owned subsidiary. Asana and ASN had previously entered into a license agreement, which was amended and restated prior to the closing of the merger transaction (the Asana License Agreement), pursuant to which ASN acquired an exclusive, worldwide license to certain intellectual property rights relating to inhibitors of ERK1 and ERK2 owned or controlled by Asana to develop and commercialize ERAS-007 and certain other related compounds for all applications. In May 2024, we announced a strategic reprioritization that included deprioritizing the final trial in the HERKULES series of clinical trials that was evaluating ERAS-007. In September 2025, we sent a notice to Asana to terminate the Asana License Agreement, with an effective termination date of November 8, 2025. In connection with such termination, we and Asana have agreed that we shall continue to ensure that the patients currently enrolled in the HERKULES series of trials will be permitted to continue to participate in such trials for the foreseeable future.</w:t>
      </w:r>
    </w:p>
    <w:p>
      <w:pPr>
        <w:pStyle w:val="TextBody"/>
        <w:bidi w:val="0"/>
        <w:spacing w:before="360" w:after="283"/>
        <w:jc w:val="left"/>
        <w:rPr>
          <w:rFonts w:ascii="Arial" w:hAnsi="Arial"/>
          <w:b/>
          <w:color w:val="000000"/>
          <w:sz w:val="20"/>
        </w:rPr>
      </w:pPr>
      <w:r>
        <w:rPr>
          <w:rFonts w:ascii="Arial" w:hAnsi="Arial"/>
          <w:b/>
          <w:color w:val="000000"/>
          <w:sz w:val="20"/>
        </w:rPr>
        <w:t>NiKang Therapeutics, Inc.</w:t>
      </w:r>
    </w:p>
    <w:p>
      <w:pPr>
        <w:pStyle w:val="TextBody"/>
        <w:bidi w:val="0"/>
        <w:jc w:val="left"/>
        <w:rPr>
          <w:rFonts w:ascii="Arial" w:hAnsi="Arial"/>
          <w:color w:val="000000"/>
          <w:sz w:val="20"/>
        </w:rPr>
      </w:pPr>
      <w:r>
        <w:rPr>
          <w:rFonts w:ascii="Arial" w:hAnsi="Arial"/>
          <w:color w:val="000000"/>
          <w:sz w:val="20"/>
        </w:rPr>
        <w:t>In February 2020, we entered into a license agreement (the NiKang License Agreement) with NiKang Therapeutics, Inc. (NiKang) under which we were granted an exclusive, worldwide license to certain intellectual property rights owned or controlled by NiKang related to certain SHP2 inhibitors to develop and commercialize ERAS-601 and certain other related compounds for all applications. In November 2023, the Company announced a strategic reprioritization that included deprioritizing the FLAGSHP-1 clinical trial that was evaluating ERAS-601. In September 2025, the Company sent a notice to NiKang to terminate the NiKang License Agreement, with an effective termination date of October 9, 2025. In connection with such termination, we and NiKang have agreed that we shall continue to ensure that the patients currently enrolled in the FLAGSHP-1 trial and an investigator-initiated trial of ERAS-601 will be permitted to continue to participate in such trials for the foreseeable future.</w:t>
      </w:r>
    </w:p>
    <w:p>
      <w:pPr>
        <w:pStyle w:val="TextBody"/>
        <w:bidi w:val="0"/>
        <w:spacing w:before="360" w:after="283"/>
        <w:jc w:val="left"/>
        <w:rPr>
          <w:rFonts w:ascii="Arial" w:hAnsi="Arial"/>
          <w:b/>
          <w:i/>
          <w:color w:val="000000"/>
          <w:sz w:val="20"/>
        </w:rPr>
      </w:pPr>
      <w:r>
        <w:rPr>
          <w:rFonts w:ascii="Arial" w:hAnsi="Arial"/>
          <w:b/>
          <w:i/>
          <w:color w:val="000000"/>
          <w:sz w:val="20"/>
        </w:rPr>
        <w:t>Katmai Pharmaceuticals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2020, we entered into a license agreement (the Katmai License Agreement) with Katmai Pharmaceuticals, Inc. (Katmai) under which we were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 In May 2024, we announced a strategic reprioritization which included deprioritizing our THUNDERBBOLT-1 clinical trial evaluating ERAS-801 in patients with recurrent glioblastoma. In April 2025, we entered into a termination agreement (the Katmai Termination Agreement) with Katmai. The Katmai Termination Agreement terminated the Katmai License Agreement as of April 1, 2025. Under the Katmai Termination Agreement, we assigned to Katmai certain know-how, intellectual property rights, third-party vendor agreements, regulatory filings, and materials that we developed in connection with the development of ERAS-801 under the Katmai License Agreement, and Katmai is obligated to make payments to us upon the occurrence of specific events related to Katmai’s future development and commercialization of ERAS-801. In addition, we provided certain transition services to Katmai for a 90-day period, for which Katmai reimbursed us for our internal costs related to such services.</w:t>
      </w:r>
    </w:p>
    <w:p>
      <w:pPr>
        <w:pStyle w:val="TextBody"/>
        <w:bidi w:val="0"/>
        <w:spacing w:before="360" w:after="283"/>
        <w:jc w:val="left"/>
        <w:rPr>
          <w:rFonts w:ascii="Arial" w:hAnsi="Arial"/>
          <w:b/>
          <w:color w:val="000000"/>
          <w:sz w:val="22"/>
        </w:rPr>
      </w:pPr>
      <w:r>
        <w:rPr>
          <w:rFonts w:ascii="Arial" w:hAnsi="Arial"/>
          <w:b/>
          <w:color w:val="000000"/>
          <w:sz w:val="22"/>
        </w:rPr>
        <w:t>Commercialization</w:t>
      </w:r>
    </w:p>
    <w:p>
      <w:pPr>
        <w:pStyle w:val="TextBody"/>
        <w:bidi w:val="0"/>
        <w:jc w:val="left"/>
        <w:rPr>
          <w:rFonts w:ascii="Arial" w:hAnsi="Arial"/>
          <w:color w:val="000000"/>
          <w:sz w:val="20"/>
        </w:rPr>
      </w:pPr>
      <w:r>
        <w:rPr>
          <w:rFonts w:ascii="Arial" w:hAnsi="Arial"/>
          <w:color w:val="000000"/>
          <w:sz w:val="20"/>
        </w:rPr>
        <w:t>We intend to maintain exclusive worldwide development and commercialization rights to our product candidates, and, if marketing approval is obtained, to commence commercialization activities by building a focused sales and marketing organization to sell our products on our own in the United States and potentially other regions such as Europe. We will likely seek commercialization partnerships for our product candidates in other regions beyond the United States and Europe. We currently have no sales, marketing, or commercial product distribution capabilities. We intend to build the necessary infrastructure and capabilities over time for commercialization in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pStyle w:val="TextBody"/>
        <w:bidi w:val="0"/>
        <w:spacing w:before="20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Competition + Cooperation (“Coopetition”)</w:t>
      </w:r>
    </w:p>
    <w:p>
      <w:pPr>
        <w:pStyle w:val="TextBody"/>
        <w:bidi w:val="0"/>
        <w:jc w:val="left"/>
        <w:rPr>
          <w:rFonts w:ascii="Arial" w:hAnsi="Arial"/>
          <w:color w:val="000000"/>
          <w:sz w:val="20"/>
        </w:rPr>
      </w:pPr>
      <w:r>
        <w:rPr>
          <w:rFonts w:ascii="Arial" w:hAnsi="Arial"/>
          <w:color w:val="000000"/>
          <w:sz w:val="20"/>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w:t>
      </w:r>
    </w:p>
    <w:p>
      <w:pPr>
        <w:pStyle w:val="TextBody"/>
        <w:bidi w:val="0"/>
        <w:jc w:val="left"/>
        <w:rPr>
          <w:rFonts w:ascii="Arial" w:hAnsi="Arial"/>
          <w:color w:val="000000"/>
          <w:sz w:val="20"/>
        </w:rPr>
      </w:pPr>
      <w:r>
        <w:rPr>
          <w:rFonts w:ascii="Arial" w:hAnsi="Arial"/>
          <w:color w:val="000000"/>
          <w:sz w:val="20"/>
        </w:rPr>
        <w:t>Collaborating with these companies alleviates some of the traditional challenges that emerging companies face with respect to financial resources, established presence in the market, expertise in research and development, manufacturing, preclinical and clinical testing, obtaining regulatory approvals and reimbursement, and marketing approved products. Similarly, recruiting and retaining qualified scientific and management personnel, establishing clinical trial sites and patient registration for clinical trials, as well as in acquiring technologies complementary to, or necessary for, programs are challenges for all companies developing or marketing treatments for cancer.</w:t>
      </w:r>
    </w:p>
    <w:p>
      <w:pPr>
        <w:pStyle w:val="TextBody"/>
        <w:bidi w:val="0"/>
        <w:jc w:val="left"/>
        <w:rPr>
          <w:rFonts w:ascii="Arial" w:hAnsi="Arial"/>
          <w:color w:val="000000"/>
          <w:sz w:val="20"/>
        </w:rPr>
      </w:pPr>
      <w:r>
        <w:rPr>
          <w:rFonts w:ascii="Arial" w:hAnsi="Arial"/>
          <w:color w:val="000000"/>
          <w:sz w:val="20"/>
        </w:rPr>
        <w:t>That said, our commercial potential could be reduced or eliminated if other companies develop and commercialize products that are safer, more effective, have fewer or less severe side effects, are more convenient or are less expensive than products that we may develop. Other companies also may obtain FDA or other regulatory approval for their products more rapidly than we may obtain approval for ours, which could result in these companies establishing a strong market position before we are able to enter the market or make our development more complicated.</w:t>
      </w:r>
    </w:p>
    <w:p>
      <w:pPr>
        <w:pStyle w:val="TextBody"/>
        <w:bidi w:val="0"/>
        <w:jc w:val="left"/>
        <w:rPr>
          <w:rFonts w:ascii="Arial" w:hAnsi="Arial"/>
          <w:color w:val="000000"/>
          <w:sz w:val="20"/>
        </w:rPr>
      </w:pPr>
      <w:r>
        <w:rPr>
          <w:rFonts w:ascii="Arial" w:hAnsi="Arial"/>
          <w:color w:val="000000"/>
          <w:sz w:val="20"/>
        </w:rPr>
        <w:t>There are numerous companies developing or marketing treatments for cancer, including many major pharmaceutical and biotechnology companies. These treatments consist of small molecule drug products, biologics, cell-based therapies, and traditional chemotherapy. There are also a number of pharmaceutical companies with product candidates in development that target the nodes involving the RAS/MAPK pathway. These include, among others, Adlai Nortye, Amgen, Boehringer Ingelheim, BridgeBio Oncology Therapeutics, Bristol Myers Squibb, Eli Lilly, GenFleet Therapeutics, Jacobio Pharmaceuticals, Merck, Pfizer, Revolution Medicines, and Roche/Genentech.</w:t>
      </w:r>
    </w:p>
    <w:p>
      <w:pPr>
        <w:pStyle w:val="TextBody"/>
        <w:bidi w:val="0"/>
        <w:spacing w:before="360" w:after="283"/>
        <w:jc w:val="left"/>
        <w:rPr>
          <w:rFonts w:ascii="Arial" w:hAnsi="Arial"/>
          <w:b/>
          <w:color w:val="000000"/>
          <w:sz w:val="22"/>
        </w:rPr>
      </w:pPr>
      <w:r>
        <w:rPr>
          <w:rFonts w:ascii="Arial" w:hAnsi="Arial"/>
          <w:b/>
          <w:color w:val="000000"/>
          <w:sz w:val="22"/>
        </w:rPr>
        <w:t>Intellectual property</w:t>
      </w:r>
    </w:p>
    <w:p>
      <w:pPr>
        <w:pStyle w:val="TextBody"/>
        <w:bidi w:val="0"/>
        <w:jc w:val="left"/>
        <w:rPr>
          <w:rFonts w:ascii="Arial" w:hAnsi="Arial"/>
          <w:color w:val="000000"/>
          <w:sz w:val="20"/>
        </w:rPr>
      </w:pPr>
      <w:r>
        <w:rPr>
          <w:rFonts w:ascii="Arial" w:hAnsi="Arial"/>
          <w:color w:val="000000"/>
          <w:sz w:val="20"/>
        </w:rPr>
        <w:t>We strive to protect the proprietary technology, inventions, and improvements that are commercially or strategically important to our business, including seeking, maintaining, and defending patent rights, whether developed internally or in-licensed/acquired from third parties. We also rely on trade secrets and know-how relating to our proprietary technology and product candidates and continuing innovation to develop, strengthen and maintain our proprietary position. We also plan to rely on data exclusivity, market exclusivity and patent term adjustments or extensions when available. Our commercial success will depend in part on our ability to obtain and maintain patent and other intellectual property protection for our proprietary technology, inventions and improvements; to preserve the confidentiality of our trade secrets; to defend and enforce our proprietary rights, including any patents or trademarks that we may own in the future; and to operate without infringing on the valid and enforceable patents and other proprietary rights of third parties. Intellectual property rights may not address all potential threats to our competitive advantage.</w:t>
      </w:r>
    </w:p>
    <w:p>
      <w:pPr>
        <w:pStyle w:val="TextBody"/>
        <w:bidi w:val="0"/>
        <w:jc w:val="left"/>
        <w:rPr>
          <w:rFonts w:ascii="Times New Roman" w:hAnsi="Times New Roman"/>
          <w:sz w:val="20"/>
        </w:rPr>
      </w:pPr>
      <w:r>
        <w:rPr>
          <w:rFonts w:ascii="Arial" w:hAnsi="Arial"/>
          <w:color w:val="000000"/>
          <w:sz w:val="20"/>
        </w:rPr>
        <w:t>We continually assess and refine our intellectual property strategy as we develop new product candidates. To that end, we are prepared to file additional patent applications in any appropriate fields if our intellectual property strategy includes such filings, or where we seek to adapt to competition or seize business opportunities. Further, we are prepared to file patent applications, as we consider appropriate under the circumstances, relating to the new technologies that we develop.</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w:t>
      </w:r>
    </w:p>
    <w:p>
      <w:pPr>
        <w:pStyle w:val="TextBody"/>
        <w:bidi w:val="0"/>
        <w:jc w:val="left"/>
        <w:rPr>
          <w:rFonts w:ascii="Arial" w:hAnsi="Arial"/>
          <w:color w:val="000000"/>
          <w:sz w:val="20"/>
        </w:rPr>
      </w:pPr>
      <w:r>
        <w:rPr>
          <w:rFonts w:ascii="Arial" w:hAnsi="Arial"/>
          <w:color w:val="000000"/>
          <w:sz w:val="20"/>
        </w:rPr>
        <w:t>As of December 31, 2025, our patent estate for the programs listed below, which consists of owned and in-licensed patent families, includes one issued US patent, four pending US provisional applications, six pending US non-provisional patent applications, one issued foreign patent, eleven pending international patent applications filed under the Patent Cooperation Treaty (PCT application), and thirty-nine foreign patent applications in various markets outside of the United States. In particular, we have patents and/or patent applications pending for each of our product candidates.</w:t>
      </w:r>
    </w:p>
    <w:p>
      <w:pPr>
        <w:pStyle w:val="TextBody"/>
        <w:bidi w:val="0"/>
        <w:spacing w:before="20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ERAS-0015</w:t>
      </w:r>
    </w:p>
    <w:p>
      <w:pPr>
        <w:pStyle w:val="TextBody"/>
        <w:bidi w:val="0"/>
        <w:spacing w:before="120" w:after="283"/>
        <w:jc w:val="left"/>
        <w:rPr>
          <w:rFonts w:ascii="Arial" w:hAnsi="Arial"/>
          <w:color w:val="000000"/>
          <w:sz w:val="20"/>
        </w:rPr>
      </w:pPr>
      <w:r>
        <w:rPr>
          <w:rFonts w:ascii="Arial" w:hAnsi="Arial"/>
          <w:color w:val="000000"/>
          <w:sz w:val="20"/>
        </w:rPr>
        <w:t>As of December 31, 2025, we have in-licensed one patent family from Joyo. The patent family relates to compositions of RAS molecular glues, their preparation and methods of use, and includes one issued US patent, one pending US non-provisional patent application, one issued foreign patent, and thirteen pending foreign patent applications. Any patents that issue from applications for the in-licensed family are expected to expire in 2043, absent any patent term adjustments or extensions. As of December 31, 2025, we have in-licensed one additional patent family from Joyo. The patent family relates to methods of using RAS molecular glues, and includes one pending PCT patent application and one pending foreign patent application. Any patents that issue from applications for this in-licensed family are expected to expire in 2045, absent any patent term adjustments or extensions.</w:t>
      </w:r>
    </w:p>
    <w:p>
      <w:pPr>
        <w:pStyle w:val="TextBody"/>
        <w:bidi w:val="0"/>
        <w:jc w:val="left"/>
        <w:rPr>
          <w:rFonts w:ascii="Arial" w:hAnsi="Arial"/>
          <w:color w:val="000000"/>
          <w:sz w:val="20"/>
        </w:rPr>
      </w:pPr>
      <w:r>
        <w:rPr>
          <w:rFonts w:ascii="Arial" w:hAnsi="Arial"/>
          <w:color w:val="000000"/>
          <w:sz w:val="20"/>
        </w:rPr>
        <w:t>As of December 31, 2025, we own or co-own seven patent families relating to compositions of RAS molecular glues, their preparation and methods of use and include four pending US provisional applications, four pending PCT patent applications, and three pending foreign patent applications. Any patents issued from these applications are expected to expire between 2045 and 2046, absent any patent term adjustments or extensions.</w:t>
      </w:r>
    </w:p>
    <w:p>
      <w:pPr>
        <w:pStyle w:val="TextBody"/>
        <w:bidi w:val="0"/>
        <w:spacing w:before="360" w:after="283"/>
        <w:jc w:val="left"/>
        <w:rPr>
          <w:rFonts w:ascii="Arial" w:hAnsi="Arial"/>
          <w:b/>
          <w:i/>
          <w:color w:val="000000"/>
          <w:sz w:val="20"/>
        </w:rPr>
      </w:pPr>
      <w:r>
        <w:rPr>
          <w:rFonts w:ascii="Arial" w:hAnsi="Arial"/>
          <w:b/>
          <w:i/>
          <w:color w:val="000000"/>
          <w:sz w:val="20"/>
        </w:rPr>
        <w:t>ERAS-4001</w:t>
      </w:r>
    </w:p>
    <w:p>
      <w:pPr>
        <w:pStyle w:val="TextBody"/>
        <w:bidi w:val="0"/>
        <w:jc w:val="left"/>
        <w:rPr>
          <w:rFonts w:ascii="Times New Roman" w:hAnsi="Times New Roman"/>
          <w:sz w:val="20"/>
        </w:rPr>
      </w:pPr>
      <w:r>
        <w:rPr>
          <w:rFonts w:ascii="Arial" w:hAnsi="Arial"/>
          <w:color w:val="000000"/>
          <w:sz w:val="20"/>
        </w:rPr>
        <w:t>As of December 31, 2025, we have in-licensed one patent family from Medshine relating to RAS inhibitors, their preparation, and methods of use. The patent family includes two pending US non-provisional patent applications and seventeen pending foreign patent applications. Any patents that issue from applications for the in-licensed family are expected to expire in 2043,</w:t>
      </w:r>
      <w:r>
        <w:rPr>
          <w:rFonts w:ascii="Times New Roman" w:hAnsi="Times New Roman"/>
          <w:color w:val="000000"/>
          <w:sz w:val="20"/>
        </w:rPr>
        <w:t xml:space="preserve"> </w:t>
      </w:r>
      <w:r>
        <w:rPr>
          <w:rFonts w:ascii="Arial" w:hAnsi="Arial"/>
          <w:color w:val="000000"/>
          <w:sz w:val="20"/>
        </w:rPr>
        <w:t>absent any patent term adjustments or extensions.</w:t>
      </w:r>
    </w:p>
    <w:p>
      <w:pPr>
        <w:pStyle w:val="TextBody"/>
        <w:bidi w:val="0"/>
        <w:jc w:val="left"/>
        <w:rPr>
          <w:rFonts w:ascii="Arial" w:hAnsi="Arial"/>
          <w:color w:val="000000"/>
          <w:sz w:val="20"/>
        </w:rPr>
      </w:pPr>
      <w:r>
        <w:rPr>
          <w:rFonts w:ascii="Arial" w:hAnsi="Arial"/>
          <w:color w:val="000000"/>
          <w:sz w:val="20"/>
        </w:rPr>
        <w:t>As of December 31, 2025, we own six patent families relating to RAS inhibitors, their preparation, and methods of use. The patent families include one pending US non-provisional patent application, four pending foreign patent applications, and six pending PCT patent applications. Any patents issued from these applications are expected to expire between 2044 and 2045, absent any patent term adjustments or extensions.</w:t>
      </w:r>
    </w:p>
    <w:p>
      <w:pPr>
        <w:pStyle w:val="TextBody"/>
        <w:bidi w:val="0"/>
        <w:spacing w:before="360" w:after="283"/>
        <w:jc w:val="left"/>
        <w:rPr>
          <w:rFonts w:ascii="Arial" w:hAnsi="Arial"/>
          <w:b/>
          <w:i/>
          <w:color w:val="000000"/>
          <w:sz w:val="20"/>
        </w:rPr>
      </w:pPr>
      <w:r>
        <w:rPr>
          <w:rFonts w:ascii="Arial" w:hAnsi="Arial"/>
          <w:b/>
          <w:i/>
          <w:color w:val="000000"/>
          <w:sz w:val="20"/>
        </w:rPr>
        <w:t>ERAS-12</w:t>
      </w:r>
    </w:p>
    <w:p>
      <w:pPr>
        <w:pStyle w:val="TextBody"/>
        <w:bidi w:val="0"/>
        <w:jc w:val="both"/>
        <w:rPr>
          <w:rFonts w:ascii="Arial" w:hAnsi="Arial"/>
          <w:color w:val="000000"/>
          <w:sz w:val="20"/>
        </w:rPr>
      </w:pPr>
      <w:r>
        <w:rPr>
          <w:rFonts w:ascii="Arial" w:hAnsi="Arial"/>
          <w:color w:val="000000"/>
          <w:sz w:val="20"/>
        </w:rPr>
        <w:t>As of December 31, 2025, we own two patent families relating to EGFR antibodies, their preparation, and methods of use. The patent families include two pending US non-provisional patent applications and one pending foreign patent application. Any patents issued from these applications are expected to expire between 2042 and 2043, absent any patent term adjustments or extensions.</w:t>
      </w:r>
    </w:p>
    <w:p>
      <w:pPr>
        <w:pStyle w:val="TextBody"/>
        <w:bidi w:val="0"/>
        <w:spacing w:before="360" w:after="283"/>
        <w:jc w:val="both"/>
        <w:rPr>
          <w:rFonts w:ascii="Arial" w:hAnsi="Arial"/>
          <w:b/>
          <w:i/>
          <w:color w:val="000000"/>
          <w:sz w:val="20"/>
        </w:rPr>
      </w:pPr>
      <w:r>
        <w:rPr>
          <w:rFonts w:ascii="Arial" w:hAnsi="Arial"/>
          <w:b/>
          <w:i/>
          <w:color w:val="000000"/>
          <w:sz w:val="20"/>
        </w:rPr>
        <w:t>Other IP programs or patents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US Patent and Trademark Office (USPTO) may also adjust the term of a US patent to accommodate for delays caused by the USPTO during the prosecution of a US patent application. Congress has defined the conditions upon which an applicant can receive an adjustment to the term and such requirements are established in 35 USC 154(b). Similar provisions are available in Europe and other jurisdictions to extend the term of a patent that covers an approved drug.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validity and enforceability of the patent. Patent terms may be inadequate to protect our competitive position on our products for an adequate amount of time. In the future, if and when our therapeutic candidates receive FDA approval, we expect to apply for patent term extensions on patents covering those therapeutic candidates. We intend to seek patent term extensions in any jurisdiction where these are available and where we also have a patent that may be eligible; however, there is no guarantee that the applicable authorities, including the USPTO and FDA, will agree with our assessment of whether such extensions should be granted, and even if granted, the length of such extensions.</w:t>
      </w:r>
    </w:p>
    <w:p>
      <w:pPr>
        <w:pStyle w:val="TextBody"/>
        <w:bidi w:val="0"/>
        <w:jc w:val="left"/>
        <w:rPr>
          <w:rFonts w:ascii="Arial" w:hAnsi="Arial"/>
          <w:color w:val="000000"/>
          <w:sz w:val="20"/>
        </w:rPr>
      </w:pPr>
      <w:r>
        <w:rPr>
          <w:rFonts w:ascii="Arial" w:hAnsi="Arial"/>
          <w:color w:val="000000"/>
          <w:sz w:val="20"/>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pStyle w:val="TextBody"/>
        <w:bidi w:val="0"/>
        <w:jc w:val="left"/>
        <w:rPr>
          <w:rFonts w:ascii="Arial" w:hAnsi="Arial"/>
          <w:color w:val="000000"/>
          <w:sz w:val="20"/>
        </w:rPr>
      </w:pPr>
      <w:r>
        <w:rPr>
          <w:rFonts w:ascii="Arial" w:hAnsi="Arial"/>
          <w:color w:val="000000"/>
          <w:sz w:val="20"/>
        </w:rPr>
        <w:t>We also rely on trade secrets to protect aspects of our technology and business not amenable to, or that we do not consider appropriate for, patent protection. We seek to protect this intellectual property, in part, by requiring our employees, consultants, outside scientific collaborators, sponsored researchers and other service providers and advisors to execute confidentiality agreements upon the commencement of employment or other relationship with us. In general, these agreements provide that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further provide that inventions and discoveries conceived or reduced to practice by the individual that are related to our business, or actual, or demonstrably anticipated, research or development, or made during normal working hours, on our premises or using our equipment, supplies, or proprietary information, are our exclusive property. In many cases our agreements with consultants, outside scientific collaborators, sponsored researchers and other service providers and advisors require them to assign, or grant us licenses to, inventions resulting from the work or services they render under such agreements or grant us an option to negotiate a license to use such inventions.</w:t>
      </w:r>
    </w:p>
    <w:p>
      <w:pPr>
        <w:pStyle w:val="TextBody"/>
        <w:bidi w:val="0"/>
        <w:jc w:val="left"/>
        <w:rPr>
          <w:rFonts w:ascii="Arial" w:hAnsi="Arial"/>
          <w:color w:val="000000"/>
          <w:sz w:val="20"/>
        </w:rPr>
      </w:pPr>
      <w:r>
        <w:rPr>
          <w:rFonts w:ascii="Arial" w:hAnsi="Arial"/>
          <w:color w:val="000000"/>
          <w:sz w:val="20"/>
        </w:rPr>
        <w:t>We seek trademark protection in the United States and in certain other jurisdictions where available and when we deem appropriate. We currently have an issued United States trademark for our “ERASCA” mark and have registrations for such mark pending in foreign jurisdictions, including the European Union. We have also filed a trademark application in the United States as well as foreign jurisdictions, including the European Union, for registration of our “MAPKLAMP” mark.</w:t>
      </w:r>
    </w:p>
    <w:p>
      <w:pPr>
        <w:pStyle w:val="TextBody"/>
        <w:bidi w:val="0"/>
        <w:spacing w:before="20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Manufacturing</w:t>
      </w:r>
    </w:p>
    <w:p>
      <w:pPr>
        <w:pStyle w:val="TextBody"/>
        <w:bidi w:val="0"/>
        <w:jc w:val="both"/>
        <w:rPr>
          <w:rFonts w:ascii="Arial" w:hAnsi="Arial"/>
          <w:color w:val="000000"/>
          <w:sz w:val="20"/>
        </w:rPr>
      </w:pPr>
      <w:r>
        <w:rPr>
          <w:rFonts w:ascii="Arial" w:hAnsi="Arial"/>
          <w:color w:val="000000"/>
          <w:sz w:val="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pStyle w:val="TextBody"/>
        <w:bidi w:val="0"/>
        <w:spacing w:before="360" w:after="283"/>
        <w:jc w:val="left"/>
        <w:rPr>
          <w:rFonts w:ascii="Arial" w:hAnsi="Arial"/>
          <w:b/>
          <w:color w:val="000000"/>
          <w:sz w:val="22"/>
        </w:rPr>
      </w:pPr>
      <w:r>
        <w:rPr>
          <w:rFonts w:ascii="Arial" w:hAnsi="Arial"/>
          <w:b/>
          <w:color w:val="000000"/>
          <w:sz w:val="22"/>
        </w:rPr>
        <w:t>Government Regulation</w:t>
      </w:r>
    </w:p>
    <w:p>
      <w:pPr>
        <w:pStyle w:val="TextBody"/>
        <w:bidi w:val="0"/>
        <w:jc w:val="left"/>
        <w:rPr>
          <w:rFonts w:ascii="Arial" w:hAnsi="Arial"/>
          <w:color w:val="000000"/>
          <w:sz w:val="20"/>
        </w:rPr>
      </w:pPr>
      <w:r>
        <w:rPr>
          <w:rFonts w:ascii="Arial" w:hAnsi="Arial"/>
          <w:color w:val="000000"/>
          <w:sz w:val="20"/>
        </w:rPr>
        <w:t>The FDA and comparable regulatory authorities in state and local jurisdictions and in other countries impose substantial and burdensome requirements upon companies involved in the clinical development, manufacture, marketing and distribution of drugs and biologics such as those we are developing. These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pStyle w:val="TextBody"/>
        <w:bidi w:val="0"/>
        <w:spacing w:before="360" w:after="283"/>
        <w:jc w:val="left"/>
        <w:rPr>
          <w:rFonts w:ascii="Arial" w:hAnsi="Arial"/>
          <w:b/>
          <w:i/>
          <w:color w:val="000000"/>
          <w:sz w:val="20"/>
        </w:rPr>
      </w:pPr>
      <w:r>
        <w:rPr>
          <w:rFonts w:ascii="Arial" w:hAnsi="Arial"/>
          <w:b/>
          <w:i/>
          <w:color w:val="000000"/>
          <w:sz w:val="20"/>
        </w:rPr>
        <w:t>US regulation of drugs and biologics</w:t>
      </w:r>
    </w:p>
    <w:p>
      <w:pPr>
        <w:pStyle w:val="TextBody"/>
        <w:bidi w:val="0"/>
        <w:jc w:val="left"/>
        <w:rPr>
          <w:rFonts w:ascii="Arial" w:hAnsi="Arial"/>
          <w:color w:val="000000"/>
          <w:sz w:val="20"/>
        </w:rPr>
      </w:pPr>
      <w:r>
        <w:rPr>
          <w:rFonts w:ascii="Arial" w:hAnsi="Arial"/>
          <w:color w:val="000000"/>
          <w:sz w:val="20"/>
        </w:rPr>
        <w:t>In the United States, the FDA regulates drugs under the Federal Food, Drug, and Cosmetic Act (FDCA), and its implementing regulations, and biologics under the FDCA and the Public Health Service Act and their implementing regulations. FDA approval of an NDA or biologics license application (BLA) or supplement is required before any new unapproved drug, biologic or dosage form, including a new use of a previously approved drug or biologic, can be marketed in the United States.</w:t>
      </w:r>
    </w:p>
    <w:p>
      <w:pPr>
        <w:pStyle w:val="TextBody"/>
        <w:bidi w:val="0"/>
        <w:jc w:val="left"/>
        <w:rPr>
          <w:rFonts w:ascii="Times New Roman" w:hAnsi="Times New Roman"/>
          <w:sz w:val="20"/>
        </w:rPr>
      </w:pPr>
      <w:r>
        <w:rPr>
          <w:rFonts w:ascii="Arial" w:hAnsi="Arial"/>
          <w:color w:val="000000"/>
          <w:sz w:val="20"/>
        </w:rPr>
        <w:t>The process required by the FDA before such product candidates may be marketed in the United States generally involves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completion of extensive preclinical laboratory tests and preclinical animal studies, certain of which must be performed in accordance with applicable Good Laboratory Practice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submission to the FDA of an investigational new drug application (IND) which must become effective before human clinical trials may be initiated and must be updated annually;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by an independent institutional review board (IRB) or ethics committee representing each clinical site before each clinical trial can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performance of adequate and well-controlled human clinical trials in accordance with Good Clinical Practice (GCP) requirements to establish the safety and efficacy, or with respect to biologics, the safety, purity and potency of the product candidate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preparation of and submission to the FDA of an NDA or BLA, after completion of all pivotal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review of the product application by an FDA advisory committee, where appropriate and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determination by the FDA within 60 days of its receipt of an NDA or BLA to file the application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satisfactory completion of an FDA pre-approval inspection of the manufacturing facilities where the proposed product drug substance is produced to assess compliance with current Good Manufacturing Practice requirements (cGMPs) and audits of selected clinical trial sites to ensure compliance with GCP;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FDA review and approval of an NDA or BLA prior to any commercial marketing or sale of the drug in the United States.</w:t>
      </w:r>
    </w:p>
    <w:p>
      <w:pPr>
        <w:pStyle w:val="TextBody"/>
        <w:bidi w:val="0"/>
        <w:jc w:val="left"/>
        <w:rPr>
          <w:rFonts w:ascii="Times New Roman" w:hAnsi="Times New Roman"/>
          <w:sz w:val="20"/>
        </w:rPr>
      </w:pPr>
      <w:r>
        <w:rPr>
          <w:rFonts w:ascii="Arial" w:hAnsi="Arial"/>
          <w:color w:val="000000"/>
          <w:sz w:val="20"/>
        </w:rPr>
        <w:t xml:space="preserve">Preclinical studies include laboratory evaluation of product chemistry, toxicity and formulation, as well as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and animal studies to assess potential safety and efficacy. The conduct of preclinical studies is subject to federal regulations and requirements, including GLP regulations applicable to certain safety/toxicology studies.</w:t>
      </w:r>
    </w:p>
    <w:p>
      <w:pPr>
        <w:pStyle w:val="TextBody"/>
        <w:bidi w:val="0"/>
        <w:spacing w:before="20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 IND is a request for allowance from the FDA to administer an investigational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(CMC) information, and any available human data or literature to support the use of the investigational product. An IND must become effective before human clinical trials may be initiated.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 initiated. Submission of an IND therefore may or may not result in FDA allowance to initiate a clinical trial.</w:t>
      </w:r>
    </w:p>
    <w:p>
      <w:pPr>
        <w:pStyle w:val="TextBody"/>
        <w:bidi w:val="0"/>
        <w:jc w:val="left"/>
        <w:rPr>
          <w:rFonts w:ascii="Times New Roman" w:hAnsi="Times New Roman"/>
          <w:sz w:val="20"/>
        </w:rPr>
      </w:pPr>
      <w:r>
        <w:rPr>
          <w:rFonts w:ascii="Arial" w:hAnsi="Arial"/>
          <w:color w:val="000000"/>
          <w:sz w:val="20"/>
        </w:rPr>
        <w:t xml:space="preserve">Clinical trials involve the administration of the investigational product to human subjects under the supervision of qualified investigators in accordance with GCP, which, among other things, includes the requirement that all research subjects, or their legal representative, provide their informed consent for their participation in any clinical trial. Clinical trials are conducted under protocols detailing, among other things, the inclusion and exclusion criteria,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things,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or biologics, findings from animal or </w:t>
      </w:r>
      <w:r>
        <w:rPr>
          <w:rFonts w:ascii="Arial" w:hAnsi="Arial"/>
          <w:i/>
          <w:color w:val="000000"/>
          <w:sz w:val="20"/>
        </w:rPr>
        <w:t xml:space="preserve">in vitro </w:t>
      </w:r>
      <w:r>
        <w:rPr>
          <w:rFonts w:ascii="Arial" w:hAnsi="Arial"/>
          <w:color w:val="000000"/>
          <w:sz w:val="20"/>
        </w:rPr>
        <w:t>testing suggesting a significant risk to humans, and any clinically important increased incidence of a serious suspected adverse reaction compared to that listed in the protocol or investigator brochure.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an independent IRB for each site proposing to conduct the clinical trial must review and approve the plan for any clinical trial and its informed consent form before the clinical trial initiates at that site, and must monitor the trial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or committee, which provides authorization for whether or not a trial may move forward at designated check points based on access to certain data from the trial and may recommend that the clinical trial be halted if it determines that there is an unacceptable safety risk for subjects or other grounds, such as no demonstration of efficacy. There are also requirements governing the reporting of clinical trials and clinical trial results to public registries.</w:t>
      </w:r>
    </w:p>
    <w:p>
      <w:pPr>
        <w:pStyle w:val="TextBody"/>
        <w:bidi w:val="0"/>
        <w:jc w:val="left"/>
        <w:rPr>
          <w:rFonts w:ascii="Times New Roman" w:hAnsi="Times New Roman"/>
          <w:sz w:val="20"/>
        </w:rPr>
      </w:pPr>
      <w:r>
        <w:rPr>
          <w:rFonts w:ascii="Arial" w:hAnsi="Arial"/>
          <w:color w:val="000000"/>
          <w:sz w:val="20"/>
        </w:rPr>
        <w:t>The clinical investigation of a drug is generally divided into three phases. Although the phases are usually conducted sequentially, they may overlap or be combined.</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1</w:t>
      </w:r>
      <w:r>
        <w:rPr>
          <w:rFonts w:ascii="Arial" w:hAnsi="Arial"/>
          <w:color w:val="000000"/>
          <w:sz w:val="20"/>
        </w:rPr>
        <w:t>: The investigational product is initially introduced into healthy human subjects or patients with the target disease or condition.</w:t>
      </w:r>
      <w:r>
        <w:rPr>
          <w:color w:val="000000"/>
        </w:rPr>
        <w:t xml:space="preserve"> </w:t>
      </w:r>
      <w:r>
        <w:rPr>
          <w:rFonts w:ascii="Arial" w:hAnsi="Arial"/>
          <w:color w:val="000000"/>
          <w:sz w:val="20"/>
        </w:rPr>
        <w:t xml:space="preserve">These trials are designed to test the safety, dosage tolerance, absorption, metabolism and distribution of the investigational product in humans, the side effects associated with increasing doses, and, if possible, to gain early evidence on effectiveness.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2</w:t>
      </w:r>
      <w:r>
        <w:rPr>
          <w:rFonts w:ascii="Arial" w:hAnsi="Arial"/>
          <w:color w:val="000000"/>
          <w:sz w:val="20"/>
        </w:rPr>
        <w:t>: The investigational product is administered to a limited patient population with a specified disease or condition to evaluate the</w:t>
      </w:r>
      <w:r>
        <w:rPr>
          <w:color w:val="000000"/>
        </w:rPr>
        <w:t xml:space="preserve"> </w:t>
      </w:r>
      <w:r>
        <w:rPr>
          <w:rFonts w:ascii="Arial" w:hAnsi="Arial"/>
          <w:color w:val="000000"/>
          <w:sz w:val="20"/>
        </w:rPr>
        <w:t xml:space="preserve">preliminary efficacy, optimal dosages and dosing schedule and to identify possible adverse side effects and safety risks. Multiple Phase 2 clinical trials may be conducted to obtain information prior to beginning larger and more expensive Phase 3 clinical trials.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i/>
          <w:color w:val="000000"/>
          <w:sz w:val="20"/>
        </w:rPr>
        <w:t>Phase 3</w:t>
      </w:r>
      <w:r>
        <w:rPr>
          <w:rFonts w:ascii="Arial" w:hAnsi="Arial"/>
          <w:color w:val="000000"/>
          <w:sz w:val="20"/>
        </w:rPr>
        <w:t>: The investigational product is administered to an expanded patient population to further evaluate dosage, to provide statistically</w:t>
      </w:r>
      <w:r>
        <w:rPr>
          <w:color w:val="000000"/>
        </w:rPr>
        <w:t xml:space="preserve"> </w:t>
      </w:r>
      <w:r>
        <w:rPr>
          <w:rFonts w:ascii="Arial" w:hAnsi="Arial"/>
          <w:color w:val="000000"/>
          <w:sz w:val="20"/>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labeling.</w:t>
      </w:r>
    </w:p>
    <w:p>
      <w:pPr>
        <w:pStyle w:val="TextBody"/>
        <w:bidi w:val="0"/>
        <w:jc w:val="left"/>
        <w:rPr>
          <w:rFonts w:ascii="Arial" w:hAnsi="Arial"/>
          <w:color w:val="000000"/>
          <w:sz w:val="20"/>
        </w:rPr>
      </w:pPr>
      <w:r>
        <w:rPr>
          <w:rFonts w:ascii="Arial" w:hAnsi="Arial"/>
          <w:color w:val="000000"/>
          <w:sz w:val="20"/>
        </w:rPr>
        <w:t>Post-marketing trials, sometimes referred to as Phase 4 clinical trials, may be conducted after initial marketing approval. These clinical trials are used to gain additional experience from the treatment of patients in the intended therapeutic indication. In certain instances, such as with accelerated approval drugs, the FDA may mandate the performance of Phase 4 clinical trials as a condition of approval.</w:t>
      </w:r>
    </w:p>
    <w:p>
      <w:pPr>
        <w:pStyle w:val="TextBody"/>
        <w:bidi w:val="0"/>
        <w:spacing w:before="20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pStyle w:val="TextBody"/>
        <w:bidi w:val="0"/>
        <w:jc w:val="left"/>
        <w:rPr>
          <w:rFonts w:ascii="Arial" w:hAnsi="Arial"/>
          <w:color w:val="000000"/>
          <w:sz w:val="20"/>
        </w:rPr>
      </w:pPr>
      <w:r>
        <w:rPr>
          <w:rFonts w:ascii="Arial" w:hAnsi="Arial"/>
          <w:color w:val="000000"/>
          <w:sz w:val="20"/>
        </w:rPr>
        <w:t>In addition, during the development of a new drug or biologic,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pStyle w:val="TextBody"/>
        <w:bidi w:val="0"/>
        <w:spacing w:before="360" w:after="283"/>
        <w:jc w:val="left"/>
        <w:rPr>
          <w:rFonts w:ascii="Arial" w:hAnsi="Arial"/>
          <w:b/>
          <w:i/>
          <w:color w:val="000000"/>
          <w:sz w:val="20"/>
        </w:rPr>
      </w:pPr>
      <w:r>
        <w:rPr>
          <w:rFonts w:ascii="Arial" w:hAnsi="Arial"/>
          <w:b/>
          <w:i/>
          <w:color w:val="000000"/>
          <w:sz w:val="20"/>
        </w:rPr>
        <w:t>NDA and BLA review process</w:t>
      </w:r>
    </w:p>
    <w:p>
      <w:pPr>
        <w:pStyle w:val="TextBody"/>
        <w:bidi w:val="0"/>
        <w:jc w:val="left"/>
        <w:rPr>
          <w:rFonts w:ascii="Arial" w:hAnsi="Arial"/>
          <w:color w:val="000000"/>
          <w:sz w:val="20"/>
        </w:rPr>
      </w:pPr>
      <w:r>
        <w:rPr>
          <w:rFonts w:ascii="Arial" w:hAnsi="Arial"/>
          <w:color w:val="000000"/>
          <w:sz w:val="20"/>
        </w:rPr>
        <w:t>Assuming successful completion of all required testing in accordance with all applicable regulatory requirements, the results of product development, including results from nonclinical studies and clinical trials are submitted to the FDA as part of an NDA or BLA requesting approval to market the product for one or more indications. The submission of an NDA or BLA requires payment of a substantial application user fee to the FDA, unless a waiver or exemption applies.</w:t>
      </w:r>
    </w:p>
    <w:p>
      <w:pPr>
        <w:pStyle w:val="TextBody"/>
        <w:bidi w:val="0"/>
        <w:jc w:val="left"/>
        <w:rPr>
          <w:rFonts w:ascii="Times New Roman" w:hAnsi="Times New Roman"/>
          <w:sz w:val="20"/>
        </w:rPr>
      </w:pPr>
      <w:r>
        <w:rPr>
          <w:rFonts w:ascii="Arial" w:hAnsi="Arial"/>
          <w:color w:val="000000"/>
          <w:sz w:val="20"/>
        </w:rPr>
        <w:t>The NDA or BLA must include all relevant data available from pertinent preclinical studies and clinical trials, including negative or ambiguous results as well as positive findings, together with detailed information relating to the product’s CMC and proposed labeling, among other things. Data can come from company-sponsored clinical trials intended to test the safety and effectiveness of the product, or from a number of alternative sources, including trials initiated and sponsored by investigators.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under the Pediatric Research Equity Act (PREA), an NDA or BLA or supplement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or a deferral or waiver for such data, as described in an agreed initial Pediatric Study Plan (iPSP). The Food and Drug Administration Safety and Innovation Act requires that a sponsor who is planning to submit a marketing application for a drug or biological product that includes a new active ingredient, new indication, new dosage form, new dosing regimen or new route of administration submit an iPSP within sixty days after an end-of-Phase 2 meeting, if no such meeting occurs, then before the start of the pivotal study or as may be agreed between the sponsor and FDA. Unless otherwise required by regulation, such as a molecular target relevant to pediatric cancers, PREA does not apply to any drug or biological product for an indication for which orphan designation has been granted.</w:t>
      </w:r>
    </w:p>
    <w:p>
      <w:pPr>
        <w:pStyle w:val="TextBody"/>
        <w:bidi w:val="0"/>
        <w:jc w:val="left"/>
        <w:rPr>
          <w:rFonts w:ascii="Arial" w:hAnsi="Arial"/>
          <w:color w:val="000000"/>
          <w:sz w:val="20"/>
        </w:rPr>
      </w:pPr>
      <w:r>
        <w:rPr>
          <w:rFonts w:ascii="Arial" w:hAnsi="Arial"/>
          <w:color w:val="000000"/>
          <w:sz w:val="20"/>
        </w:rPr>
        <w:t>Within 60 days following submission of the application, the FDA reviews the submitted BLA or NDA to determine if the application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Once an NDA or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for a three-month period by the FDA to review additional information deemed a major amendment to the application. Once accepted for filing, the FDA reviews an NDA to determine, among other things, whether a product is safe and effective for its intended use and whether its manufacturing is sufficient to assure and preserve the product’s identity, strength, quality and purity. The FDA reviews a BLA to determine, among other things, whether a product is safe, pure and potent and the facility in which it is manufactured, processed, packed or held meets standards designed to assure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w:t>
      </w:r>
    </w:p>
    <w:p>
      <w:pPr>
        <w:pStyle w:val="TextBody"/>
        <w:bidi w:val="0"/>
        <w:jc w:val="left"/>
        <w:rPr>
          <w:rFonts w:ascii="Times New Roman" w:hAnsi="Times New Roman"/>
          <w:sz w:val="20"/>
        </w:rPr>
      </w:pPr>
      <w:r>
        <w:rPr>
          <w:rFonts w:ascii="Arial" w:hAnsi="Arial"/>
          <w:color w:val="000000"/>
          <w:sz w:val="20"/>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After the FDA evaluates the NDA or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signals that the review cycle is complete and the application cannot be approved in its present form. The CRL will generally describe all of the deficiencies that the FDA has identified in the NDA or BLA, except that where the FDA determines that the data supporting the application are inadequate to support approval, the FDA may issue the CRL without first conducting any required inspections, testing submitted product lots and/or reviewing proposed labeling. In issuing the CRL, the FDA may recommend actions that the applicant might take to place a resubmitted NDA or BLA in condition for approval, including requests for additional data,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pStyle w:val="TextBody"/>
        <w:bidi w:val="0"/>
        <w:jc w:val="left"/>
        <w:rPr>
          <w:rFonts w:ascii="Arial" w:hAnsi="Arial"/>
          <w:color w:val="000000"/>
          <w:sz w:val="20"/>
        </w:rPr>
      </w:pPr>
      <w:r>
        <w:rPr>
          <w:rFonts w:ascii="Arial" w:hAnsi="Arial"/>
          <w:color w:val="000000"/>
          <w:sz w:val="20"/>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trials and additional surveillance to further assess and monitor the product’s safety and effectiveness after commercialization, and may limit further marketing of the product based on the results of these post-marketing trials.</w:t>
      </w:r>
    </w:p>
    <w:p>
      <w:pPr>
        <w:pStyle w:val="TextBody"/>
        <w:bidi w:val="0"/>
        <w:spacing w:before="360" w:after="283"/>
        <w:jc w:val="left"/>
        <w:rPr>
          <w:rFonts w:ascii="Arial" w:hAnsi="Arial"/>
          <w:b/>
          <w:i/>
          <w:color w:val="000000"/>
          <w:sz w:val="20"/>
        </w:rPr>
      </w:pPr>
      <w:r>
        <w:rPr>
          <w:rFonts w:ascii="Arial" w:hAnsi="Arial"/>
          <w:b/>
          <w:i/>
          <w:color w:val="000000"/>
          <w:sz w:val="20"/>
        </w:rPr>
        <w:t>Expedited development and review programs</w:t>
      </w:r>
    </w:p>
    <w:p>
      <w:pPr>
        <w:pStyle w:val="TextBody"/>
        <w:bidi w:val="0"/>
        <w:jc w:val="left"/>
        <w:rPr>
          <w:rFonts w:ascii="Arial" w:hAnsi="Arial"/>
          <w:color w:val="000000"/>
          <w:sz w:val="20"/>
        </w:rPr>
      </w:pPr>
      <w:r>
        <w:rPr>
          <w:rFonts w:ascii="Arial" w:hAnsi="Arial"/>
          <w:color w:val="000000"/>
          <w:sz w:val="20"/>
        </w:rPr>
        <w:t>The FDA offers a number of expedited development and review programs for qualifying product candidates. For example, the fast track designation (FTD) program is intended to expedite or facilitate the process for reviewing product candidates that meet certain criteria. Specifically, product candidates are eligible for FTD if they are intended to treat a serious or life-threatening disease or condition and demonstrate the potential to address unmet medical needs for the disease or condition. FTD applies to the combination of the product candidate and the specific indication for which it is being studied. The sponsor of a fast track product candidate has opportunities for more frequent interactions with the review team during product development and, once an NDA or BLA is submitted, the application may be eligible for priority review, if the relevant criteria are met. An NDA or BLA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NDA or BLA.</w:t>
      </w:r>
    </w:p>
    <w:p>
      <w:pPr>
        <w:pStyle w:val="TextBody"/>
        <w:bidi w:val="0"/>
        <w:jc w:val="left"/>
        <w:rPr>
          <w:rFonts w:ascii="Arial" w:hAnsi="Arial"/>
          <w:color w:val="000000"/>
          <w:sz w:val="20"/>
        </w:rPr>
      </w:pPr>
      <w:r>
        <w:rPr>
          <w:rFonts w:ascii="Arial" w:hAnsi="Arial"/>
          <w:color w:val="000000"/>
          <w:sz w:val="20"/>
        </w:rPr>
        <w:t>A product candidate intended to treat a serious or life-threatening disease or condition may also be eligible for breakthrough therapy designation (BTD) to expedite its development and review. A product candidate can receive BTD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bidi w:val="0"/>
        <w:jc w:val="left"/>
        <w:rPr>
          <w:rFonts w:ascii="Arial" w:hAnsi="Arial"/>
          <w:color w:val="000000"/>
          <w:sz w:val="20"/>
        </w:rPr>
      </w:pPr>
      <w:r>
        <w:rPr>
          <w:rFonts w:ascii="Arial" w:hAnsi="Arial"/>
          <w:color w:val="000000"/>
          <w:sz w:val="20"/>
        </w:rPr>
        <w:t>Any marketing application for a drug or biologic submitted to the FDA for approval, including a product candidate with a FTD and/or BTD, may be eligible for other types of FDA programs intended to expedite the FDA review and approval process, such as priority review. An NDA or BLA is eligible for priority review if the product candidate has the potential to provide a significant improvement in the treatment, diagnosis or prevention of a serious disease or condition. For new molecular entity NDAs and original BLAs, priority review designation means the FDA’s goal is to take action on the marketing application within six months of the 60-day filing date (as compared to 10 months under standard review).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Additionally, depending on the design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rarity, or prevalence of the condition and the availability or lack of alternative treatments. As a condition of accelerated approval, the FDA will generally require the sponsor to perform adequate and well-controlled confirmatory clinical trials to verify and describe the anticipated effect on irreversible morbidity or mortality or other clinical benefit, and may require that such confirmatory trials are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for accelerated approval pre-approval of promotional materials, which could adversely impact the timing of the commercial launch of the product.</w:t>
      </w:r>
    </w:p>
    <w:p>
      <w:pPr>
        <w:pStyle w:val="TextBody"/>
        <w:bidi w:val="0"/>
        <w:jc w:val="left"/>
        <w:rPr>
          <w:rFonts w:ascii="Arial" w:hAnsi="Arial"/>
          <w:color w:val="000000"/>
          <w:sz w:val="20"/>
        </w:rPr>
      </w:pPr>
      <w:r>
        <w:rPr>
          <w:rFonts w:ascii="Arial" w:hAnsi="Arial"/>
          <w:color w:val="000000"/>
          <w:sz w:val="20"/>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360" w:after="283"/>
        <w:jc w:val="left"/>
        <w:rPr>
          <w:rFonts w:ascii="Arial" w:hAnsi="Arial"/>
          <w:b/>
          <w:i/>
          <w:color w:val="000000"/>
          <w:sz w:val="20"/>
        </w:rPr>
      </w:pPr>
      <w:r>
        <w:rPr>
          <w:rFonts w:ascii="Arial" w:hAnsi="Arial"/>
          <w:b/>
          <w:i/>
          <w:color w:val="000000"/>
          <w:sz w:val="20"/>
        </w:rPr>
        <w:t>Orphan drug designation</w:t>
      </w:r>
    </w:p>
    <w:p>
      <w:pPr>
        <w:pStyle w:val="TextBody"/>
        <w:bidi w:val="0"/>
        <w:jc w:val="left"/>
        <w:rPr>
          <w:rFonts w:ascii="Arial" w:hAnsi="Arial"/>
          <w:color w:val="000000"/>
          <w:sz w:val="20"/>
        </w:rPr>
      </w:pPr>
      <w:r>
        <w:rPr>
          <w:rFonts w:ascii="Arial" w:hAnsi="Arial"/>
          <w:color w:val="000000"/>
          <w:sz w:val="20"/>
        </w:rPr>
        <w:t>Under the Orphan Drug Act, the FDA may grant ODD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ODD must be requested before submitting an NDA or BLA. After the FDA grants ODD, the generic identity of the therapeutic agent and its potential orphan use are disclosed publicly by the FDA. The ODD does not convey any advantage in, or shorten the duration of, the regulatory review or approval process.</w:t>
      </w:r>
    </w:p>
    <w:p>
      <w:pPr>
        <w:pStyle w:val="TextBody"/>
        <w:bidi w:val="0"/>
        <w:jc w:val="left"/>
        <w:rPr>
          <w:rFonts w:ascii="Arial" w:hAnsi="Arial"/>
          <w:color w:val="000000"/>
          <w:sz w:val="20"/>
        </w:rPr>
      </w:pPr>
      <w:r>
        <w:rPr>
          <w:rFonts w:ascii="Arial" w:hAnsi="Arial"/>
          <w:color w:val="000000"/>
          <w:sz w:val="20"/>
        </w:rPr>
        <w:t>If a product candidate that has ODD subsequently receives the first FDA approval for the disease or condition for which it has such designation, the product is entitled to orphan drug exclusive approval (or exclusivity), which means that the FDA may not approve any other applications, including a full NDA or BLA, to market the same drug or biologic for the same approved indication or use within such disease or condition for seven years, except in limited circumstances, such as a showing of clinical superiority to the product with orphan drug exclusivity in the relevant indication or if the FDA finds that the holder of the orphan drug exclusivity has not shown that it can assure the availability of sufficient quantities of the orphan drug to meet the needs relating to the approved indication or use of patients with the disease or condition for which the drug or biologic was designated. Orphan drug exclusivity does not prevent the FDA from approving a different drug or biologic for the same indication or use, or the same drug or biologic for any indication or use in a different disease or condition. Among the other benefits of orphan drug designation are tax credits for certain research and a waiver of the NDA or BLA application user fee.</w:t>
      </w:r>
    </w:p>
    <w:p>
      <w:pPr>
        <w:pStyle w:val="TextBody"/>
        <w:bidi w:val="0"/>
        <w:jc w:val="left"/>
        <w:rPr>
          <w:rFonts w:ascii="Arial" w:hAnsi="Arial"/>
          <w:color w:val="000000"/>
          <w:sz w:val="20"/>
        </w:rPr>
      </w:pPr>
      <w:r>
        <w:rPr>
          <w:rFonts w:ascii="Arial" w:hAnsi="Arial"/>
          <w:color w:val="000000"/>
          <w:sz w:val="20"/>
        </w:rPr>
        <w:t>A designated orphan drug may not receive orphan drug exclusivity if it is approved for a use that is broader than the disease or condition for which it received ODD. In addition, exclusive marketing rights in the United States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w:t>
      </w:r>
    </w:p>
    <w:p>
      <w:pPr>
        <w:pStyle w:val="TextBody"/>
        <w:bidi w:val="0"/>
        <w:spacing w:before="360" w:after="283"/>
        <w:jc w:val="left"/>
        <w:rPr>
          <w:rFonts w:ascii="Arial" w:hAnsi="Arial"/>
          <w:b/>
          <w:i/>
          <w:color w:val="000000"/>
          <w:sz w:val="20"/>
        </w:rPr>
      </w:pPr>
      <w:r>
        <w:rPr>
          <w:rFonts w:ascii="Arial" w:hAnsi="Arial"/>
          <w:b/>
          <w:i/>
          <w:color w:val="000000"/>
          <w:sz w:val="20"/>
        </w:rPr>
        <w:t>Post-approval requirements</w:t>
      </w:r>
    </w:p>
    <w:p>
      <w:pPr>
        <w:pStyle w:val="TextBody"/>
        <w:bidi w:val="0"/>
        <w:jc w:val="left"/>
        <w:rPr>
          <w:rFonts w:ascii="Arial" w:hAnsi="Arial"/>
          <w:color w:val="000000"/>
          <w:sz w:val="20"/>
        </w:rPr>
      </w:pPr>
      <w:r>
        <w:rPr>
          <w:rFonts w:ascii="Arial" w:hAnsi="Arial"/>
          <w:color w:val="000000"/>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pStyle w:val="TextBody"/>
        <w:bidi w:val="0"/>
        <w:spacing w:before="20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trials or clinical trials to assess new safety risks; or imposition of distribution restrictions or other restrictions under a REMS program. Other potential consequences include,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a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of the FDA to approve pending applications or supplements to approved applications, or suspension or revocation of existing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seizure or detention, or refusal of the FDA to permit the import or export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consent decrees, corporate integrity agreements, debarment or exclusion from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mandated modification of promotional materials and labeling and the issuance of corrective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left"/>
        <w:rPr>
          <w:rFonts w:ascii="Arial" w:hAnsi="Arial"/>
          <w:color w:val="000000"/>
          <w:sz w:val="20"/>
        </w:rPr>
      </w:pPr>
      <w:r>
        <w:rPr>
          <w:rFonts w:ascii="Arial" w:hAnsi="Arial"/>
          <w:color w:val="000000"/>
          <w:sz w:val="20"/>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pStyle w:val="TextBody"/>
        <w:bidi w:val="0"/>
        <w:jc w:val="left"/>
        <w:rPr>
          <w:rFonts w:ascii="Arial" w:hAnsi="Arial"/>
          <w:color w:val="000000"/>
          <w:sz w:val="20"/>
        </w:rPr>
      </w:pPr>
      <w:r>
        <w:rPr>
          <w:rFonts w:ascii="Arial" w:hAnsi="Arial"/>
          <w:color w:val="000000"/>
          <w:sz w:val="20"/>
        </w:rPr>
        <w:t>In addition, the distribution of prescription biopharmaceutical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pStyle w:val="TextBody"/>
        <w:bidi w:val="0"/>
        <w:spacing w:before="360" w:after="283"/>
        <w:jc w:val="left"/>
        <w:rPr>
          <w:rFonts w:ascii="Arial" w:hAnsi="Arial"/>
          <w:b/>
          <w:i/>
          <w:color w:val="000000"/>
          <w:sz w:val="20"/>
        </w:rPr>
      </w:pPr>
      <w:r>
        <w:rPr>
          <w:rFonts w:ascii="Arial" w:hAnsi="Arial"/>
          <w:b/>
          <w:i/>
          <w:color w:val="000000"/>
          <w:sz w:val="20"/>
        </w:rPr>
        <w:t>Drug product marketing exclusivity</w:t>
      </w:r>
    </w:p>
    <w:p>
      <w:pPr>
        <w:pStyle w:val="TextBody"/>
        <w:bidi w:val="0"/>
        <w:jc w:val="left"/>
        <w:rPr>
          <w:rFonts w:ascii="Arial" w:hAnsi="Arial"/>
          <w:color w:val="000000"/>
          <w:sz w:val="20"/>
        </w:rPr>
      </w:pPr>
      <w:r>
        <w:rPr>
          <w:rFonts w:ascii="Arial" w:hAnsi="Arial"/>
          <w:color w:val="000000"/>
          <w:sz w:val="20"/>
        </w:rPr>
        <w:t>Market exclusivity provisions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 (2)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0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FDCA alternatively provides three years of non-patent exclusivity for an NDA, or supplement to an existing NDA if new clinical investigations, other than bioavailability trials,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bidi w:val="0"/>
        <w:jc w:val="left"/>
        <w:rPr>
          <w:rFonts w:ascii="Arial" w:hAnsi="Arial"/>
          <w:color w:val="000000"/>
          <w:sz w:val="20"/>
        </w:rPr>
      </w:pPr>
      <w:r>
        <w:rPr>
          <w:rFonts w:ascii="Arial" w:hAnsi="Arial"/>
          <w:color w:val="000000"/>
          <w:sz w:val="20"/>
        </w:rPr>
        <w:t>Pediatric exclusivity is another type of marketing exclusivity available in the United States. Pediatric exclusivity provides for an additional six months of marketing exclusivity attached to another existing period of regulatory exclusivity or patent term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pStyle w:val="TextBody"/>
        <w:bidi w:val="0"/>
        <w:spacing w:before="360" w:after="283"/>
        <w:jc w:val="left"/>
        <w:rPr>
          <w:rFonts w:ascii="Arial" w:hAnsi="Arial"/>
          <w:b/>
          <w:i/>
          <w:color w:val="000000"/>
          <w:sz w:val="20"/>
        </w:rPr>
      </w:pPr>
      <w:r>
        <w:rPr>
          <w:rFonts w:ascii="Arial" w:hAnsi="Arial"/>
          <w:b/>
          <w:i/>
          <w:color w:val="000000"/>
          <w:sz w:val="20"/>
        </w:rPr>
        <w:t>Biosimilars and reference product exclusivity</w:t>
      </w:r>
    </w:p>
    <w:p>
      <w:pPr>
        <w:pStyle w:val="TextBody"/>
        <w:bidi w:val="0"/>
        <w:jc w:val="left"/>
        <w:rPr>
          <w:rFonts w:ascii="Arial" w:hAnsi="Arial"/>
          <w:color w:val="000000"/>
          <w:sz w:val="20"/>
        </w:rPr>
      </w:pPr>
      <w:r>
        <w:rPr>
          <w:rFonts w:ascii="Arial" w:hAnsi="Arial"/>
          <w:color w:val="000000"/>
          <w:sz w:val="20"/>
        </w:rPr>
        <w:t>The Biologics Price Competition and Innovation Act of 2009 (BPCIA) created an abbreviated approval pathway for biological products that are highly similar, or “biosimilar,” to or interchangeable with an FDA-approved reference biological product. Biosimilarity, which requires that there be no clinically meaningful differences between the biological product and the reference product in terms of safety, purity, and potency, is generally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pStyle w:val="TextBody"/>
        <w:bidi w:val="0"/>
        <w:jc w:val="left"/>
        <w:rPr>
          <w:rFonts w:ascii="Arial" w:hAnsi="Arial"/>
          <w:color w:val="000000"/>
          <w:sz w:val="20"/>
        </w:rPr>
      </w:pPr>
      <w:r>
        <w:rPr>
          <w:rFonts w:ascii="Arial" w:hAnsi="Arial"/>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pStyle w:val="TextBody"/>
        <w:bidi w:val="0"/>
        <w:jc w:val="left"/>
        <w:rPr>
          <w:rFonts w:ascii="Arial" w:hAnsi="Arial"/>
          <w:color w:val="000000"/>
          <w:sz w:val="20"/>
        </w:rPr>
      </w:pPr>
      <w:r>
        <w:rPr>
          <w:rFonts w:ascii="Arial" w:hAnsi="Arial"/>
          <w:color w:val="000000"/>
          <w:sz w:val="20"/>
        </w:rPr>
        <w:t>A biological product can also obtain pediatric market exclusivity in the United States, as described above, if the BLA sponsor voluntarily completes a pediatric study that fairly responds to a "written request" from the FDA to conduct such study.</w:t>
      </w:r>
    </w:p>
    <w:p>
      <w:pPr>
        <w:pStyle w:val="TextBody"/>
        <w:bidi w:val="0"/>
        <w:spacing w:before="360" w:after="283"/>
        <w:jc w:val="left"/>
        <w:rPr>
          <w:rFonts w:ascii="Arial" w:hAnsi="Arial"/>
          <w:b/>
          <w:i/>
          <w:color w:val="000000"/>
          <w:sz w:val="20"/>
        </w:rPr>
      </w:pPr>
      <w:r>
        <w:rPr>
          <w:rFonts w:ascii="Arial" w:hAnsi="Arial"/>
          <w:b/>
          <w:i/>
          <w:color w:val="000000"/>
          <w:sz w:val="20"/>
        </w:rPr>
        <w:t>FDA regulation of companion diagnostics</w:t>
      </w:r>
    </w:p>
    <w:p>
      <w:pPr>
        <w:pStyle w:val="TextBody"/>
        <w:bidi w:val="0"/>
        <w:jc w:val="left"/>
        <w:rPr>
          <w:rFonts w:ascii="Times New Roman" w:hAnsi="Times New Roman"/>
          <w:sz w:val="20"/>
        </w:rPr>
      </w:pPr>
      <w:r>
        <w:rPr>
          <w:rFonts w:ascii="Arial" w:hAnsi="Arial"/>
          <w:color w:val="000000"/>
          <w:sz w:val="20"/>
        </w:rPr>
        <w:t xml:space="preserve">If safe and effective use of a drug or biologic depends on an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 xml:space="preserve">diagnostic, then the FDA may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FDA determines that a companion diagnostic device is essential to the safe and effective use of a novel therapeutic product or indication, FDA may not approve the drug or new indication if the companion diagnostic device is not also approved or cleared for that indication. Approval or clearance of the companion diagnostic device will ensure that the device has been adequately evaluated and has adequate performance characteristics in the intended population. The review of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companion diagnostics in conjunction with the review of our product candidates will, therefore, likely involve coordination of review by the FDA’s Center for Drug Evaluation and Research or the FDA’s Center for Biologics Evaluation and Research and the FDA’s Center for Devices and Radiological Health Office of In Vitro Diagnostics and Radiological Health.</w:t>
      </w:r>
    </w:p>
    <w:p>
      <w:pPr>
        <w:pStyle w:val="TextBody"/>
        <w:bidi w:val="0"/>
        <w:spacing w:before="20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Under the FDCA,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clearance of a premarket notification pursuant to Section 510(k) of the FDCA, also called 510(k) clearance, and approval of a premarket approval application (PMA).</w:t>
      </w:r>
    </w:p>
    <w:p>
      <w:pPr>
        <w:pStyle w:val="TextBody"/>
        <w:bidi w:val="0"/>
        <w:jc w:val="left"/>
        <w:rPr>
          <w:rFonts w:ascii="Arial" w:hAnsi="Arial"/>
          <w:color w:val="000000"/>
          <w:sz w:val="20"/>
        </w:rPr>
      </w:pPr>
      <w:r>
        <w:rPr>
          <w:rFonts w:ascii="Arial" w:hAnsi="Arial"/>
          <w:color w:val="000000"/>
          <w:sz w:val="20"/>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Management System Regulation (QMSR) which imposes elaborate testing, control, documentation and other quality assurance requirements.</w:t>
      </w:r>
    </w:p>
    <w:p>
      <w:pPr>
        <w:pStyle w:val="TextBody"/>
        <w:bidi w:val="0"/>
        <w:jc w:val="left"/>
        <w:rPr>
          <w:rFonts w:ascii="Arial" w:hAnsi="Arial"/>
          <w:color w:val="000000"/>
          <w:sz w:val="20"/>
        </w:rPr>
      </w:pPr>
      <w:r>
        <w:rPr>
          <w:rFonts w:ascii="Arial" w:hAnsi="Arial"/>
          <w:color w:val="000000"/>
          <w:sz w:val="20"/>
        </w:rPr>
        <w:t>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post-approval requirements, conditions of approval or other regulatory standards are not maintained or problems are identified following initial marketing.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are required to comply with the applicable portions of the QMSR,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pStyle w:val="TextBody"/>
        <w:bidi w:val="0"/>
        <w:spacing w:before="360" w:after="283"/>
        <w:jc w:val="left"/>
        <w:rPr>
          <w:rFonts w:ascii="Arial" w:hAnsi="Arial"/>
          <w:b/>
          <w:i/>
          <w:color w:val="000000"/>
          <w:sz w:val="20"/>
        </w:rPr>
      </w:pPr>
      <w:r>
        <w:rPr>
          <w:rFonts w:ascii="Arial" w:hAnsi="Arial"/>
          <w:b/>
          <w:i/>
          <w:color w:val="000000"/>
          <w:sz w:val="20"/>
        </w:rPr>
        <w:t>Other US regulatory requirements</w:t>
      </w:r>
    </w:p>
    <w:p>
      <w:pPr>
        <w:pStyle w:val="TextBody"/>
        <w:bidi w:val="0"/>
        <w:jc w:val="left"/>
        <w:rPr>
          <w:rFonts w:ascii="Arial" w:hAnsi="Arial"/>
          <w:color w:val="000000"/>
          <w:sz w:val="20"/>
        </w:rPr>
      </w:pPr>
      <w:r>
        <w:rPr>
          <w:rFonts w:ascii="Arial" w:hAnsi="Arial"/>
          <w:color w:val="000000"/>
          <w:sz w:val="20"/>
        </w:rPr>
        <w:t>In addition to FDA regulation of pharmaceutical products, pharmaceutical companies are also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their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pStyle w:val="TextBody"/>
        <w:bidi w:val="0"/>
        <w:spacing w:before="20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US coverage and reimbursement</w:t>
      </w:r>
    </w:p>
    <w:p>
      <w:pPr>
        <w:pStyle w:val="TextBody"/>
        <w:bidi w:val="0"/>
        <w:jc w:val="left"/>
        <w:rPr>
          <w:rFonts w:ascii="Arial" w:hAnsi="Arial"/>
          <w:color w:val="000000"/>
          <w:sz w:val="20"/>
        </w:rPr>
      </w:pPr>
      <w:r>
        <w:rPr>
          <w:rFonts w:ascii="Arial" w:hAnsi="Arial"/>
          <w:color w:val="000000"/>
          <w:sz w:val="20"/>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pStyle w:val="TextBody"/>
        <w:bidi w:val="0"/>
        <w:jc w:val="left"/>
        <w:rPr>
          <w:rFonts w:ascii="Arial" w:hAnsi="Arial"/>
          <w:color w:val="000000"/>
          <w:sz w:val="20"/>
        </w:rPr>
      </w:pPr>
      <w:r>
        <w:rPr>
          <w:rFonts w:ascii="Arial" w:hAnsi="Arial"/>
          <w:color w:val="000000"/>
          <w:sz w:val="20"/>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jc w:val="left"/>
        <w:rPr>
          <w:rFonts w:ascii="Arial" w:hAnsi="Arial"/>
          <w:color w:val="000000"/>
          <w:sz w:val="20"/>
        </w:rPr>
      </w:pPr>
      <w:r>
        <w:rPr>
          <w:rFonts w:ascii="Arial" w:hAnsi="Arial"/>
          <w:color w:val="000000"/>
          <w:sz w:val="20"/>
        </w:rPr>
        <w:t>Third-party payors are increasingly challenging the price and examining the medical necessity and cost-effectiveness of medical products and services, in addition to their safety and efficacy. Third-party payors may not consider our product candidates to be medically necessary or cost-effective compared to other available therapies. Adoption of price controls and cost-containment measures, and adoption of more restrictive policies in jurisdictions with existing controls and measures, could further limit sales of any product that receives approval.</w:t>
      </w:r>
    </w:p>
    <w:p>
      <w:pPr>
        <w:pStyle w:val="TextBody"/>
        <w:bidi w:val="0"/>
        <w:spacing w:before="360" w:after="283"/>
        <w:jc w:val="left"/>
        <w:rPr>
          <w:rFonts w:ascii="Arial" w:hAnsi="Arial"/>
          <w:b/>
          <w:i/>
          <w:color w:val="000000"/>
          <w:sz w:val="20"/>
        </w:rPr>
      </w:pPr>
      <w:r>
        <w:rPr>
          <w:rFonts w:ascii="Arial" w:hAnsi="Arial"/>
          <w:b/>
          <w:i/>
          <w:color w:val="000000"/>
          <w:sz w:val="20"/>
        </w:rPr>
        <w:t>US healthcare reform</w:t>
      </w:r>
    </w:p>
    <w:p>
      <w:pPr>
        <w:pStyle w:val="TextBody"/>
        <w:bidi w:val="0"/>
        <w:jc w:val="left"/>
        <w:rPr>
          <w:rFonts w:ascii="Arial" w:hAnsi="Arial"/>
          <w:color w:val="000000"/>
          <w:sz w:val="20"/>
        </w:rPr>
      </w:pPr>
      <w:r>
        <w:rPr>
          <w:rFonts w:ascii="Arial" w:hAnsi="Arial"/>
          <w:color w:val="000000"/>
          <w:sz w:val="20"/>
        </w:rPr>
        <w:t>In the United States, there have been, and continue to be, legislative and regulatory changes and proposed changes regarding the healthcare system that could prevent or delay marketing approval of product candidates, restrict or regulate post-approval activities, and affect the profitable sale of product candidates. 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pStyle w:val="TextBody"/>
        <w:bidi w:val="0"/>
        <w:jc w:val="left"/>
        <w:rPr>
          <w:rFonts w:ascii="Times New Roman" w:hAnsi="Times New Roman"/>
          <w:sz w:val="20"/>
        </w:rPr>
      </w:pPr>
      <w:r>
        <w:rPr>
          <w:rFonts w:ascii="Arial" w:hAnsi="Arial"/>
          <w:color w:val="000000"/>
          <w:sz w:val="20"/>
        </w:rPr>
        <w:t>By way of example, in March 2010, the Patient Protection and Affordable Care Act (the ACA) was passed, which substantially changed the way healthcare is financed by both governmental and private insurers, and significantly affected the pharmaceutical industry. The ACA, among other things,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 potentially including prescription drug spending. Since its enactment, there have been judicial, executive and political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addition, other legislative changes have been proposed and adopted since the ACA was enacted. These changes included aggregate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Arial" w:hAnsi="Arial"/>
          <w:color w:val="231F20"/>
          <w:sz w:val="20"/>
        </w:rPr>
        <w:t xml:space="preserve">In addition, </w:t>
      </w:r>
      <w:r>
        <w:rPr>
          <w:rFonts w:ascii="Arial" w:hAnsi="Arial"/>
          <w:color w:val="000000"/>
          <w:sz w:val="20"/>
        </w:rPr>
        <w:t>on March 11, 2021, the American Rescue Plan Act of 2021 was signed into law, which eliminated the statutory cap on manufacturers’ Medicaid drug rebate liability, beginning January 1, 2024. The rebate was previously capped at 100% of a drug's average manufacturer price.</w:t>
      </w:r>
    </w:p>
    <w:p>
      <w:pPr>
        <w:pStyle w:val="TextBody"/>
        <w:bidi w:val="0"/>
        <w:jc w:val="left"/>
        <w:rPr>
          <w:rFonts w:ascii="Arial" w:hAnsi="Arial"/>
          <w:color w:val="000000"/>
          <w:sz w:val="20"/>
        </w:rPr>
      </w:pPr>
      <w:r>
        <w:rPr>
          <w:rFonts w:ascii="Arial" w:hAnsi="Arial"/>
          <w:color w:val="000000"/>
          <w:sz w:val="20"/>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enacted into law. Among other things, the IRA requires manufacturers of certain drugs to engage in price negotiations with Medicare,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While the impact of the IRA on the pharmaceutical industry cannot yet be fully determined, it is likely to be significant.</w:t>
      </w:r>
    </w:p>
    <w:p>
      <w:pPr>
        <w:pStyle w:val="TextBody"/>
        <w:bidi w:val="0"/>
        <w:jc w:val="left"/>
        <w:rPr/>
      </w:pPr>
      <w:r>
        <w:rPr/>
        <w:t> </w:t>
      </w:r>
    </w:p>
    <w:p>
      <w:pPr>
        <w:pStyle w:val="TextBody"/>
        <w:bidi w:val="0"/>
        <w:spacing w:before="0" w:after="180"/>
        <w:jc w:val="left"/>
        <w:rPr>
          <w:rFonts w:ascii="Arial" w:hAnsi="Arial"/>
          <w:color w:val="000000"/>
          <w:sz w:val="20"/>
        </w:rPr>
      </w:pPr>
      <w:r>
        <w:rPr>
          <w:rFonts w:ascii="Arial" w:hAnsi="Arial"/>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jc w:val="left"/>
        <w:rPr>
          <w:rFonts w:ascii="Arial" w:hAnsi="Arial"/>
          <w:color w:val="000000"/>
          <w:sz w:val="20"/>
        </w:rPr>
      </w:pPr>
      <w:r>
        <w:rPr>
          <w:rFonts w:ascii="Arial" w:hAnsi="Arial"/>
          <w:color w:val="000000"/>
          <w:sz w:val="20"/>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our products and any additional product candidates we develop,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pStyle w:val="TextBody"/>
        <w:bidi w:val="0"/>
        <w:spacing w:before="20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EU Medicinal Product Regulation</w:t>
      </w:r>
    </w:p>
    <w:p>
      <w:pPr>
        <w:pStyle w:val="TextBody"/>
        <w:bidi w:val="0"/>
        <w:jc w:val="left"/>
        <w:rPr>
          <w:rFonts w:ascii="Times New Roman" w:hAnsi="Times New Roman"/>
          <w:sz w:val="20"/>
        </w:rPr>
      </w:pPr>
      <w:r>
        <w:rPr>
          <w:rFonts w:ascii="Arial" w:hAnsi="Arial"/>
          <w:color w:val="000000"/>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(MA),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Non-clinical Studies and Clinical Trials</w:t>
      </w:r>
    </w:p>
    <w:p>
      <w:pPr>
        <w:pStyle w:val="TextBody"/>
        <w:bidi w:val="0"/>
        <w:jc w:val="left"/>
        <w:rPr>
          <w:rFonts w:ascii="Arial" w:hAnsi="Arial"/>
          <w:color w:val="000000"/>
          <w:sz w:val="20"/>
        </w:rPr>
      </w:pPr>
      <w:r>
        <w:rPr>
          <w:rFonts w:ascii="Arial" w:hAnsi="Arial"/>
          <w:color w:val="000000"/>
          <w:sz w:val="20"/>
        </w:rPr>
        <w:t>Similarly to the United States, the various phases of non-clinical and clinical research in the EU are subject to significant regulatory controls.</w:t>
      </w:r>
    </w:p>
    <w:p>
      <w:pPr>
        <w:pStyle w:val="TextBody"/>
        <w:bidi w:val="0"/>
        <w:jc w:val="left"/>
        <w:rPr>
          <w:rFonts w:ascii="Arial" w:hAnsi="Arial"/>
          <w:color w:val="000000"/>
          <w:sz w:val="20"/>
        </w:rPr>
      </w:pPr>
      <w:r>
        <w:rPr>
          <w:rFonts w:ascii="Arial" w:hAnsi="Arial"/>
          <w:color w:val="000000"/>
          <w:sz w:val="20"/>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jc w:val="left"/>
        <w:rPr>
          <w:rFonts w:ascii="Arial" w:hAnsi="Arial"/>
          <w:color w:val="000000"/>
          <w:sz w:val="20"/>
        </w:rPr>
      </w:pPr>
      <w:r>
        <w:rPr>
          <w:rFonts w:ascii="Arial" w:hAnsi="Arial"/>
          <w:color w:val="000000"/>
          <w:sz w:val="20"/>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(ATMPs). If the sponsor of the clinical trial is not established within the EU, it must appoint an entity within the EU to act as its legal representative. The sponsor must take out a clinical trial insurance policy, and in most EU member states, the sponsor is liable to provide ‘no fault’ compensation to any trial subject injured in the clinical trial.</w:t>
      </w:r>
    </w:p>
    <w:p>
      <w:pPr>
        <w:pStyle w:val="TextBody"/>
        <w:bidi w:val="0"/>
        <w:jc w:val="left"/>
        <w:rPr>
          <w:rFonts w:ascii="Times New Roman" w:hAnsi="Times New Roman"/>
          <w:sz w:val="20"/>
        </w:rPr>
      </w:pPr>
      <w:r>
        <w:rPr>
          <w:rFonts w:ascii="Arial" w:hAnsi="Arial"/>
          <w:color w:val="000000"/>
          <w:sz w:val="20"/>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CTR transition period ended on January 31, 2025, and all clinical trials (and related applications) are now fully subject to the provisions of the CTR.</w:t>
      </w:r>
    </w:p>
    <w:p>
      <w:pPr>
        <w:pStyle w:val="TextBody"/>
        <w:bidi w:val="0"/>
        <w:spacing w:before="20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Medicines used in clinical trials must be manufactured in accordance with good manufacturing practice (GMP). Other national and EU-wide regulatory requirements also apply.</w:t>
      </w:r>
    </w:p>
    <w:p>
      <w:pPr>
        <w:pStyle w:val="TextBody"/>
        <w:bidi w:val="0"/>
        <w:spacing w:before="360" w:after="283"/>
        <w:jc w:val="left"/>
        <w:rPr>
          <w:rFonts w:ascii="Arial" w:hAnsi="Arial"/>
          <w:b/>
          <w:i/>
          <w:color w:val="000000"/>
          <w:sz w:val="20"/>
        </w:rPr>
      </w:pPr>
      <w:r>
        <w:rPr>
          <w:rFonts w:ascii="Arial" w:hAnsi="Arial"/>
          <w:b/>
          <w:i/>
          <w:color w:val="000000"/>
          <w:sz w:val="20"/>
        </w:rPr>
        <w:t>Marketing Authorizations</w:t>
      </w:r>
    </w:p>
    <w:p>
      <w:pPr>
        <w:pStyle w:val="TextBody"/>
        <w:bidi w:val="0"/>
        <w:jc w:val="left"/>
        <w:rPr>
          <w:rFonts w:ascii="Times New Roman" w:hAnsi="Times New Roman"/>
          <w:sz w:val="20"/>
        </w:rPr>
      </w:pPr>
      <w:r>
        <w:rPr>
          <w:rFonts w:ascii="Arial" w:hAnsi="Arial"/>
          <w:color w:val="000000"/>
          <w:sz w:val="20"/>
        </w:rPr>
        <w:t>To market a medicinal product in the EU and in many other foreign jurisdictions, we must obtain separate regulatory approvals. More concretely, in the EU, medicinal product candidates can only be commercialized after obtaining a MA. To obtain regulatory approval of an investigational medicinal product under EU regulatory systems, we must submit a MA application (MAA). The process for doing this depends, among other things, on the nature of the medicinal product. There are two types of MAs (i.e., centralized and national MAs). Our product candidates are expected to be subject to the centralized MA procedure.</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Centralized MAs” are issued by the European Commission through the centralized procedure, based on the opinion of the Committee for Medicinal Products for Human Use (CHMP) of the European Medicines Agency (EMA) and are valid throughout the EU. The centralized procedure is mandatory for certain types of products, such as: (i) medicinal products derived from biotechnology medicinal products, (ii) designated orphan medicinal products, (iii) ATMPs (such as gene therapy, somatic cell therapy or tissue-engineered medicines), and (iv) medicinal products containing a new active substance indicated for the treatment certain diseases, such as HIV/AIDS, cancer, neurodegenerative diseases, diabetes, other auto-immune and viral diseases. The centralized procedure is optional for products containing a new active substance not yet authorized in the EU, or for products that constitute a significant therapeutic, scientific or technical innovation or that the granting of authorization would be in the interest of public health in the EU.</w:t>
      </w:r>
    </w:p>
    <w:p>
      <w:pPr>
        <w:pStyle w:val="TextBody"/>
        <w:bidi w:val="0"/>
        <w:jc w:val="left"/>
        <w:rPr>
          <w:rFonts w:ascii="Arial" w:hAnsi="Arial"/>
          <w:color w:val="000000"/>
          <w:sz w:val="20"/>
        </w:rPr>
      </w:pPr>
      <w:r>
        <w:rPr>
          <w:rFonts w:ascii="Arial" w:hAnsi="Arial"/>
          <w:color w:val="000000"/>
          <w:sz w:val="20"/>
        </w:rPr>
        <w:t>Under the centralized procedure, the maximum timeframe for the evaluation of a MAA by the EMA is 210 days. Where there is a major public health interest and an unmet medical need for a product, the CHMP may perform an accelerated review of a MA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The benefits of a PRIME designation include the appointment of a CHMP rapporteur before submission of a MAA, early dialogue and scientific advice at key development milestones, and the potential to qualify products for accelerated review earlier in the application process.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the above-described procedures, in order to grant the MA, the EMA or the competent authorities of the EU member states make an assessment of the risk-benefit balance of the product on the basis of scientific criteria concerning its quality, safety and efficacy.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MAs have an initial duration of five years. After these five years, the authorization may be renewed for an unlimited period on the basis of a reevaluation of the risk-benefit balance, unless the EMA decides, on justified grounds relating to pharmacovigilance, to mandate one additional five-year renewal period.</w:t>
      </w:r>
    </w:p>
    <w:p>
      <w:pPr>
        <w:pStyle w:val="TextBody"/>
        <w:bidi w:val="0"/>
        <w:spacing w:before="20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Data and Marketing Exclusivity</w:t>
      </w:r>
    </w:p>
    <w:p>
      <w:pPr>
        <w:pStyle w:val="TextBody"/>
        <w:bidi w:val="0"/>
        <w:jc w:val="left"/>
        <w:rPr>
          <w:rFonts w:ascii="Times New Roman" w:hAnsi="Times New Roman"/>
          <w:sz w:val="20"/>
        </w:rPr>
      </w:pPr>
      <w:r>
        <w:rPr>
          <w:rFonts w:ascii="Arial" w:hAnsi="Arial"/>
          <w:color w:val="000000"/>
          <w:sz w:val="20"/>
        </w:rPr>
        <w:t>In the EU, new products authorized for marketing (</w:t>
      </w:r>
      <w:r>
        <w:rPr>
          <w:rFonts w:ascii="Arial" w:hAnsi="Arial"/>
          <w:i/>
          <w:color w:val="000000"/>
          <w:sz w:val="20"/>
        </w:rPr>
        <w:t>i.e.</w:t>
      </w:r>
      <w:r>
        <w:rPr>
          <w:rFonts w:ascii="Arial" w:hAnsi="Arial"/>
          <w:color w:val="000000"/>
          <w:sz w:val="20"/>
        </w:rPr>
        <w:t>, reference products)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pStyle w:val="TextBody"/>
        <w:bidi w:val="0"/>
        <w:spacing w:before="360" w:after="283"/>
        <w:jc w:val="left"/>
        <w:rPr>
          <w:rFonts w:ascii="Times New Roman" w:hAnsi="Times New Roman"/>
          <w:sz w:val="20"/>
        </w:rPr>
      </w:pPr>
      <w:r>
        <w:rPr>
          <w:rFonts w:ascii="Arial" w:hAnsi="Arial"/>
          <w:b/>
          <w:i/>
          <w:color w:val="000000"/>
          <w:sz w:val="20"/>
        </w:rPr>
        <w:t>Orphan Medicinal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 threatening or chronically debilitating condition (2) either (a) such condition affects not more than five in 10,000 persons in the EU when the application is made, or (b) the product, without the benefits derived from the orphan status, would not generate sufficient return in the EU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a ten years of market exclusivity for the approved indication, which means that the competent authorities cannot accept another MAA, or grant a MA, or accept an application to extend a MA for a similar medicinal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designation does not convey any advantage in, or shorten the duration of, the regulatory review and approval process.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orphan exclusivity period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pStyle w:val="TextBody"/>
        <w:bidi w:val="0"/>
        <w:spacing w:before="360" w:after="283"/>
        <w:jc w:val="left"/>
        <w:rPr>
          <w:rFonts w:ascii="Arial" w:hAnsi="Arial"/>
          <w:b/>
          <w:i/>
          <w:color w:val="000000"/>
          <w:sz w:val="20"/>
        </w:rPr>
      </w:pPr>
      <w:r>
        <w:rPr>
          <w:rFonts w:ascii="Arial" w:hAnsi="Arial"/>
          <w:b/>
          <w:i/>
          <w:color w:val="000000"/>
          <w:sz w:val="20"/>
        </w:rPr>
        <w:t>Pediatric Development</w:t>
      </w:r>
    </w:p>
    <w:p>
      <w:pPr>
        <w:pStyle w:val="TextBody"/>
        <w:bidi w:val="0"/>
        <w:jc w:val="left"/>
        <w:rPr>
          <w:rFonts w:ascii="Arial" w:hAnsi="Arial"/>
          <w:color w:val="000000"/>
          <w:sz w:val="20"/>
        </w:rPr>
      </w:pPr>
      <w:r>
        <w:rPr>
          <w:rFonts w:ascii="Arial" w:hAnsi="Arial"/>
          <w:color w:val="000000"/>
          <w:sz w:val="20"/>
        </w:rPr>
        <w:t>In the EU, MAAs for new medicinal products candidates have to include the results of trials conducted in the pediatric population, or a waiver or deferral for such data,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is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trial results are included in the product information, even when negative, the product is eligible for six months’ supplementary protection certificate extension (if any is in effect at the time of authorization).</w:t>
      </w:r>
    </w:p>
    <w:p>
      <w:pPr>
        <w:pStyle w:val="TextBody"/>
        <w:bidi w:val="0"/>
        <w:spacing w:before="20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Post-Approval Requirements</w:t>
      </w:r>
    </w:p>
    <w:p>
      <w:pPr>
        <w:pStyle w:val="TextBody"/>
        <w:bidi w:val="0"/>
        <w:jc w:val="left"/>
        <w:rPr>
          <w:rFonts w:ascii="Arial" w:hAnsi="Arial"/>
          <w:color w:val="000000"/>
          <w:sz w:val="20"/>
        </w:rPr>
      </w:pPr>
      <w:r>
        <w:rPr>
          <w:rFonts w:ascii="Arial" w:hAnsi="Arial"/>
          <w:color w:val="000000"/>
          <w:sz w:val="20"/>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pStyle w:val="TextBody"/>
        <w:bidi w:val="0"/>
        <w:jc w:val="left"/>
        <w:rPr>
          <w:rFonts w:ascii="Arial" w:hAnsi="Arial"/>
          <w:color w:val="000000"/>
          <w:sz w:val="20"/>
        </w:rPr>
      </w:pPr>
      <w:r>
        <w:rPr>
          <w:rFonts w:ascii="Arial" w:hAnsi="Arial"/>
          <w:color w:val="000000"/>
          <w:sz w:val="20"/>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trials.</w:t>
      </w:r>
    </w:p>
    <w:p>
      <w:pPr>
        <w:pStyle w:val="TextBody"/>
        <w:bidi w:val="0"/>
        <w:jc w:val="left"/>
        <w:rPr>
          <w:rFonts w:ascii="Arial" w:hAnsi="Arial"/>
          <w:color w:val="000000"/>
          <w:sz w:val="20"/>
        </w:rPr>
      </w:pPr>
      <w:r>
        <w:rPr>
          <w:rFonts w:ascii="Arial" w:hAnsi="Arial"/>
          <w:color w:val="000000"/>
          <w:sz w:val="20"/>
        </w:rPr>
        <w:t>The advertising and promotion of medicinal products are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pStyle w:val="TextBody"/>
        <w:bidi w:val="0"/>
        <w:jc w:val="left"/>
        <w:rPr>
          <w:rFonts w:ascii="Arial" w:hAnsi="Arial"/>
          <w:color w:val="000000"/>
          <w:sz w:val="20"/>
        </w:rPr>
      </w:pPr>
      <w:r>
        <w:rPr>
          <w:rFonts w:ascii="Arial" w:hAnsi="Arial"/>
          <w:color w:val="000000"/>
          <w:sz w:val="20"/>
        </w:rPr>
        <w:t>The aforementioned EU rules are generally applicable in the European Economic Area (EEA) which consists of the 27 EU member states plus Norway, Liechtenstein and Iceland.</w:t>
      </w:r>
    </w:p>
    <w:p>
      <w:pPr>
        <w:pStyle w:val="TextBody"/>
        <w:bidi w:val="0"/>
        <w:spacing w:before="360" w:after="283"/>
        <w:jc w:val="left"/>
        <w:rPr>
          <w:rFonts w:ascii="Times New Roman" w:hAnsi="Times New Roman"/>
          <w:sz w:val="20"/>
        </w:rPr>
      </w:pPr>
      <w:r>
        <w:rPr>
          <w:rFonts w:ascii="Arial" w:hAnsi="Arial"/>
          <w:b/>
          <w:i/>
          <w:color w:val="000000"/>
          <w:sz w:val="20"/>
        </w:rPr>
        <w:t>Regulation of Companion Diagnostics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the EU, in vitro diagnostic medical devices (IVD MDs) were regulated by the In Vitro Diagnostic Medical Devices Directive (IVDD) which regulated the placing on the market, the CE marking, the essential requirements, the conformity assessment procedures, the registration obligations for manufacturers and devices as well as the vigilance procedure. IVD MDs had to comply with the requirements provided for in the IVDD, and with further requirements implemented at national level (as the case may be).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regulation of companion diagnostics is subject to further requirements since the In Vitro Diagnostic Medical Devices Regulation (IVDR) became applicable on May 26, 2022. Following subsequent legislative changes, European institutions adopted a “progressive” roll-out of the IVDR to prevent disruption in the supply of in vitro diagnostic medical devices. Therefore, the IVDR applies since May 26, 2022 but there is a tiered system extending the grace period for many devices (depending on their risk classification) before they have to be fully compliant with the regulation.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application for the medicinal product has been submitted through the centralized procedure. For other substances, the notified body can seek the opinion from a national competent authorities or the EMA.</w:t>
      </w:r>
    </w:p>
    <w:p>
      <w:pPr>
        <w:pStyle w:val="TextBody"/>
        <w:bidi w:val="0"/>
        <w:spacing w:before="360" w:after="283"/>
        <w:jc w:val="left"/>
        <w:rPr>
          <w:rFonts w:ascii="Arial" w:hAnsi="Arial"/>
          <w:b/>
          <w:i/>
          <w:color w:val="000000"/>
          <w:sz w:val="20"/>
        </w:rPr>
      </w:pPr>
      <w:r>
        <w:rPr>
          <w:rFonts w:ascii="Arial" w:hAnsi="Arial"/>
          <w:b/>
          <w:i/>
          <w:color w:val="000000"/>
          <w:sz w:val="20"/>
        </w:rPr>
        <w:t>Rest of the World Regulation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other countries outside of the EU, such as countries in Latin America or Asia (e.g., China and Japan),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20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Data Privacy and Security Laws</w:t>
      </w:r>
    </w:p>
    <w:p>
      <w:pPr>
        <w:pStyle w:val="TextBody"/>
        <w:bidi w:val="0"/>
        <w:jc w:val="left"/>
        <w:rPr>
          <w:rFonts w:ascii="Arial" w:hAnsi="Arial"/>
          <w:color w:val="000000"/>
          <w:sz w:val="20"/>
        </w:rPr>
      </w:pPr>
      <w:r>
        <w:rPr>
          <w:rFonts w:ascii="Arial" w:hAnsi="Arial"/>
          <w:color w:val="000000"/>
          <w:sz w:val="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360" w:after="283"/>
        <w:jc w:val="left"/>
        <w:rPr>
          <w:rFonts w:ascii="Arial" w:hAnsi="Arial"/>
          <w:b/>
          <w:color w:val="000000"/>
          <w:sz w:val="22"/>
        </w:rPr>
      </w:pPr>
      <w:r>
        <w:rPr>
          <w:rFonts w:ascii="Arial" w:hAnsi="Arial"/>
          <w:b/>
          <w:color w:val="000000"/>
          <w:sz w:val="22"/>
        </w:rPr>
        <w:t>Facilities</w:t>
      </w:r>
    </w:p>
    <w:p>
      <w:pPr>
        <w:pStyle w:val="TextBody"/>
        <w:bidi w:val="0"/>
        <w:jc w:val="left"/>
        <w:rPr>
          <w:rFonts w:ascii="Times New Roman" w:hAnsi="Times New Roman"/>
          <w:sz w:val="20"/>
        </w:rPr>
      </w:pPr>
      <w:r>
        <w:rPr>
          <w:rFonts w:ascii="Arial" w:hAnsi="Arial"/>
          <w:color w:val="000000"/>
          <w:sz w:val="20"/>
        </w:rPr>
        <w:t>Our corporate headquarters is located in San Diego, California, where we lease approximately 78,000 square feet of office and laboratory space pursuant to a lease that expires in April 2032 and may be terminated early under certain circumstances. In January 2024, we entered into an agreement to sublease the second floor of our corporate headquarters (the January 2024 Sublease). Pursuant to the January 2024 Sublease, the subleased space was approximately 11,000 square feet of office space with a sublease term of three years which included an option for the subtenant to renew for an additional year and an early termination clause. In June 2025, we and the subtenant entered into a termination agreement that terminated the January 2024 Sublease in July 2025. In July 2024, we entered into an agreement to sublease the first floor of our corporate headquarters (the July 2024 Sublease). Pursuant to the July 2024 Sublease, the subleased space is approximately 18,000 square feet of office space with a sublease term of 61 months beginning in October 2024. The July 2024 Sublease includes an option for the subtenant to renew for an additional year and an early termination clause. In September 2024, we entered into an agreement to sublease a portion of the third floor of our corporate headquarters (the September 2024 Sublease). Pursuant to the September 2024 Sublease, the subleased space was approximately 5,000 square feet of laboratory space with a sublease term of one year which included an option for the subtenant to renew for an additional year. In July 2025, the September 2024 Sublease was amended to: (i) add approximately 5,000 square feet of laboratory space on the third floor and approximately 11,000 square feet of office space on the second floor to the subleased space; and (ii) to extend the term of the September 2024 Sublease through December 31, 2027. The amendment to the September 2024 Sublease includes an option for the subtenant to renew for an additional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also lease approximately 30,000 square feet of office and laboratory space in South San Francisco, California, pursuant to a lease that expires in October 2032, with an option to extend the term by five years, subject to certain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believe our existing facilities are adequate to meet our current business requirements for the near term, and that additional space will be available on commercially reasonable terms, if required.</w:t>
      </w:r>
    </w:p>
    <w:p>
      <w:pPr>
        <w:pStyle w:val="TextBody"/>
        <w:bidi w:val="0"/>
        <w:spacing w:before="360" w:after="283"/>
        <w:jc w:val="left"/>
        <w:rPr>
          <w:rFonts w:ascii="Arial" w:hAnsi="Arial"/>
          <w:b/>
          <w:color w:val="000000"/>
          <w:sz w:val="22"/>
        </w:rPr>
      </w:pPr>
      <w:r>
        <w:rPr>
          <w:rFonts w:ascii="Arial" w:hAnsi="Arial"/>
          <w:b/>
          <w:color w:val="000000"/>
          <w:sz w:val="22"/>
        </w:rPr>
        <w:t>Employees</w:t>
      </w:r>
    </w:p>
    <w:p>
      <w:pPr>
        <w:pStyle w:val="TextBody"/>
        <w:bidi w:val="0"/>
        <w:jc w:val="left"/>
        <w:rPr>
          <w:rFonts w:ascii="Arial" w:hAnsi="Arial"/>
          <w:color w:val="000000"/>
          <w:sz w:val="20"/>
        </w:rPr>
      </w:pPr>
      <w:r>
        <w:rPr>
          <w:rFonts w:ascii="Arial" w:hAnsi="Arial"/>
          <w:color w:val="000000"/>
          <w:sz w:val="20"/>
        </w:rPr>
        <w:t>As of February 28, 2026, we had 103 full-time employees (FTEs), 34 of whom have doctorate degrees. Of our FTEs, 70 are engaged in research and development activities, and 33 are engaged in general and administrative activities. The majority of our employees are located in San Diego County, California. None of our employees are represented by labor unions or covered by collective bargaining units. We consider our relationship with our employees to be good.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human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pStyle w:val="TextBody"/>
        <w:bidi w:val="0"/>
        <w:spacing w:before="20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Corporate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were incorporated under the laws of the State of Delaware on July 2, 2018 as Erasca, Inc. Our principal executive offices are located at 3115 Merryfield Row, Suite 300, San Diego, California 92121, and our telephone number is 858-465-6511. Our website address is www.erasca.com. Our website and the information contained on, or that can be accessed through, the website will not be deemed to be incorporated by reference in, and are not considered part of, this Annual Report on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an "emerging growth company" as defined in the Jumpstart Our Business Startups Act of 2012. We will remain an emerging growth company until the earliest of: (i)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pStyle w:val="TextBody"/>
        <w:bidi w:val="0"/>
        <w:spacing w:before="360" w:after="283"/>
        <w:jc w:val="left"/>
        <w:rPr>
          <w:rFonts w:ascii="Arial" w:hAnsi="Arial"/>
          <w:b/>
          <w:color w:val="000000"/>
          <w:sz w:val="22"/>
        </w:rPr>
      </w:pPr>
      <w:r>
        <w:rPr>
          <w:rFonts w:ascii="Arial" w:hAnsi="Arial"/>
          <w:b/>
          <w:color w:val="000000"/>
          <w:sz w:val="22"/>
        </w:rPr>
        <w:t>Available Information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website address is www.erasca.com.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portion of our website free of charge as soon as reasonably practicable after we electronically file such material with, or furnish it to, the SEC.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use the “Investors” portion of our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website. The information in or accessible through the SEC and our website are not incorporated into, and are not considered part of, this Annual Report on Form 10-K.</w:t>
      </w:r>
    </w:p>
    <w:p>
      <w:pPr>
        <w:pStyle w:val="TextBody"/>
        <w:bidi w:val="0"/>
        <w:spacing w:before="20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4" w:name="item_1a_risk_factors_"/>
      <w:bookmarkEnd w:id="4"/>
      <w:r>
        <w:rPr>
          <w:rFonts w:ascii="Arial" w:hAnsi="Arial"/>
          <w:b/>
          <w:color w:val="000000"/>
          <w:sz w:val="20"/>
        </w:rPr>
        <w:t>Item 1A. Risk Factors.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Investing in our common stock involves a high degree of risk. You should carefully consider the risks and uncertainties described below, as well as the other information in this Annual Report on Form 10-K, including our consolidated financial statements and the related notes included elsewhere in this Annual Report on Form 10-K and “Management’s Discussion and Analysis of Financial Condition and Results of Operations,” before making investment decisions regarding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 The risks described below are not the only ones we face. Additional risks and uncertainties not presently known to us or that we currently deem immaterial also may impair our business operations.</w:t>
      </w:r>
      <w:r>
        <w:rPr>
          <w:rFonts w:ascii="Times New Roman" w:hAnsi="Times New Roman"/>
          <w:color w:val="000000"/>
          <w:sz w:val="20"/>
        </w:rPr>
        <w:t xml:space="preserve"> </w:t>
      </w:r>
    </w:p>
    <w:p>
      <w:pPr>
        <w:pStyle w:val="TextBody"/>
        <w:bidi w:val="0"/>
        <w:jc w:val="left"/>
        <w:rPr>
          <w:rFonts w:ascii="Arial" w:hAnsi="Arial"/>
          <w:b/>
          <w:color w:val="000000"/>
          <w:sz w:val="20"/>
        </w:rPr>
      </w:pPr>
      <w:r>
        <w:rPr>
          <w:rFonts w:ascii="Arial" w:hAnsi="Arial"/>
          <w:b/>
          <w:color w:val="000000"/>
          <w:sz w:val="20"/>
        </w:rPr>
        <w:t>Risks related to our limited operating history, financial position and need for additional capital</w:t>
      </w:r>
    </w:p>
    <w:p>
      <w:pPr>
        <w:pStyle w:val="TextBody"/>
        <w:bidi w:val="0"/>
        <w:jc w:val="both"/>
        <w:rPr>
          <w:rFonts w:ascii="Arial" w:hAnsi="Arial"/>
          <w:b/>
          <w:i/>
          <w:color w:val="000000"/>
          <w:sz w:val="20"/>
        </w:rPr>
      </w:pPr>
      <w:r>
        <w:rPr>
          <w:rFonts w:ascii="Arial" w:hAnsi="Arial"/>
          <w:b/>
          <w:i/>
          <w:color w:val="000000"/>
          <w:sz w:val="20"/>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jc w:val="left"/>
        <w:rPr>
          <w:rFonts w:ascii="Arial" w:hAnsi="Arial"/>
          <w:color w:val="000000"/>
          <w:sz w:val="20"/>
        </w:rPr>
      </w:pPr>
      <w:r>
        <w:rPr>
          <w:rFonts w:ascii="Arial" w:hAnsi="Arial"/>
          <w:color w:val="000000"/>
          <w:sz w:val="20"/>
        </w:rPr>
        <w:t>We are a clinical-stage biopharmaceutical company with a limited operating history upon which you can evaluate our business and prospects. We commenced operations in 2018, and to date, we have focused primarily on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Our scientific approach to the discovery and development of product candidates is unproven, and we do not know whether we will be able to develop or obtain regulatory approval for any products of commercial value. In addition, while we are currently conducting our AURORAS-1 and BOREALIS-1 Phase 1 clinical trials for ERAS-0015 and ERAS-4001, respectively, our remaining product candidates are in the preclinical or discovery stage. We have not yet completed any later-stage, large-scale or pivotal clinical trials, obtained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jc w:val="left"/>
        <w:rPr>
          <w:rFonts w:ascii="Arial" w:hAnsi="Arial"/>
          <w:color w:val="000000"/>
          <w:sz w:val="20"/>
        </w:rPr>
      </w:pPr>
      <w:r>
        <w:rPr>
          <w:rFonts w:ascii="Arial" w:hAnsi="Arial"/>
          <w:color w:val="000000"/>
          <w:sz w:val="20"/>
        </w:rPr>
        <w:t>We have incurred significant operating losses since our inception and expect to incur significant losses for the foreseeable future. We do not have any products approved for sale and have not generated any revenue since our inception. If we are unable to successfully develop and obtain requisite approval for our product candidates, we may never generate any revenue. Our net losses were $124.5 million and $161.7 million for the years ended December 31, 2025 and 2024, respectively. As of December 31, 2025, we had an accumulated deficit of $892.2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product candidates and seek to identify, assess, acquire, in-license or develop additional product candidates.</w:t>
      </w:r>
    </w:p>
    <w:p>
      <w:pPr>
        <w:pStyle w:val="TextBody"/>
        <w:bidi w:val="0"/>
        <w:jc w:val="left"/>
        <w:rPr>
          <w:rFonts w:ascii="Times New Roman" w:hAnsi="Times New Roman"/>
          <w:sz w:val="20"/>
        </w:rPr>
      </w:pPr>
      <w:r>
        <w:rPr>
          <w:rFonts w:ascii="Arial" w:hAnsi="Arial"/>
          <w:color w:val="000000"/>
          <w:sz w:val="20"/>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our product candidates, discovering, acquiring or in-licensing additional product candidates, obtaining regulatory approval for these product candidates, and manufacturing, marketing, and selling any products for which we may obtain regulatory approval. We are only in the preliminary stages of many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efforts, diversify our product candidates, or even continue our operations. A decline in the value of our company could also cause you to lose all or part of your investment.</w:t>
      </w:r>
    </w:p>
    <w:p>
      <w:pPr>
        <w:pStyle w:val="TextBody"/>
        <w:bidi w:val="0"/>
        <w:jc w:val="left"/>
        <w:rPr>
          <w:rFonts w:ascii="Arial" w:hAnsi="Arial"/>
          <w:b/>
          <w:i/>
          <w:color w:val="000000"/>
          <w:sz w:val="20"/>
        </w:rPr>
      </w:pPr>
      <w:r>
        <w:rPr>
          <w:rFonts w:ascii="Arial" w:hAnsi="Arial"/>
          <w:b/>
          <w:i/>
          <w:color w:val="000000"/>
          <w:sz w:val="20"/>
        </w:rPr>
        <w:t>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w:t>
      </w:r>
    </w:p>
    <w:p>
      <w:pPr>
        <w:pStyle w:val="TextBody"/>
        <w:bidi w:val="0"/>
        <w:jc w:val="left"/>
        <w:rPr>
          <w:rFonts w:ascii="Arial" w:hAnsi="Arial"/>
          <w:color w:val="000000"/>
          <w:sz w:val="20"/>
        </w:rPr>
      </w:pPr>
      <w:r>
        <w:rPr>
          <w:rFonts w:ascii="Arial" w:hAnsi="Arial"/>
          <w:color w:val="000000"/>
          <w:sz w:val="20"/>
        </w:rPr>
        <w:t>The development of biopharmaceutical product candidates is capital-intensive. Our operations have consumed substantial amounts of cash since inception. We expect our expenses to increase in connection with our ongoing activities, particularly as we conduct our ongoing and future clinical trials and preclinical studies, and seek regulatory approval for our current product candidates and any future product candidates we may develop or otherwise acquire. In addition, as our product candidates progress through development and toward commercialization, we will need to make milestone payments to the licensors and other third parties from whom we have in-licensed our product candidates, including ERAS-0015 and ERAS-4001. If we obtain regulatory approval for any of our product candidates, we also expect to incur significant commercialization expenses related to product manufacturing, marketing, sales, and distribution. Because the outcome of any clinical trial or preclinical study is highly uncertain, we cannot reasonably estimate the actual amounts necessary to successfully complete the development and commercialization of our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jc w:val="left"/>
        <w:rPr>
          <w:rFonts w:ascii="Arial" w:hAnsi="Arial"/>
          <w:color w:val="000000"/>
          <w:sz w:val="20"/>
        </w:rPr>
      </w:pPr>
      <w:r>
        <w:rPr>
          <w:rFonts w:ascii="Arial" w:hAnsi="Arial"/>
          <w:color w:val="000000"/>
          <w:sz w:val="20"/>
        </w:rPr>
        <w:t>Based on our current operating plan, we believe that our existing cash, cash equivalents and marketable securities, together with the net proceeds of $242.7 million received from the public offering of 25,875,000 shares of our common stock at a price to the public of $10.00 per share (the 2026 Offering), which closed in January 2026, less the $150.0 million payment made to Joyo in March 2026 in connection with the option exercise notice, will be sufficient to fund our operations into the second half of 2028.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 collaborations, licenses and other similar arrangements. In addition, we may seek additional capital due to favorable market conditions or liquidity or strategic considerations even if we believe we have sufficient funds for our current or future operating plans. For example, in August 2025, we entered into an Amended and Restated Open Market Sale Agreement (the 2025 Sale Agreement) with the Agent, pursuant to which we may, from time to time, offer and sell shares of our common stock having an aggregate offering price of up to $200 million. There can be no assurance that the Agent will be successful in consummating any future sales based on prevailing market conditions or in the quantities or at the prices that we deem appropriate. In addition, the 2025 Sale Agreement may be terminated by us or the Agent at any time upon specified notice to the other party, or by the Agent at any time in certain circumstances, including the occurrence of a material adverse change. Attempting to secure additional financing may divert our management from our day-to-day activities, which may adversely affect our ability to develop our product candidates.</w:t>
      </w:r>
    </w:p>
    <w:p>
      <w:pPr>
        <w:pStyle w:val="TextBody"/>
        <w:bidi w:val="0"/>
        <w:jc w:val="left"/>
        <w:rPr>
          <w:rFonts w:ascii="Times New Roman" w:hAnsi="Times New Roman"/>
          <w:sz w:val="20"/>
        </w:rPr>
      </w:pPr>
      <w:r>
        <w:rPr>
          <w:rFonts w:ascii="Arial" w:hAnsi="Arial"/>
          <w:color w:val="000000"/>
          <w:sz w:val="20"/>
        </w:rPr>
        <w:t>Our future capital requirements will depend on many factors,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manufacturing for our product candidates with contract manufacturing organizations (CMOs), including commercial manufacturing, if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obtaining, maintaining and enforcing our patents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efforts to enhance operational systems and hire additional personnel to satisfy our obligations as a public company, including enhanced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associated with hiring additional personnel, consultants, and contract research organizations (CROs) as our preclinical and clinical activities increase;</w:t>
      </w:r>
    </w:p>
    <w:p>
      <w:pPr>
        <w:pStyle w:val="TextBody"/>
        <w:bidi w:val="0"/>
        <w:spacing w:before="20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amount of the milestone or other payments we must make to the licensors and other third parties from whom we have in-licensed or acquired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establishing or securing sales and marketing capabilities if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patients’ willingness to pay out-of-pocket for any approved products in the absence of coverage and/or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delays and cost increases that result from geopolitical or economic events;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terms and timing of establishing and maintaining collaborations, licenses and other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delays and cost increases that result from geopolitical and economic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evolving government regulation that impacts the way we operate, including the potential negative effects of changes in United States tariff and import/export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associated with any products or technologies that we may in-license or acquire.</w:t>
      </w:r>
    </w:p>
    <w:p>
      <w:pPr>
        <w:pStyle w:val="TextBody"/>
        <w:bidi w:val="0"/>
        <w:jc w:val="left"/>
        <w:rPr>
          <w:rFonts w:ascii="Arial" w:hAnsi="Arial"/>
          <w:color w:val="000000"/>
          <w:sz w:val="20"/>
        </w:rPr>
      </w:pPr>
      <w:r>
        <w:rPr>
          <w:rFonts w:ascii="Arial" w:hAnsi="Arial"/>
          <w:color w:val="000000"/>
          <w:sz w:val="20"/>
        </w:rPr>
        <w:t>Conducting clinical trials and preclinical studies and identifying potential product candidates is a time-consuming, expensive and uncertain process that takes years to complete, and we may never generate the necessary data or results required to obtain regulatory approval and commercialize our product candidates. In addition, our product candidates, if approved, may not achieve commercial success. Our commercial revenue, if any, will be derived from sales of products that we do not expect to be commercially available for many years, if at all.</w:t>
      </w:r>
    </w:p>
    <w:p>
      <w:pPr>
        <w:pStyle w:val="TextBody"/>
        <w:bidi w:val="0"/>
        <w:jc w:val="left"/>
        <w:rPr>
          <w:rFonts w:ascii="Times New Roman" w:hAnsi="Times New Roman"/>
          <w:sz w:val="20"/>
        </w:rPr>
      </w:pPr>
      <w:r>
        <w:rPr>
          <w:rFonts w:ascii="Arial" w:hAnsi="Arial"/>
          <w:color w:val="000000"/>
          <w:sz w:val="20"/>
        </w:rPr>
        <w:t>Accordingly, we will need to continue to rely on additional financing to achieve our business objectives. Adequate additional financing may not be available to us on acceptable terms, or at all</w:t>
      </w:r>
      <w:r>
        <w:rPr>
          <w:rFonts w:ascii="Arial" w:hAnsi="Arial"/>
          <w:color w:val="231F20"/>
          <w:sz w:val="20"/>
        </w:rPr>
        <w:t>, including as a result of financial and credit market deterioration or instability, market-wide liquidity shortages, geopolitical events or otherwise</w:t>
      </w:r>
      <w:r>
        <w:rPr>
          <w:rFonts w:ascii="Arial" w:hAnsi="Arial"/>
          <w:color w:val="000000"/>
          <w:sz w:val="20"/>
        </w:rPr>
        <w:t>.</w:t>
      </w:r>
    </w:p>
    <w:p>
      <w:pPr>
        <w:pStyle w:val="TextBody"/>
        <w:bidi w:val="0"/>
        <w:jc w:val="left"/>
        <w:rPr>
          <w:rFonts w:ascii="Arial" w:hAnsi="Arial"/>
          <w:b/>
          <w:i/>
          <w:color w:val="000000"/>
          <w:sz w:val="20"/>
        </w:rPr>
      </w:pPr>
      <w:r>
        <w:rPr>
          <w:rFonts w:ascii="Arial" w:hAnsi="Arial"/>
          <w:b/>
          <w:i/>
          <w:color w:val="000000"/>
          <w:sz w:val="20"/>
        </w:rPr>
        <w:t>Raising additional capital may cause dilution to our stockholders, restrict our operations or require us to relinquish rights to our technologies or product candidates.</w:t>
      </w:r>
    </w:p>
    <w:p>
      <w:pPr>
        <w:pStyle w:val="TextBody"/>
        <w:bidi w:val="0"/>
        <w:jc w:val="left"/>
        <w:rPr>
          <w:rFonts w:ascii="Arial" w:hAnsi="Arial"/>
          <w:color w:val="000000"/>
          <w:sz w:val="20"/>
        </w:rPr>
      </w:pPr>
      <w:r>
        <w:rPr>
          <w:rFonts w:ascii="Arial" w:hAnsi="Arial"/>
          <w:color w:val="000000"/>
          <w:sz w:val="20"/>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pStyle w:val="TextBody"/>
        <w:bidi w:val="0"/>
        <w:jc w:val="left"/>
        <w:rPr>
          <w:rFonts w:ascii="Arial" w:hAnsi="Arial"/>
          <w:color w:val="000000"/>
          <w:sz w:val="20"/>
        </w:rPr>
      </w:pPr>
      <w:r>
        <w:rPr>
          <w:rFonts w:ascii="Arial" w:hAnsi="Arial"/>
          <w:color w:val="000000"/>
          <w:sz w:val="20"/>
        </w:rPr>
        <w:t>If we raise additional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left"/>
        <w:rPr>
          <w:rFonts w:ascii="Arial" w:hAnsi="Arial"/>
          <w:b/>
          <w:i/>
          <w:color w:val="231F20"/>
          <w:sz w:val="20"/>
        </w:rPr>
      </w:pPr>
      <w:r>
        <w:rPr>
          <w:rFonts w:ascii="Arial" w:hAnsi="Arial"/>
          <w:b/>
          <w:i/>
          <w:color w:val="231F20"/>
          <w:sz w:val="20"/>
        </w:rPr>
        <w:t>Our portfolio of investments or bank deposits may be subject to market, interest and credit risk that may reduce their value and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231F20"/>
          <w:sz w:val="20"/>
        </w:rPr>
        <w:t>The value of our investments may decline due to interest rate changes, downgrades of the bonds and other securities included in our investment</w:t>
      </w:r>
      <w:r>
        <w:rPr>
          <w:rFonts w:ascii="Times New Roman" w:hAnsi="Times New Roman"/>
          <w:color w:val="000000"/>
          <w:sz w:val="20"/>
        </w:rPr>
        <w:t xml:space="preserve"> </w:t>
      </w:r>
      <w:r>
        <w:rPr>
          <w:rFonts w:ascii="Arial" w:hAnsi="Arial"/>
          <w:color w:val="231F20"/>
          <w:sz w:val="20"/>
        </w:rPr>
        <w:t>portfolio and instability in the global financial markets that reduces the liquidity of securities included in our portfolio. In addition, future adverse developments with respect to financial institutions or the broader financial services industry may impair our ability to access capital needed to support near-term working capital needs, whether from our existing investment and deposit accounts or otherwise, and may lead to market-wide liquidity shortages and create additional market and economic uncertainty. Furthermore, a possible recession, rising inflation, and ongoing geopolitical events have and may continue to adversely affect the financial markets in some or all countries worldwide.</w:t>
      </w:r>
      <w:r>
        <w:rPr>
          <w:rFonts w:ascii="Times New Roman" w:hAnsi="Times New Roman"/>
          <w:color w:val="231F2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231F20"/>
          <w:sz w:val="20"/>
        </w:rPr>
      </w:pPr>
      <w:r>
        <w:rPr>
          <w:rFonts w:ascii="Arial" w:hAnsi="Arial"/>
          <w:color w:val="231F20"/>
          <w:sz w:val="20"/>
        </w:rPr>
        <w:t>Each of these events may cause us to record charges to reduce the carrying value of our investment portfolio or sell investments for less than our acquisition cost. Although we attempt to mitigate these risks through diversification of our investments, the value of our investments may nevertheless decline, and our ability to fund our near-term and long-term working capital needs to support our business and clinical development plans may be adversely affected. In addition, any decline in available funding or access to our cash and liquidity resources could also result in breaches of our financial and/or contractual obligations or result in violations of federal or state wage and hour laws.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Risks related to the discovery, development and regulatory approval of our product candidates</w:t>
      </w:r>
    </w:p>
    <w:p>
      <w:pPr>
        <w:pStyle w:val="TextBody"/>
        <w:bidi w:val="0"/>
        <w:jc w:val="left"/>
        <w:rPr>
          <w:rFonts w:ascii="Arial" w:hAnsi="Arial"/>
          <w:b/>
          <w:i/>
          <w:color w:val="000000"/>
          <w:sz w:val="20"/>
        </w:rPr>
      </w:pPr>
      <w:r>
        <w:rPr>
          <w:rFonts w:ascii="Arial" w:hAnsi="Arial"/>
          <w:b/>
          <w:i/>
          <w:color w:val="000000"/>
          <w:sz w:val="20"/>
        </w:rPr>
        <w:t>If we are unable to successfully develop, obtain regulatory approval and ultimately commercialize any of our current or future product candidates, or experience significant delays in doing so, our business will be materially harmed.</w:t>
      </w:r>
    </w:p>
    <w:p>
      <w:pPr>
        <w:pStyle w:val="TextBody"/>
        <w:bidi w:val="0"/>
        <w:jc w:val="left"/>
        <w:rPr>
          <w:rFonts w:ascii="Times New Roman" w:hAnsi="Times New Roman"/>
          <w:sz w:val="20"/>
        </w:rPr>
      </w:pPr>
      <w:r>
        <w:rPr>
          <w:rFonts w:ascii="Arial" w:hAnsi="Arial"/>
          <w:color w:val="000000"/>
          <w:sz w:val="20"/>
        </w:rPr>
        <w:t>While we are currently conducting our AURORAS-1 and BOREALIS-1 Phase 1 trials for ERAS-0015 and ERAS-4001, respectively, all of our other programs are still in the preclinical or discovery stage. Our ability to generate product revenue, which we do not expect will occur for many years, if ever, will depend heavily on the successful development and eventual commercialization of our product candidates. The success of our product candidates will depend on several factors,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initiation and successful enrollment of clinical trials and timely completion of clinical trials and preclinical studies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allowance to proceed with clinical trials under INDs by the FDA, or under similar regulatory submissions by comparable foreign regulatory authorities for the conduct of clinical trials of our product candidates and our proposed design of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frequency and severity of adverse events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and establishing relationships with CROs and clinical sites for the clinical development of our product candidates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demonstrating the safety, purity, potency and efficacy of our product candidates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receipt of marketing approvals from applicable regulatory authorities, including NDAs and BLAs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making arrangements with our third-party manufacturers for, or establishing,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establishing sales, marketing and distribution capabilities and launching commercial sales of our products, if and when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establishing and maintaining patent and trade secret protection or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an acceptable safety profile of our products following approval,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and growing an organization of people who can develop and commercialize our products and technology.</w:t>
      </w:r>
    </w:p>
    <w:p>
      <w:pPr>
        <w:pStyle w:val="TextBody"/>
        <w:bidi w:val="0"/>
        <w:jc w:val="left"/>
        <w:rPr>
          <w:rFonts w:ascii="Arial" w:hAnsi="Arial"/>
          <w:color w:val="000000"/>
          <w:sz w:val="20"/>
        </w:rPr>
      </w:pPr>
      <w:r>
        <w:rPr>
          <w:rFonts w:ascii="Arial" w:hAnsi="Arial"/>
          <w:color w:val="000000"/>
          <w:sz w:val="20"/>
        </w:rPr>
        <w:t>If we are unable to develop, obtain regulatory approval for, or, if approved, successfully commercialize our product candidates, we may not be able to generate sufficient revenue to continue our business.</w:t>
      </w:r>
    </w:p>
    <w:p>
      <w:pPr>
        <w:pStyle w:val="TextBody"/>
        <w:bidi w:val="0"/>
        <w:jc w:val="left"/>
        <w:rPr>
          <w:rFonts w:ascii="Arial" w:hAnsi="Arial"/>
          <w:b/>
          <w:i/>
          <w:color w:val="000000"/>
          <w:sz w:val="20"/>
        </w:rPr>
      </w:pPr>
      <w:r>
        <w:rPr>
          <w:rFonts w:ascii="Arial" w:hAnsi="Arial"/>
          <w:b/>
          <w:i/>
          <w:color w:val="000000"/>
          <w:sz w:val="20"/>
        </w:rPr>
        <w:t>Our scientific approach to the discovery and development of product candidates is unproven, and we do not know whether we will be able to develop any products of commercial value, or if competing approaches will limit the commercial value of our product candidates.</w:t>
      </w:r>
    </w:p>
    <w:p>
      <w:pPr>
        <w:pStyle w:val="TextBody"/>
        <w:bidi w:val="0"/>
        <w:jc w:val="left"/>
        <w:rPr>
          <w:rFonts w:ascii="Times New Roman" w:hAnsi="Times New Roman"/>
          <w:sz w:val="20"/>
        </w:rPr>
      </w:pPr>
      <w:r>
        <w:rPr>
          <w:rFonts w:ascii="Arial" w:hAnsi="Arial"/>
          <w:color w:val="000000"/>
          <w:sz w:val="20"/>
        </w:rPr>
        <w:t>The success of our business depends primarily upon our ability to identify, develop and commercialize products based on our scientific approach, which is singularly focused on shutting down the RAS/MAPK pathway, a novel and unproven approach. While we have had favorable preclinical study results for certain of our development programs, we have not yet succeeded and may not succeed in demonstrating efficacy and safety for any product candidates in late-stage clinical trials or in obtaining marketing approvals from the FDA or other regulatory authorities or in commercializing such product candidates. In addition, while we believe our pipeline will yield multiple additional INDs for our development programs in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future, we may not be successful in our discovery efforts, and even if successful, we may not be able to submit INDs and have such INDs accepted to enable us to commence clinical trials on the timelines we expect, if at all. Our research methodology and scientific approach may be unsuccessful in identifying additional product candidates, and any product candidates may be shown to have harmful side effects or may have other characteristics that may necessitate additional clinical testing, or make the product candidates unmarketable or unlikely to receive marketing approval. In particular, using multiple agents to shut down multiple nodes of the RAS/MAPK pathway simultaneously is a novel approach that may have unexpected consequences, including adverse events that preclude successful development and approval of our product candidates. Further, because all of our current product candidates and development programs are based on the RAS/MAPK pathway, adverse developments with respect to one of our programs may have a significant adverse impact on the actual or perceived likelihood of success and value of our other programs.</w:t>
      </w:r>
    </w:p>
    <w:p>
      <w:pPr>
        <w:pStyle w:val="TextBody"/>
        <w:bidi w:val="0"/>
        <w:jc w:val="left"/>
        <w:rPr>
          <w:rFonts w:ascii="Arial" w:hAnsi="Arial"/>
          <w:color w:val="000000"/>
          <w:sz w:val="20"/>
        </w:rPr>
      </w:pPr>
      <w:r>
        <w:rPr>
          <w:rFonts w:ascii="Arial" w:hAnsi="Arial"/>
          <w:color w:val="000000"/>
          <w:sz w:val="20"/>
        </w:rPr>
        <w:t>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product candidates, we may be unable to compete effectively. Our competitors may render our approach obsolete, or limit the commercial value of our products or product candidates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product candidates.</w:t>
      </w:r>
    </w:p>
    <w:p>
      <w:pPr>
        <w:pStyle w:val="TextBody"/>
        <w:bidi w:val="0"/>
        <w:jc w:val="left"/>
        <w:rPr>
          <w:rFonts w:ascii="Arial" w:hAnsi="Arial"/>
          <w:color w:val="000000"/>
          <w:sz w:val="20"/>
        </w:rPr>
      </w:pPr>
      <w:r>
        <w:rPr>
          <w:rFonts w:ascii="Arial" w:hAnsi="Arial"/>
          <w:color w:val="000000"/>
          <w:sz w:val="20"/>
        </w:rPr>
        <w:t>If any of these events occur, we may be forced to delay, modify, or abandon our development efforts for a program or programs, which would have a material adverse effect on our business and could potentially cause us to cease operations.</w:t>
      </w:r>
    </w:p>
    <w:p>
      <w:pPr>
        <w:pStyle w:val="TextBody"/>
        <w:bidi w:val="0"/>
        <w:jc w:val="left"/>
        <w:rPr>
          <w:rFonts w:ascii="Arial" w:hAnsi="Arial"/>
          <w:b/>
          <w:i/>
          <w:color w:val="000000"/>
          <w:sz w:val="20"/>
        </w:rPr>
      </w:pPr>
      <w:r>
        <w:rPr>
          <w:rFonts w:ascii="Arial" w:hAnsi="Arial"/>
          <w:b/>
          <w:i/>
          <w:color w:val="000000"/>
          <w:sz w:val="20"/>
        </w:rPr>
        <w:t>Clinical and preclinical development involves a lengthy and expensive process with an uncertain outcome, and the results of preclinical studies and early clinical trials are not necessarily predictive of future results. Any of our product candidates may not have favorable results in clinical trials, if any, or receive regulatory approval on a timely basis, if at all.</w:t>
      </w:r>
    </w:p>
    <w:p>
      <w:pPr>
        <w:pStyle w:val="TextBody"/>
        <w:bidi w:val="0"/>
        <w:jc w:val="left"/>
        <w:rPr>
          <w:rFonts w:ascii="Arial" w:hAnsi="Arial"/>
          <w:color w:val="000000"/>
          <w:sz w:val="20"/>
        </w:rPr>
      </w:pPr>
      <w:r>
        <w:rPr>
          <w:rFonts w:ascii="Arial" w:hAnsi="Arial"/>
          <w:color w:val="000000"/>
          <w:sz w:val="20"/>
        </w:rPr>
        <w:t>Clinical and preclinical development is expensive and can take many years to complete, and its outcome is inherently uncertain. We cannot guarantee that any clinical trials or preclinical studies will be conducted as planned or completed on schedule, if at all, and failure can occur at any time during the preclinical study or clinical trial process, including due to factors that are beyond our control. Further, we may not be able to meet expected timeframes for data readouts, such as those for the AURORAS-1 and JYP0015M101 clinical trials, and the BOREALIS-1 clinical trial. Despite promising preclinical or clinical results, any product candidate can unexpectedly fail at any stage of preclinical or clinical development. The historical failure rate for product candidates in our industry is high.</w:t>
      </w:r>
    </w:p>
    <w:p>
      <w:pPr>
        <w:pStyle w:val="TextBody"/>
        <w:bidi w:val="0"/>
        <w:jc w:val="left"/>
        <w:rPr>
          <w:rFonts w:ascii="Times New Roman" w:hAnsi="Times New Roman"/>
          <w:sz w:val="20"/>
        </w:rPr>
      </w:pPr>
      <w:r>
        <w:rPr>
          <w:rFonts w:ascii="Arial" w:hAnsi="Arial"/>
          <w:color w:val="000000"/>
          <w:sz w:val="20"/>
        </w:rPr>
        <w:t>The results from preclinical studies or clinical trials of a product candidate or a competitor’s product candidate in the same class may not predict the results of later clinical trials of our product candidate, and interim, topline, or preliminary results of a clinical trial are not necessarily indicative of final results. In addition, clinical trial data across separate trials may not be directly comparable due to differences in trial protocols, conditions and patient populations. Product candidates in later stages of clinical trials may fail to show the desired safety and efficacy characteristics despite having progressed through preclinical studies and initial clinical trials. We do not know whether our product candidates will perform in ongoing or future clinical trials as they have performed in prior trials and studies or in preliminary or interim data readouts for ongoing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for any of our development programs, such results may delay or prevent the initiation of clinical trials for such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us, to conduct additional preclinical studies or clinical trials, which would cause us to incur additional operating expenses and delays and may not be sufficient to support regulatory approval on a timely basis or at all.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the foregoing reasons, we cannot be certain that our ongoing and future clinical trials and preclinical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pStyle w:val="TextBody"/>
        <w:bidi w:val="0"/>
        <w:jc w:val="left"/>
        <w:rPr>
          <w:rFonts w:ascii="Arial" w:hAnsi="Arial"/>
          <w:b/>
          <w:i/>
          <w:color w:val="000000"/>
          <w:sz w:val="20"/>
        </w:rPr>
      </w:pPr>
      <w:r>
        <w:rPr>
          <w:rFonts w:ascii="Arial" w:hAnsi="Arial"/>
          <w:b/>
          <w:i/>
          <w:color w:val="000000"/>
          <w:sz w:val="20"/>
        </w:rPr>
        <w:t>Any difficulties or delays in the commencement or completion, or termination or suspension, of our current or future clinical trials could result in increased costs to us, delay or limit our ability to generate revenue and adversely affect our commercial prospects.</w:t>
      </w:r>
    </w:p>
    <w:p>
      <w:pPr>
        <w:pStyle w:val="TextBody"/>
        <w:bidi w:val="0"/>
        <w:jc w:val="left"/>
        <w:rPr>
          <w:rFonts w:ascii="Arial" w:hAnsi="Arial"/>
          <w:color w:val="000000"/>
          <w:sz w:val="20"/>
        </w:rPr>
      </w:pPr>
      <w:r>
        <w:rPr>
          <w:rFonts w:ascii="Arial" w:hAnsi="Arial"/>
          <w:color w:val="000000"/>
          <w:sz w:val="20"/>
        </w:rPr>
        <w:t>Before obtaining marketing approval from regulatory authorities for the sale of our product candidates, we must conduct extensive clinical studies to demonstrate the safety, purity, potency and efficacy of the product candidates in humans. Before we can initiate clinical trials for our preclinical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application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these trials begin, issues may arise that could cause regulatory authorities to suspend or terminate such clinical trials. Any delays in the commencement or completion of our ongoing and future clinical trials for our current and any future product candidate could significantly affect our product development timelines and product development costs.</w:t>
      </w:r>
    </w:p>
    <w:p>
      <w:pPr>
        <w:pStyle w:val="TextBody"/>
        <w:bidi w:val="0"/>
        <w:jc w:val="left"/>
        <w:rPr>
          <w:rFonts w:ascii="Times New Roman" w:hAnsi="Times New Roman"/>
          <w:sz w:val="20"/>
        </w:rPr>
      </w:pPr>
      <w:r>
        <w:rPr>
          <w:rFonts w:ascii="Arial" w:hAnsi="Arial"/>
          <w:color w:val="000000"/>
          <w:sz w:val="20"/>
        </w:rPr>
        <w:t>We do not know whether our ongoing or future clinical trials will be completed on schedule, if at all. The commencement, data readouts and completion of clinical trials can be delayed for a number of reasons, including delays related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inability to generate sufficient preclinical, toxicology, or other in vivo or in vitro data to support the initiation or continuation of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regulatory allowances or authorizations to commence a trial or reaching a consensus with regulatory authorities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FDA or comparable foreign regulatory authorities disagreeing as to the design or implementation of our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delays in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obtaining approval from one or more IRBs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IRBs refusing to approve, suspending or terminating the trial at an investigational site, precluding enrollment of additional subjects, or withdrawing their approval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to the clinical trial protocol;</w:t>
      </w:r>
    </w:p>
    <w:p>
      <w:pPr>
        <w:pStyle w:val="TextBody"/>
        <w:bidi w:val="0"/>
        <w:spacing w:before="20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clinical sites deviating from the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by us or our CROs to perform in accordance with GCP requirements or applicable regulatory guidelines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manufacturing sufficient quantities of product candidates 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patients choosing alternative treatments for the indications for which we are developing our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lack of adequate funding to continue the clinical trials or costs being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occurrence of serious adverse events in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selection of clinical endpoints that require prolonged periods of clinical observation or analysis of the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transfer of manufacturing processes to larger-scale facilities operated by a CMO, delays or failure by our CMOs or us to make any necessary changes to such manufacturing process, or failure of our CMOs to produce clinical trial materials in accordance with cGMP regulations or other applicable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third parties being unwilling or unable to satisfy their contractual obligations to us in a timely manner.</w:t>
      </w:r>
    </w:p>
    <w:p>
      <w:pPr>
        <w:pStyle w:val="TextBody"/>
        <w:bidi w:val="0"/>
        <w:jc w:val="left"/>
        <w:rPr>
          <w:rFonts w:ascii="Arial" w:hAnsi="Arial"/>
          <w:color w:val="000000"/>
          <w:sz w:val="20"/>
        </w:rPr>
      </w:pPr>
      <w:r>
        <w:rPr>
          <w:rFonts w:ascii="Arial" w:hAnsi="Arial"/>
          <w:color w:val="000000"/>
          <w:sz w:val="20"/>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jc w:val="left"/>
        <w:rPr>
          <w:rFonts w:ascii="Arial" w:hAnsi="Arial"/>
          <w:color w:val="000000"/>
          <w:sz w:val="20"/>
        </w:rPr>
      </w:pPr>
      <w:r>
        <w:rPr>
          <w:rFonts w:ascii="Arial" w:hAnsi="Arial"/>
          <w:color w:val="000000"/>
          <w:sz w:val="20"/>
        </w:rPr>
        <w:t>Further, our conduct of clinical trials in foreign countries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including war, relevant to such foreign countries.</w:t>
      </w:r>
    </w:p>
    <w:p>
      <w:pPr>
        <w:pStyle w:val="TextBody"/>
        <w:bidi w:val="0"/>
        <w:jc w:val="left"/>
        <w:rPr>
          <w:rFonts w:ascii="Arial" w:hAnsi="Arial"/>
          <w:color w:val="000000"/>
          <w:sz w:val="20"/>
        </w:rPr>
      </w:pPr>
      <w:r>
        <w:rPr>
          <w:rFonts w:ascii="Arial" w:hAnsi="Arial"/>
          <w:color w:val="000000"/>
          <w:sz w:val="20"/>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jc w:val="left"/>
        <w:rPr>
          <w:rFonts w:ascii="Arial" w:hAnsi="Arial"/>
          <w:b/>
          <w:i/>
          <w:color w:val="000000"/>
          <w:sz w:val="20"/>
        </w:rPr>
      </w:pPr>
      <w:r>
        <w:rPr>
          <w:rFonts w:ascii="Arial" w:hAnsi="Arial"/>
          <w:b/>
          <w:i/>
          <w:color w:val="000000"/>
          <w:sz w:val="20"/>
        </w:rPr>
        <w:t>We may find it difficult to enroll patients in our clinical trials. If we encounter difficulties enrolling subjects in our clinical trials, our clinical development activities could be delayed or otherwise adversely affected.</w:t>
      </w:r>
    </w:p>
    <w:p>
      <w:pPr>
        <w:pStyle w:val="TextBody"/>
        <w:bidi w:val="0"/>
        <w:jc w:val="left"/>
        <w:rPr>
          <w:rFonts w:ascii="Times New Roman" w:hAnsi="Times New Roman"/>
          <w:sz w:val="20"/>
        </w:rPr>
      </w:pPr>
      <w:r>
        <w:rPr>
          <w:rFonts w:ascii="Arial" w:hAnsi="Arial"/>
          <w:color w:val="000000"/>
          <w:sz w:val="20"/>
        </w:rPr>
        <w:t>We may not be able to initiate or continue clinical trials for our product candidates if we are unable to identify and enroll a sufficient number of eligible patients to participate in these trials as required by the FDA or similar regulatory authorities outside the United States. Subject enrollment, a significant factor in the timeline of clinical trials, is affected by many</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subjects for each of our clinical trials. Potential subjects for any ongoing or future clinical trials may not be adequately diagnosed or identified with the diseases which we are targeting or may not meet the entry criteria for such trials. In particular, because certain of our product candidates are focused on patients with specific molecular alterations within the RAS/MAPK pathway, our ability to enroll eligible patients may be limited or may result in slower enrollment than we anticipate. We also may encounter difficulties in identifying and enrolling patients with a stage of disease appropriate for our ongoing or future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We may not be able to initiate or continue clinical trials if we are unable to locate a sufficient number of eligible subjects to participate in the clinical trials required by the FDA or comparable foreign regulatory authorities. In addition, the process of finding and diagnosing patients may prove costly. The timing of our clinical trials depends, in part, on the speed at which we can recruit patients to participate in our trials, as well as completion of required follow-up periods. The eligibility criteria of our clinical trials, once established, will further limit the pool of available trial participants. If patients are unwilling to participate in our trials for any reason, including the existence of concurrent clinical trials for similar patient populations, the availability of approved therapies, or we otherwise have difficulty enrolling a sufficient number of patients, the timeline for recruiting subjects, conducting studies and obtaining regulatory approval of our product candidates may be delayed.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 Our inability to enroll a sufficient number of subjects for any of our future clinical trials would result in significant delays or may require us to abandon one or more clinical trials altogether. In addition, we expect to rely on CROs and clinical trial sites to ensure proper and timely conduct of our future clinical trials and, while we have entered into agreements governing their services, we have limited influence over their actual performance. We cannot assure you that our assumptions used in determining expected clinical trial timelines are correct or that we will not experience delays in enrollment, which would result in the delay of completion of such trials beyond our expected timelines.</w:t>
      </w:r>
    </w:p>
    <w:p>
      <w:pPr>
        <w:pStyle w:val="TextBody"/>
        <w:bidi w:val="0"/>
        <w:jc w:val="left"/>
        <w:rPr>
          <w:rFonts w:ascii="Arial" w:hAnsi="Arial"/>
          <w:b/>
          <w:i/>
          <w:color w:val="000000"/>
          <w:sz w:val="20"/>
        </w:rPr>
      </w:pPr>
      <w:r>
        <w:rPr>
          <w:rFonts w:ascii="Arial" w:hAnsi="Arial"/>
          <w:b/>
          <w:i/>
          <w:color w:val="000000"/>
          <w:sz w:val="20"/>
        </w:rPr>
        <w:t>Use of our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pStyle w:val="TextBody"/>
        <w:bidi w:val="0"/>
        <w:jc w:val="left"/>
        <w:rPr>
          <w:rFonts w:ascii="Arial" w:hAnsi="Arial"/>
          <w:color w:val="000000"/>
          <w:sz w:val="20"/>
        </w:rPr>
      </w:pPr>
      <w:r>
        <w:rPr>
          <w:rFonts w:ascii="Arial" w:hAnsi="Arial"/>
          <w:color w:val="000000"/>
          <w:sz w:val="20"/>
        </w:rPr>
        <w:t>As is the case with oncology drugs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when used alone or in combination with other approved or investigational drugs or biologics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jc w:val="left"/>
        <w:rPr>
          <w:rFonts w:ascii="Arial" w:hAnsi="Arial"/>
          <w:color w:val="000000"/>
          <w:sz w:val="20"/>
        </w:rPr>
      </w:pPr>
      <w:r>
        <w:rPr>
          <w:rFonts w:ascii="Arial" w:hAnsi="Arial"/>
          <w:color w:val="000000"/>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Unacceptable enhancement of certain toxicities may be seen when our product candidates are combined with standard of care therapies, or when 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 In addition, regulatory authorities may draw different conclusions or require additional testing to confirm these determinations.</w:t>
      </w:r>
    </w:p>
    <w:p>
      <w:pPr>
        <w:pStyle w:val="TextBody"/>
        <w:bidi w:val="0"/>
        <w:spacing w:before="20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It is possible that as we test our product candidates in larger, longer and more extensive clinical trials, including with different dosing regimens, or as the use of these product candidates becomes more widespread if they receive regulatory approval, illnesses, injuries, discomforts and other adverse events that were observed in earlier trials, as well as conditions that did not occur or went undetected in previous trials, may be reported by subjects. If such side effects become known later in development or upon approval, if any, such findings may harm our business, financial condition and prospects significantly.</w:t>
      </w:r>
    </w:p>
    <w:p>
      <w:pPr>
        <w:pStyle w:val="TextBody"/>
        <w:bidi w:val="0"/>
        <w:jc w:val="left"/>
        <w:rPr>
          <w:rFonts w:ascii="Arial" w:hAnsi="Arial"/>
          <w:color w:val="000000"/>
          <w:sz w:val="20"/>
        </w:rPr>
      </w:pPr>
      <w:r>
        <w:rPr>
          <w:rFonts w:ascii="Arial" w:hAnsi="Arial"/>
          <w:color w:val="000000"/>
          <w:sz w:val="20"/>
        </w:rPr>
        <w:t>In addition, we plan to study our product candidates in combination with other therapies, including those that are also known to act on the RAS/MAPK pathway, which may exacerbate adverse events associated with such product candidates.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pStyle w:val="TextBody"/>
        <w:bidi w:val="0"/>
        <w:jc w:val="left"/>
        <w:rPr>
          <w:rFonts w:ascii="Times New Roman" w:hAnsi="Times New Roman"/>
          <w:sz w:val="20"/>
        </w:rPr>
      </w:pPr>
      <w:r>
        <w:rPr>
          <w:rFonts w:ascii="Arial" w:hAnsi="Arial"/>
          <w:color w:val="000000"/>
          <w:sz w:val="20"/>
        </w:rPr>
        <w:t>In addition, if one or more of our product candidates receives marketing approval, and we or others later identify undesirable side effects caused by such product, a number of potentially significant negative consequences could result,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withdraw, suspend or limit approvals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authorities may require additional warnings on the label,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implement a risk evaluation and mitigation strategy (REMS) or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required to change the way a product is distributed or administered, conduct additional clinical trials or change the labeling of a product or be required to conduct additional post-marketing studies or surveillance;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the product may decrease significantly or the product could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reputation may suffer.</w:t>
      </w:r>
    </w:p>
    <w:p>
      <w:pPr>
        <w:pStyle w:val="TextBody"/>
        <w:bidi w:val="0"/>
        <w:jc w:val="left"/>
        <w:rPr>
          <w:rFonts w:ascii="Arial" w:hAnsi="Arial"/>
          <w:color w:val="000000"/>
          <w:sz w:val="20"/>
        </w:rPr>
      </w:pPr>
      <w:r>
        <w:rPr>
          <w:rFonts w:ascii="Arial" w:hAnsi="Arial"/>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jc w:val="left"/>
        <w:rPr>
          <w:rFonts w:ascii="Arial" w:hAnsi="Arial"/>
          <w:b/>
          <w:i/>
          <w:color w:val="000000"/>
          <w:sz w:val="20"/>
        </w:rPr>
      </w:pPr>
      <w:r>
        <w:rPr>
          <w:rFonts w:ascii="Arial" w:hAnsi="Arial"/>
          <w:b/>
          <w:i/>
          <w:color w:val="000000"/>
          <w:sz w:val="20"/>
        </w:rPr>
        <w:t>As an organization, we may be unable to complete clinical trials for any of our product candidates.</w:t>
      </w:r>
    </w:p>
    <w:p>
      <w:pPr>
        <w:pStyle w:val="TextBody"/>
        <w:bidi w:val="0"/>
        <w:jc w:val="left"/>
        <w:rPr>
          <w:rFonts w:ascii="Arial" w:hAnsi="Arial"/>
          <w:color w:val="000000"/>
          <w:sz w:val="20"/>
        </w:rPr>
      </w:pPr>
      <w:r>
        <w:rPr>
          <w:rFonts w:ascii="Arial" w:hAnsi="Arial"/>
          <w:color w:val="000000"/>
          <w:sz w:val="20"/>
        </w:rPr>
        <w:t>We have never completed any later-stage or pivotal clinical trials and we will need to successfully complete later-stage and pivotal clinical trials in order to obtain FDA or comparable foreign regulatory approval to market our product candidates. Carrying out later-stage clinical trials and the submission of a successful NDA or BLA or similar regulatory submissions to comparable foreign regulatory authorities is a complicated process. We also have limited experience as a company in preparing, submitting and prosecuting regulatory filings and have not previously submitted an NDA, BLA or other comparable foreign regulatory submission for any product candidate. We are also conducting and plan to conduct a number of clinical trials for multiple product candidates in parallel over the next several years, which may be a difficult process to manage with our limited resources and which may divert the attention of management. In addition, we have had limited interactions with the FDA or other comparable foreign regulatory authorities, and cannot be certain how many additional clinical trials of our product candidates will be required or how such trials should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ongoing or future clinical trials could prevent us from or delay us in submitting marketing applications, including NDAs and BLAs, and commercializing our product candidates.</w:t>
      </w:r>
    </w:p>
    <w:p>
      <w:pPr>
        <w:pStyle w:val="TextBody"/>
        <w:bidi w:val="0"/>
        <w:spacing w:before="20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intend to develop our product candidates in combination with other therapies, which exposes us to additional risks.</w:t>
      </w:r>
    </w:p>
    <w:p>
      <w:pPr>
        <w:pStyle w:val="TextBody"/>
        <w:bidi w:val="0"/>
        <w:jc w:val="left"/>
        <w:rPr>
          <w:rFonts w:ascii="Arial" w:hAnsi="Arial"/>
          <w:color w:val="000000"/>
          <w:sz w:val="20"/>
        </w:rPr>
      </w:pPr>
      <w:r>
        <w:rPr>
          <w:rFonts w:ascii="Arial" w:hAnsi="Arial"/>
          <w:color w:val="000000"/>
          <w:sz w:val="20"/>
        </w:rPr>
        <w:t>We intend to develop our current and any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biologics or for indications other than cancer. Developing combination therapies using approved therapeutics, as we plan to do for our product candidates, also exposes us to additional clinical risks, such as the requirement that we demonstrate the safety and efficacy of each active component of any combination regimen we may develop.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we may evaluate our product candidates in combination with one or more other cancer therapies that have not yet been approved for marketing by the FDA or similar foreign regulatory authorities. We may not be able to market and sell any product candidate we develop in combination with any such unapproved cancer therapies that do not ultimately obtain marketing approval.</w:t>
      </w:r>
    </w:p>
    <w:p>
      <w:pPr>
        <w:pStyle w:val="TextBody"/>
        <w:bidi w:val="0"/>
        <w:jc w:val="left"/>
        <w:rPr>
          <w:rFonts w:ascii="Arial" w:hAnsi="Arial"/>
          <w:color w:val="000000"/>
          <w:sz w:val="20"/>
        </w:rPr>
      </w:pPr>
      <w:r>
        <w:rPr>
          <w:rFonts w:ascii="Arial" w:hAnsi="Arial"/>
          <w:color w:val="000000"/>
          <w:sz w:val="20"/>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pStyle w:val="TextBody"/>
        <w:bidi w:val="0"/>
        <w:jc w:val="both"/>
        <w:rPr>
          <w:rFonts w:ascii="Arial" w:hAnsi="Arial"/>
          <w:color w:val="000000"/>
          <w:sz w:val="20"/>
        </w:rPr>
      </w:pPr>
      <w:r>
        <w:rPr>
          <w:rFonts w:ascii="Arial" w:hAnsi="Arial"/>
          <w:color w:val="000000"/>
          <w:sz w:val="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pStyle w:val="TextBody"/>
        <w:bidi w:val="0"/>
        <w:jc w:val="left"/>
        <w:rPr>
          <w:rFonts w:ascii="Arial" w:hAnsi="Arial"/>
          <w:color w:val="000000"/>
          <w:sz w:val="20"/>
        </w:rPr>
      </w:pPr>
      <w:r>
        <w:rPr>
          <w:rFonts w:ascii="Arial" w:hAnsi="Arial"/>
          <w:color w:val="000000"/>
          <w:sz w:val="20"/>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regulatory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in the US, that such product candidates are safe, pure and potent for their intended uses. Results from nonclinical studies and clinical trials can be interpreted in different ways. Even if we believe available nonclinical or clinical data support the safety purity, potency and/or efficacy of our product candidates, such data may not be sufficient to obtain approval from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pStyle w:val="TextBody"/>
        <w:bidi w:val="0"/>
        <w:jc w:val="left"/>
        <w:rPr>
          <w:rFonts w:ascii="Arial" w:hAnsi="Arial"/>
          <w:color w:val="000000"/>
          <w:sz w:val="20"/>
        </w:rPr>
      </w:pPr>
      <w:r>
        <w:rPr>
          <w:rFonts w:ascii="Arial" w:hAnsi="Arial"/>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disagree with the design or execution of our clinical trials;</w:t>
      </w:r>
    </w:p>
    <w:p>
      <w:pPr>
        <w:pStyle w:val="TextBody"/>
        <w:bidi w:val="0"/>
        <w:spacing w:before="20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or ambiguous results from our clinical trials or results may not meet the level of statistical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not agree that the data collected from clinical trials of our product candidates are acceptable or sufficient to support the submission of a BLA, NDA or other submission or to obtain regulatory approval in the US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disagree with us regarding the formulation, labeling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such authorities may not accept a submission due to, among other reasons, the content or formatting of the submission.</w:t>
      </w:r>
    </w:p>
    <w:p>
      <w:pPr>
        <w:pStyle w:val="TextBody"/>
        <w:bidi w:val="0"/>
        <w:jc w:val="left"/>
        <w:rPr>
          <w:rFonts w:ascii="Arial" w:hAnsi="Arial"/>
          <w:color w:val="000000"/>
          <w:sz w:val="20"/>
        </w:rPr>
      </w:pPr>
      <w:r>
        <w:rPr>
          <w:rFonts w:ascii="Arial" w:hAnsi="Arial"/>
          <w:color w:val="000000"/>
          <w:sz w:val="20"/>
        </w:rPr>
        <w:t>With respect to foreign markets, approval procedures vary among countries and, in addition to the foregoing risks, may involve additional product testing, administrative review periods and agreements with pricing authorities. Even if we eventually complete clinical trials and receive approval of a BLA, NDA or comparable foreign marketing application for our product candidates, the FDA or comparable foreign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FDA and foreign regulatory authorities may change their approval policies and new regulations may be enacted.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have a significant impact on the biopharmaceutical industry in the long term.</w:t>
      </w:r>
    </w:p>
    <w:p>
      <w:pPr>
        <w:pStyle w:val="TextBody"/>
        <w:bidi w:val="0"/>
        <w:jc w:val="left"/>
        <w:rPr>
          <w:rFonts w:ascii="Arial" w:hAnsi="Arial"/>
          <w:b/>
          <w:i/>
          <w:color w:val="000000"/>
          <w:sz w:val="20"/>
        </w:rPr>
      </w:pPr>
      <w:r>
        <w:rPr>
          <w:rFonts w:ascii="Arial" w:hAnsi="Arial"/>
          <w:b/>
          <w:i/>
          <w:color w:val="000000"/>
          <w:sz w:val="20"/>
        </w:rPr>
        <w:t>Because we have a number of product candidates and development programs in our pipeline, we may expend our limited resources to pursue a particular product candidate and fail to capitalize on product candidates or indications that may be more profitable or for which there is a greater likelihood of success.</w:t>
      </w:r>
    </w:p>
    <w:p>
      <w:pPr>
        <w:pStyle w:val="TextBody"/>
        <w:bidi w:val="0"/>
        <w:jc w:val="left"/>
        <w:rPr>
          <w:rFonts w:ascii="Times New Roman" w:hAnsi="Times New Roman"/>
          <w:sz w:val="20"/>
        </w:rPr>
      </w:pPr>
      <w:r>
        <w:rPr>
          <w:rFonts w:ascii="Arial" w:hAnsi="Arial"/>
          <w:color w:val="000000"/>
          <w:sz w:val="20"/>
        </w:rPr>
        <w:t>Because we have limited financial and managerial resources, we focus on specific product candidates, development programs and indications. We are also conducting and plan to conduct several clinical trials for multiple product candidates in parallel over the next several years, which may make our decision as to which product candidates to focus on more difficult. As a result, we have and may in the future forgo or delay pursuit of opportunities with other product</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candidates that could have had greater commercial potential. For example, in May 2024, in connection with the execution of the Joyo License Agreement and the Medshine License Agreement, we approved a strategic reprioritization, which included the deprioritization of several of our ongoing clinical trials.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collaborations, licenses and other similar arrangements in cases in which it would have been more advantageous for us to retain sole development and commercialization rights to such product candidate.</w:t>
      </w:r>
    </w:p>
    <w:p>
      <w:pPr>
        <w:pStyle w:val="TextBody"/>
        <w:bidi w:val="0"/>
        <w:jc w:val="left"/>
        <w:rPr>
          <w:rFonts w:ascii="Arial" w:hAnsi="Arial"/>
          <w:color w:val="000000"/>
          <w:sz w:val="20"/>
        </w:rPr>
      </w:pPr>
      <w:r>
        <w:rPr>
          <w:rFonts w:ascii="Arial" w:hAnsi="Arial"/>
          <w:color w:val="000000"/>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jc w:val="left"/>
        <w:rPr>
          <w:rFonts w:ascii="Arial" w:hAnsi="Arial"/>
          <w:b/>
          <w:i/>
          <w:color w:val="000000"/>
          <w:sz w:val="20"/>
        </w:rPr>
      </w:pPr>
      <w:r>
        <w:rPr>
          <w:rFonts w:ascii="Arial" w:hAnsi="Arial"/>
          <w:b/>
          <w:i/>
          <w:color w:val="000000"/>
          <w:sz w:val="20"/>
        </w:rPr>
        <w:t>We may not be able to obtain or maintain orphan designations for any of our product candidates, and we may be unable to maintain the benefits associated with orphan drug designation, including the potential for market exclusivity.</w:t>
      </w:r>
    </w:p>
    <w:p>
      <w:pPr>
        <w:pStyle w:val="TextBody"/>
        <w:bidi w:val="0"/>
        <w:jc w:val="left"/>
        <w:rPr>
          <w:rFonts w:ascii="Arial" w:hAnsi="Arial"/>
          <w:color w:val="000000"/>
          <w:sz w:val="20"/>
        </w:rPr>
      </w:pPr>
      <w:r>
        <w:rPr>
          <w:rFonts w:ascii="Arial" w:hAnsi="Arial"/>
          <w:color w:val="000000"/>
          <w:sz w:val="20"/>
        </w:rPr>
        <w:t>We may seek orphan drug designation (ODD) for our product candidates; however, we may never receive such designations. Under the Orphan Drug Act of 1983, the FDA may designate a product as an orphan product candidate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 ODD must be requested before submitting an NDA or BLA.</w:t>
      </w:r>
    </w:p>
    <w:p>
      <w:pPr>
        <w:pStyle w:val="TextBody"/>
        <w:bidi w:val="0"/>
        <w:jc w:val="left"/>
        <w:rPr>
          <w:rFonts w:ascii="Arial" w:hAnsi="Arial"/>
          <w:color w:val="000000"/>
          <w:sz w:val="20"/>
        </w:rPr>
      </w:pPr>
      <w:r>
        <w:rPr>
          <w:rFonts w:ascii="Arial" w:hAnsi="Arial"/>
          <w:color w:val="000000"/>
          <w:sz w:val="20"/>
        </w:rPr>
        <w:t>In the United States, ODD entitles a party to financial incentives such as opportunities for grant funding toward clinical trial costs, tax advantages and user-fee waivers. In addition, if a product candidate that has ODD subsequently receives the first FDA approval for the disease or condition for which it has such designation, the product is entitled to orphan drug exclusivity, which means that the FDA may not approve any other applications, including an NDA or BLA, to market the same product for the same approved use or indication within such disease or condition for seven years, except in limited circumstances, such as a showing of clinical superiority to the product with orphan drug exclusivity in the relevant indication or use or where the manufacturer is unable to assure sufficient product quantity to meet the needs for the approved indication or use of patients with the relevant disease or condition.</w:t>
      </w:r>
    </w:p>
    <w:p>
      <w:pPr>
        <w:pStyle w:val="TextBody"/>
        <w:bidi w:val="0"/>
        <w:jc w:val="left"/>
        <w:rPr>
          <w:rFonts w:ascii="Times New Roman" w:hAnsi="Times New Roman"/>
          <w:sz w:val="20"/>
        </w:rPr>
      </w:pPr>
      <w:r>
        <w:rPr>
          <w:rFonts w:ascii="Arial" w:hAnsi="Arial"/>
          <w:color w:val="000000"/>
          <w:sz w:val="20"/>
        </w:rPr>
        <w:t>Even if we obtain orphan drug exclusivity for a product, such exclusivity may not effectively protect the product from competition because different drugs and biologics can be approved for the same indication or use within the same disease or condition. Even after an orphan drug or biologic is approved, the FDA can subsequently approve the same drug or biologic for the same approved indication or use within the relevant disease or condition if the FDA concludes that the later drug or biologic is clinically superior within the applicable indication because it is shown to be safer, more effective or makes a major contribution to patient care. Orphan drug exclusivity may also be lost if the FDA later determines that the initial request for designation was materially defective, or if the sponsor seeks approval for an indication broader than the designated indication. In addition, orphan drug exclusivity does not prevent the FDA from approving competing drugs or biologics containing a different active ingredient for the same indication or use within the relevant disease or condition. In addition, if a subsequent drug or biologic is approved for marketing for the same or a similar indication or use as any of our product candidates that receive marketing approval, we may face increased competition and lose market share regardless of orphan drug exclusivity. ODD neither shortens the development time or regulatory review time of a drug nor gives the drug any advantage in the regulatory review or approval process.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the European Union (EU), orphan designation is granted by the European Commission based on a scientific opinion of the European Medicines Agency’s (EMA)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product will be of significant benefit to those affected by the condition. The application for orphan designation must be submitted before the application for marketing authorization. 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exclusivity).Similar to the United States, orphan designation does not affect the length of the development program or the timing of regulatory review, and it does not afford any advantage in obtaining regulatory approval.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Where applicable, we also may seek comparable designations for our product candidates in other jurisdictions, which may have differing requirements and would also include risks of not being granted and/or not being effective in protecting the product from competition.</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We have previously and may in the future conduct certain of our clinical trials for our product candidates outside of the United States. However, the FDA and other foreign equivalents may not accept data from such trials, in which case our development plans will be delayed, which could materially harm our business.</w:t>
      </w:r>
    </w:p>
    <w:p>
      <w:pPr>
        <w:pStyle w:val="TextBody"/>
        <w:bidi w:val="0"/>
        <w:jc w:val="left"/>
        <w:rPr>
          <w:rFonts w:ascii="Times New Roman" w:hAnsi="Times New Roman"/>
          <w:sz w:val="20"/>
        </w:rPr>
      </w:pPr>
      <w:r>
        <w:rPr>
          <w:rFonts w:ascii="Arial" w:hAnsi="Arial"/>
          <w:color w:val="000000"/>
          <w:sz w:val="20"/>
        </w:rPr>
        <w:t>We have previously and may in the future conduct one or more of our clinical trials for our product candidates outside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regardless of whether such clinical trials were conducted under an IND,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clinical trial data are not intended to serve as the sole basis for approval, if the clinical trial was not otherwise subject to an IND, the FDA will not accept the data as support for an application for marketing approval unless the trial was 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Conducting clinical trials outside the United States also exposes us to additional risks, including risks associated with:</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additional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foreign manufacturing, customs, shipment and storage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inconsistent standards for reporting and evaluating clinical data and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diminished protection of intellectual property in some countries.</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pStyle w:val="TextBody"/>
        <w:bidi w:val="0"/>
        <w:jc w:val="left"/>
        <w:rPr>
          <w:rFonts w:ascii="Times New Roman" w:hAnsi="Times New Roman"/>
          <w:sz w:val="20"/>
        </w:rPr>
      </w:pPr>
      <w:r>
        <w:rPr>
          <w:rFonts w:ascii="Arial" w:hAnsi="Arial"/>
          <w:color w:val="000000"/>
          <w:sz w:val="20"/>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 We may also disclose interim data from our clinical trials.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Interim data from clinical trials that we may complete are also subject to the risk that one or more of the clinical outcomes may materially change as patient enrollment continues and more patient data become available, including the risk that unconfirmed responses may not ultimately result in confirmed responses to treatment after follow-up evaluations. Adverse differences between interim, top-line, or preliminary data and final data could significantly harm our business prospects.</w:t>
      </w:r>
    </w:p>
    <w:p>
      <w:pPr>
        <w:pStyle w:val="TextBody"/>
        <w:bidi w:val="0"/>
        <w:jc w:val="left"/>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jc w:val="left"/>
        <w:rPr>
          <w:rFonts w:ascii="Arial" w:hAnsi="Arial"/>
          <w:b/>
          <w:i/>
          <w:color w:val="000000"/>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(or a similar expedited approval mechanism from a comparable foreign regulatory authority), if our confirmatory trials do not verify clinical benefit, or if we do not comply with rigorous post-marketing requirements, the FDA (or comparable foreign regulatory authority) may seek to withdraw any accelerated approval we have obtained.</w:t>
      </w:r>
    </w:p>
    <w:p>
      <w:pPr>
        <w:pStyle w:val="TextBody"/>
        <w:bidi w:val="0"/>
        <w:jc w:val="left"/>
        <w:rPr>
          <w:rFonts w:ascii="Arial" w:hAnsi="Arial"/>
          <w:color w:val="000000"/>
          <w:sz w:val="20"/>
        </w:rPr>
      </w:pPr>
      <w:r>
        <w:rPr>
          <w:rFonts w:ascii="Arial" w:hAnsi="Arial"/>
          <w:color w:val="000000"/>
          <w:sz w:val="20"/>
        </w:rPr>
        <w:t>We may in the future seek an expedited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and conditional approval are usually contingent on the sponsor’s agreement to conduct, in a diligent manner, confirmatory studies to verify and describe the drug’s clinical benefit. If such confirmatory studies fail to confirm the drug or biologic’s clinical benefit or are not completed in a timely manner, the FDA may withdraw its approval of the drug or biologic on an expedited basis. In addition, the Food and Drug Omnibus Reform Act of 2022, provided the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20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Prior to seeking approval for any of our product candidates, we intend to seek feedback from the applicable health authorities, such as the FDA and will otherwise evaluate our ability to seek and receive accelerated or conditional approval. There can be no assurance that after our evaluation of the feedback and other factors we will decide to pursue or submit an NDA, BLA, or comparable foreign marketing application for accelerated approval or any other form of expedited development, review or approval.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authority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 Fast Track Designation may not lead to faster development or regulatory review or approval process, and it does not increase the likelihood that our product candidates will receive marketing approval.</w:t>
      </w:r>
    </w:p>
    <w:p>
      <w:pPr>
        <w:pStyle w:val="TextBody"/>
        <w:bidi w:val="0"/>
        <w:jc w:val="left"/>
        <w:rPr>
          <w:rFonts w:ascii="Arial" w:hAnsi="Arial"/>
          <w:color w:val="000000"/>
          <w:sz w:val="20"/>
        </w:rPr>
      </w:pPr>
      <w:r>
        <w:rPr>
          <w:rFonts w:ascii="Arial" w:hAnsi="Arial"/>
          <w:color w:val="000000"/>
          <w:sz w:val="20"/>
        </w:rPr>
        <w:t>We may seek a FTD for our current or future product candidates. The Fast Track program is intended to expedite or facilitate the process for reviewing new product candidates that meet certain criteria. Specifically, drugs and biologic are eligible for FTD if they are intended, alone or in combination with one or more drugs or biologics, to treat a serious or life-threatening disease or condition and demonstrate the potential to address unmet medical needs for the disease or condition. FTD applies to the combination of the product candidate and the specific indication for which it is being studied. FTD allows for close and frequent interaction with the FDA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pStyle w:val="TextBody"/>
        <w:bidi w:val="0"/>
        <w:jc w:val="left"/>
        <w:rPr>
          <w:rFonts w:ascii="Arial" w:hAnsi="Arial"/>
          <w:color w:val="000000"/>
          <w:sz w:val="20"/>
        </w:rPr>
      </w:pPr>
      <w:r>
        <w:rPr>
          <w:rFonts w:ascii="Arial" w:hAnsi="Arial"/>
          <w:color w:val="000000"/>
          <w:sz w:val="20"/>
        </w:rPr>
        <w:t>The FDA has broad discretion whether or not to grant this designation. Even if we believe a particular product candidate is eligible for this designation, we cannot assure you that the FDA would decide to grant it. Even if we do receive FTD for any of our product candidates, FTD does not guarantee FDA approval or expedited review for any application for the product candidate.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 no longer meets the FTD criteria.</w:t>
      </w:r>
    </w:p>
    <w:p>
      <w:pPr>
        <w:pStyle w:val="TextBody"/>
        <w:bidi w:val="0"/>
        <w:jc w:val="left"/>
        <w:rPr>
          <w:rFonts w:ascii="Arial" w:hAnsi="Arial"/>
          <w:b/>
          <w:i/>
          <w:color w:val="000000"/>
          <w:sz w:val="20"/>
        </w:rPr>
      </w:pPr>
      <w:r>
        <w:rPr>
          <w:rFonts w:ascii="Arial" w:hAnsi="Arial"/>
          <w:b/>
          <w:i/>
          <w:color w:val="000000"/>
          <w:sz w:val="20"/>
        </w:rPr>
        <w:t>Disruptions at the FDA and other government agencies caused by funding shortages or staffing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both"/>
        <w:rPr>
          <w:rFonts w:ascii="Arial" w:hAnsi="Arial"/>
          <w:color w:val="000000"/>
          <w:sz w:val="20"/>
        </w:rPr>
      </w:pPr>
      <w:r>
        <w:rPr>
          <w:rFonts w:ascii="Arial" w:hAnsi="Arial"/>
          <w:color w:val="000000"/>
          <w:sz w:val="20"/>
        </w:rPr>
        <w:t>The ability of the FDA and comparable foreign regulatory authorities to review and approve new products can be affected by a variety of factors, including government budget and funding levels, statutory, regulatory and policy changes, the FDA’s and comparable foreign regulatory authorities’ ability to hire and retain key personnel and accept the payment of user fees, and other events that may otherwise affect the FDA’s and comparable foreign regulatory authorities’ ability to perform routine functions. Average review times at the FDA and comparable foreign regulatory authorities have fluctuated in recent years.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pStyle w:val="TextBody"/>
        <w:bidi w:val="0"/>
        <w:jc w:val="left"/>
        <w:rPr>
          <w:rFonts w:ascii="Times New Roman" w:hAnsi="Times New Roman"/>
          <w:sz w:val="20"/>
        </w:rPr>
      </w:pPr>
      <w:r>
        <w:rPr>
          <w:rFonts w:ascii="Arial" w:hAnsi="Arial"/>
          <w:color w:val="000000"/>
          <w:sz w:val="20"/>
        </w:rPr>
        <w:t>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routine activities. 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pStyle w:val="TextBody"/>
        <w:bidi w:val="0"/>
        <w:jc w:val="left"/>
        <w:rPr>
          <w:rFonts w:ascii="Arial" w:hAnsi="Arial"/>
          <w:b/>
          <w:i/>
          <w:color w:val="000000"/>
          <w:sz w:val="20"/>
        </w:rPr>
      </w:pPr>
      <w:r>
        <w:rPr>
          <w:rFonts w:ascii="Arial" w:hAnsi="Arial"/>
          <w:b/>
          <w:i/>
          <w:color w:val="000000"/>
          <w:sz w:val="20"/>
        </w:rPr>
        <w:t>If we are required by the FDA or comparable foreign regulatory authority to obtain approval or certification of a companion diagnostic test in connection with approval of any of our product candidates, and we do not obtain or face delays in obtaining FDA or foreign approval or certification of a diagnostic device, we may not be able to commercialize such product candidate and our ability to generate revenue will be materially impaired.</w:t>
      </w:r>
    </w:p>
    <w:p>
      <w:pPr>
        <w:pStyle w:val="TextBody"/>
        <w:bidi w:val="0"/>
        <w:jc w:val="left"/>
        <w:rPr>
          <w:rFonts w:ascii="Times New Roman" w:hAnsi="Times New Roman"/>
          <w:sz w:val="20"/>
        </w:rPr>
      </w:pPr>
      <w:r>
        <w:rPr>
          <w:rFonts w:ascii="Arial" w:hAnsi="Arial"/>
          <w:color w:val="000000"/>
          <w:sz w:val="20"/>
        </w:rPr>
        <w:t xml:space="preserve">If safe and effective use of any of our product candidates depends on an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diagnostic that is not otherwise commercially available, then the FDA generally may require approval, clearance or certification of that diagnostic, known as a companion diagnostic, at the same time that the FDA approves our product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develop or obtain one that would be subject to regulatory approval requirements. The process of obtaining or creating such diagnostics is time-consuming and costly.</w:t>
      </w:r>
    </w:p>
    <w:p>
      <w:pPr>
        <w:pStyle w:val="TextBody"/>
        <w:bidi w:val="0"/>
        <w:jc w:val="left"/>
        <w:rPr>
          <w:rFonts w:ascii="Arial" w:hAnsi="Arial"/>
          <w:color w:val="000000"/>
          <w:sz w:val="20"/>
        </w:rPr>
      </w:pPr>
      <w:r>
        <w:rPr>
          <w:rFonts w:ascii="Arial" w:hAnsi="Arial"/>
          <w:color w:val="000000"/>
          <w:sz w:val="20"/>
        </w:rPr>
        <w:t>Companion diagnostics are developed in conjunction with clinical programs for the associated product and are subject to regulation as medical devices by the FDA and comparable regulatory authorities, and the FDA has generally required premarket approval of companion diagnostics for cancer therapies. The approval of a companion diagnostic as part of the therapeutic product’s labeling limits the use of the therapeutic product to only those patients who express the specific genetic alteration that the companion diagnostic was developed to detect.</w:t>
      </w:r>
    </w:p>
    <w:p>
      <w:pPr>
        <w:pStyle w:val="TextBody"/>
        <w:bidi w:val="0"/>
        <w:jc w:val="left"/>
        <w:rPr>
          <w:rFonts w:ascii="Arial" w:hAnsi="Arial"/>
          <w:color w:val="000000"/>
          <w:sz w:val="20"/>
        </w:rPr>
      </w:pPr>
      <w:r>
        <w:rPr>
          <w:rFonts w:ascii="Arial" w:hAnsi="Arial"/>
          <w:color w:val="000000"/>
          <w:sz w:val="20"/>
        </w:rPr>
        <w:t>If the FDA or a comparable regulatory authority requires approval or certification of a companion diagnostic for any of our product candidates, whether before, simultaneously with, or after such candidate obtains marketing approval, if ever, we, and/or future collaborators, may encounter difficulties in developing and obtaining approval or certification for such companion diagnostic. Any delay or failure by us or third-party collaborators to develop or obtain regulatory approval or certification of a companion diagnostic could delay or prevent approval or continued marketing of such product candidate.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 if approved, on a timely or profitable basis, if at all.</w:t>
      </w:r>
    </w:p>
    <w:p>
      <w:pPr>
        <w:pStyle w:val="TextBody"/>
        <w:bidi w:val="0"/>
        <w:jc w:val="left"/>
        <w:rPr>
          <w:rFonts w:ascii="Arial" w:hAnsi="Arial"/>
          <w:b/>
          <w:color w:val="000000"/>
          <w:sz w:val="20"/>
        </w:rPr>
      </w:pPr>
      <w:r>
        <w:rPr>
          <w:rFonts w:ascii="Arial" w:hAnsi="Arial"/>
          <w:b/>
          <w:color w:val="000000"/>
          <w:sz w:val="20"/>
        </w:rPr>
        <w:t>Risks related to our reliance on third parties</w:t>
      </w:r>
    </w:p>
    <w:p>
      <w:pPr>
        <w:pStyle w:val="TextBody"/>
        <w:bidi w:val="0"/>
        <w:jc w:val="both"/>
        <w:rPr>
          <w:rFonts w:ascii="Arial" w:hAnsi="Arial"/>
          <w:b/>
          <w:i/>
          <w:color w:val="000000"/>
          <w:sz w:val="20"/>
        </w:rPr>
      </w:pPr>
      <w:r>
        <w:rPr>
          <w:rFonts w:ascii="Arial" w:hAnsi="Arial"/>
          <w:b/>
          <w:i/>
          <w:color w:val="000000"/>
          <w:sz w:val="20"/>
        </w:rPr>
        <w:t>We rely on third parties to conduct our clinical trials and preclinical studies.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pStyle w:val="TextBody"/>
        <w:bidi w:val="0"/>
        <w:jc w:val="left"/>
        <w:rPr>
          <w:rFonts w:ascii="Arial" w:hAnsi="Arial"/>
          <w:color w:val="000000"/>
          <w:sz w:val="20"/>
        </w:rPr>
      </w:pPr>
      <w:r>
        <w:rPr>
          <w:rFonts w:ascii="Arial" w:hAnsi="Arial"/>
          <w:color w:val="000000"/>
          <w:sz w:val="20"/>
        </w:rPr>
        <w:t>We are dependent on third parties in connection with clinical trials and preclinical studies. Specifically, we have used and relied on, and intend to continue to use and rely on, medical institutions, academic institutions, clinical investigators, CROs and consultants to conduct our preclinical studies and clinical trials in accordance with our clinical protocols, regulatory requirements and industry standards. These CROs, investigators and other third parties play a significant role in the conduct and timing of these trials and studies, and the subsequent collection and analysis of data. While we have and will have agreements governing the activities of our third-party contractors, we have limited influence over their actual performance. Nevertheless, we are responsible for ensuring that each of our clinical trials and preclinical studies is conducted in accordance with the applicable protocol and legal, regulatory and scientific standards, and our reliance on our CROs and other third parties does not relieve us of our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candidates and products produced under cGMP or comparable foreign regulations. Our failure to comply with these regulations may require us to repeat clinical trials, which would delay the regulatory approval process.</w:t>
      </w:r>
    </w:p>
    <w:p>
      <w:pPr>
        <w:pStyle w:val="TextBody"/>
        <w:bidi w:val="0"/>
        <w:spacing w:before="20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or BLA we submit. Any such delay or rejection could prevent us from commercializing our product candidates.</w:t>
      </w:r>
    </w:p>
    <w:p>
      <w:pPr>
        <w:pStyle w:val="TextBody"/>
        <w:bidi w:val="0"/>
        <w:jc w:val="left"/>
        <w:rPr>
          <w:rFonts w:ascii="Arial" w:hAnsi="Arial"/>
          <w:color w:val="000000"/>
          <w:sz w:val="20"/>
        </w:rPr>
      </w:pPr>
      <w:r>
        <w:rPr>
          <w:rFonts w:ascii="Arial" w:hAnsi="Arial"/>
          <w:color w:val="000000"/>
          <w:sz w:val="20"/>
        </w:rPr>
        <w:t>If any of our relationships with these third parties terminate, we may not be able to enter into arrangements with alternative third parties on commercially reasonable terms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jc w:val="left"/>
        <w:rPr>
          <w:rFonts w:ascii="Arial" w:hAnsi="Arial"/>
          <w:b/>
          <w:i/>
          <w:color w:val="000000"/>
          <w:sz w:val="20"/>
        </w:rPr>
      </w:pPr>
      <w:r>
        <w:rPr>
          <w:rFonts w:ascii="Arial" w:hAnsi="Arial"/>
          <w:b/>
          <w:i/>
          <w:color w:val="000000"/>
          <w:sz w:val="20"/>
        </w:rPr>
        <w:t>We rely on third parties for the manufacture of our product candidates for clinical and preclinical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jc w:val="left"/>
        <w:rPr>
          <w:rFonts w:ascii="Arial" w:hAnsi="Arial"/>
          <w:color w:val="000000"/>
          <w:sz w:val="20"/>
        </w:rPr>
      </w:pPr>
      <w:r>
        <w:rPr>
          <w:rFonts w:ascii="Arial" w:hAnsi="Arial"/>
          <w:color w:val="000000"/>
          <w:sz w:val="20"/>
        </w:rPr>
        <w:t>We do not own or operate manufacturing facilities and have no plans to develop our own clinical or commercial-scale manufacturing capabilities. We rely, and expect to continue to rely, on third parties for the manufacture of our product candidates and related raw materials for clinical and preclinical development, as well as for commercial manufacture if any of our product candidates receive marketing approval. The facilities used by third-party manufacturers to manufacture our product candidates must be approved by the FDA and any comparable foreign regulatory authority pursuant to inspections that will be conducted after we submit an NDA or BLA to the FDA or any comparable submission to a foreign regulatory authority. We do not control the manufacturing process of, and are completely dependent on, third-party manufacturers for compliance with cGMP and comparable foreign requirements for manufacture of product candidates and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w:t>
      </w:r>
    </w:p>
    <w:p>
      <w:pPr>
        <w:pStyle w:val="TextBody"/>
        <w:bidi w:val="0"/>
        <w:jc w:val="left"/>
        <w:rPr>
          <w:rFonts w:ascii="Times New Roman" w:hAnsi="Times New Roman"/>
          <w:sz w:val="20"/>
        </w:rPr>
      </w:pPr>
      <w:r>
        <w:rPr>
          <w:rFonts w:ascii="Arial" w:hAnsi="Arial"/>
          <w:color w:val="000000"/>
          <w:sz w:val="20"/>
        </w:rPr>
        <w:t>Our or a third party’s failure to execute on our manufacturing requirements on commercially reasonable terms and in compliance with cGMP or other regulatory requirements could adversely affect our business in a number of ways,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inability to initiate clinical trials of our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delay in submitting regulatory applications, or receiving marketing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additional inspections by regulatory authorities of third-party manufacturing facilities or our manufacturing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requirements to cease development or to recall batches of our product candidates; and</w:t>
      </w:r>
    </w:p>
    <w:p>
      <w:pPr>
        <w:pStyle w:val="TextBody"/>
        <w:bidi w:val="0"/>
        <w:spacing w:before="20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 the event of approval to market and commercialize a product, an inability to meet commercial demands for such product.</w:t>
      </w:r>
    </w:p>
    <w:p>
      <w:pPr>
        <w:pStyle w:val="TextBody"/>
        <w:bidi w:val="0"/>
        <w:jc w:val="left"/>
        <w:rPr>
          <w:rFonts w:ascii="Times New Roman" w:hAnsi="Times New Roman"/>
          <w:sz w:val="20"/>
        </w:rPr>
      </w:pPr>
      <w:r>
        <w:rPr>
          <w:rFonts w:ascii="Arial" w:hAnsi="Arial"/>
          <w:color w:val="000000"/>
          <w:sz w:val="20"/>
        </w:rPr>
        <w:t>In addition, we do not have any long-term commitments or supply agreements with all of our third-party manufacturers. We may be unable to establish additional supply agreements with our third-party manufacturers or to do so on acceptable terms, which increases the risk of timely obtaining sufficient quantities of our product candidates or products or such quantities at an acceptable cost.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of third-party manufacturers to comply with regulatory requirements and maintain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manufacture our product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failure to manufacture our product according to our schedule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termination or nonrenewal of the agreement by the third party at a time that is costly or inconvenient for us.</w:t>
      </w:r>
    </w:p>
    <w:p>
      <w:pPr>
        <w:pStyle w:val="TextBody"/>
        <w:bidi w:val="0"/>
        <w:jc w:val="left"/>
        <w:rPr>
          <w:rFonts w:ascii="Arial" w:hAnsi="Arial"/>
          <w:color w:val="000000"/>
          <w:sz w:val="20"/>
        </w:rPr>
      </w:pPr>
      <w:r>
        <w:rPr>
          <w:rFonts w:ascii="Arial" w:hAnsi="Arial"/>
          <w:color w:val="000000"/>
          <w:sz w:val="20"/>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particular due to the high potency of our product candidates.</w:t>
      </w:r>
    </w:p>
    <w:p>
      <w:pPr>
        <w:pStyle w:val="TextBody"/>
        <w:bidi w:val="0"/>
        <w:jc w:val="left"/>
        <w:rPr>
          <w:rFonts w:ascii="Arial" w:hAnsi="Arial"/>
          <w:color w:val="000000"/>
          <w:sz w:val="20"/>
        </w:rPr>
      </w:pPr>
      <w:r>
        <w:rPr>
          <w:rFonts w:ascii="Arial" w:hAnsi="Arial"/>
          <w:color w:val="000000"/>
          <w:sz w:val="20"/>
        </w:rPr>
        <w:t>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w:t>
      </w:r>
    </w:p>
    <w:p>
      <w:pPr>
        <w:pStyle w:val="TextBody"/>
        <w:bidi w:val="0"/>
        <w:jc w:val="left"/>
        <w:rPr>
          <w:rFonts w:ascii="Arial" w:hAnsi="Arial"/>
          <w:color w:val="000000"/>
          <w:sz w:val="20"/>
        </w:rPr>
      </w:pPr>
      <w:r>
        <w:rPr>
          <w:rFonts w:ascii="Arial" w:hAnsi="Arial"/>
          <w:color w:val="000000"/>
          <w:sz w:val="20"/>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we may currently rely, or in the future may rely, on equipment, reagents, manufacturing supply or clinical services from one or more companies that could be designated as “biotechnology companies of concern” under the US BIOSECURE Act, which was enacted in December 2025. The BIOSECURE Act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If any of our current or future suppliers of equipment, reagents, manufacturing or clinical services are designated as a “biotechnology company of concern” it could materially affect our business operations, supply chain, or ability to contract with US government agencies.</w:t>
      </w:r>
    </w:p>
    <w:p>
      <w:pPr>
        <w:pStyle w:val="TextBody"/>
        <w:bidi w:val="0"/>
        <w:spacing w:before="20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jc w:val="left"/>
        <w:rPr>
          <w:rFonts w:ascii="Arial" w:hAnsi="Arial"/>
          <w:color w:val="000000"/>
          <w:sz w:val="20"/>
        </w:rPr>
      </w:pPr>
      <w:r>
        <w:rPr>
          <w:rFonts w:ascii="Arial" w:hAnsi="Arial"/>
          <w:color w:val="000000"/>
          <w:sz w:val="20"/>
        </w:rPr>
        <w:t>Because we currently rely on third parties to manufacture our product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We may seek to enter into collaborations, licenses and other similar arrangements and may not be successful in doing so, and even if we are, we may relinquish valuable rights and may not realize the benefits of such relationships.</w:t>
      </w:r>
    </w:p>
    <w:p>
      <w:pPr>
        <w:pStyle w:val="TextBody"/>
        <w:bidi w:val="0"/>
        <w:jc w:val="left"/>
        <w:rPr>
          <w:rFonts w:ascii="Arial" w:hAnsi="Arial"/>
          <w:color w:val="000000"/>
          <w:sz w:val="20"/>
        </w:rPr>
      </w:pPr>
      <w:r>
        <w:rPr>
          <w:rFonts w:ascii="Arial" w:hAnsi="Arial"/>
          <w:color w:val="000000"/>
          <w:sz w:val="20"/>
        </w:rPr>
        <w:t>We may seek to enter into collaborations, joint ventures, licenses and other similar arrangements for the development or commercialization of our product candidates, due to capital costs required to develop or commercialize the product candidate or manufacturing constraints. Such collaborative discovery efforts may not yield additional development or product candidates for our pipeline.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We may have to relinquish valuable rights to our future revenue streams, research programs or product candidates, or grant licenses on terms that may not be favorable to us, as part of any such arrangement, and such arrangements may restrict us from entering into additional agreements with other potential collaborators. We cannot be certain that, following a collaboration, license or strategic transaction, we will achieve an economic benefit that justifies such transaction.</w:t>
      </w:r>
    </w:p>
    <w:p>
      <w:pPr>
        <w:pStyle w:val="TextBody"/>
        <w:bidi w:val="0"/>
        <w:jc w:val="left"/>
        <w:rPr>
          <w:rFonts w:ascii="Arial" w:hAnsi="Arial"/>
          <w:color w:val="000000"/>
          <w:sz w:val="20"/>
        </w:rPr>
      </w:pPr>
      <w:r>
        <w:rPr>
          <w:rFonts w:ascii="Arial" w:hAnsi="Arial"/>
          <w:color w:val="000000"/>
          <w:sz w:val="20"/>
        </w:rPr>
        <w:t>Even if we are successful in our efforts to establish such collaborations, the terms that we agree upon may not be favorable to us, and we may not be able to maintain such collaborations if, for example, the development or approval of a product candidate is delayed, the safety of a product candidate is questioned or the sales of an approved product candidate are unsatisfactory.</w:t>
      </w:r>
    </w:p>
    <w:p>
      <w:pPr>
        <w:pStyle w:val="TextBody"/>
        <w:bidi w:val="0"/>
        <w:jc w:val="left"/>
        <w:rPr>
          <w:rFonts w:ascii="Arial" w:hAnsi="Arial"/>
          <w:color w:val="000000"/>
          <w:sz w:val="20"/>
        </w:rPr>
      </w:pPr>
      <w:r>
        <w:rPr>
          <w:rFonts w:ascii="Arial" w:hAnsi="Arial"/>
          <w:color w:val="000000"/>
          <w:sz w:val="20"/>
        </w:rPr>
        <w:t>In addition, any current or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we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Joyo’s activities in China could have a negative impact on our ability to develop and commercialize ERAS-0015.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Under the Joyo License Agreement, Joyo had rights to develop and commercialize the licensed compound in mainland China, Hong Kong and Macau prior to our election of the option to make our territory worldwide, which we exercised in March 2026. As a result, prior to our election of the option to make our territory worldwide, we had limited or no control over Joyo’s activities in Joyo’s territory, and during the period following such election, we will be dependent on Joyo to provide transition services in an acceptable and timely manner. Joyo’s actions, both before and after we exercised our notice to make our territory worldwide, could negatively affect the value, regulatory pathway, and commercial potential of our rights both in mainland China, Hong Kong and Macau, and the rest of the world. Because we did not control Joyo’s operations or compliance systems prior to the exercise of the option to make our territory worldwide, we have a limited ability to ensure that Joyo’s prior activities met applicable regulatory requirements, industry standards, or our expectations</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product quality and pharmacovigilance, and if any of these areas were deficient it could have a negative impact on the ERAS-0015 program, both in mainland China, Hong Kong and Macau, and the rest of the world. Any of these risks could impair the value of our licensed rights to ERAS-0015, delay or prevent the successful development or commercialization of ERAS-0015, both in mainland China, Hong Kong and Macau, and the rest of the world, and materially and adversely affect our business, financial condition, and results of operations.</w:t>
      </w:r>
    </w:p>
    <w:p>
      <w:pPr>
        <w:pStyle w:val="TextBody"/>
        <w:bidi w:val="0"/>
        <w:jc w:val="left"/>
        <w:rPr>
          <w:rFonts w:ascii="Arial" w:hAnsi="Arial"/>
          <w:b/>
          <w:color w:val="000000"/>
          <w:sz w:val="20"/>
        </w:rPr>
      </w:pPr>
      <w:r>
        <w:rPr>
          <w:rFonts w:ascii="Arial" w:hAnsi="Arial"/>
          <w:b/>
          <w:color w:val="000000"/>
          <w:sz w:val="20"/>
        </w:rPr>
        <w:t>Risks related to commercialization of our product candidates</w:t>
      </w:r>
    </w:p>
    <w:p>
      <w:pPr>
        <w:pStyle w:val="TextBody"/>
        <w:bidi w:val="0"/>
        <w:jc w:val="left"/>
        <w:rPr>
          <w:rFonts w:ascii="Arial" w:hAnsi="Arial"/>
          <w:b/>
          <w:i/>
          <w:color w:val="000000"/>
          <w:sz w:val="20"/>
        </w:rPr>
      </w:pPr>
      <w:r>
        <w:rPr>
          <w:rFonts w:ascii="Arial" w:hAnsi="Arial"/>
          <w:b/>
          <w:i/>
          <w:color w:val="000000"/>
          <w:sz w:val="20"/>
        </w:rPr>
        <w:t>Even if we receive regulatory approval for any product candidate, we will be subject to ongoing regulatory obligations and continued regulatory review, which may result in significant additional expense.</w:t>
      </w:r>
    </w:p>
    <w:p>
      <w:pPr>
        <w:pStyle w:val="TextBody"/>
        <w:bidi w:val="0"/>
        <w:jc w:val="left"/>
        <w:rPr>
          <w:rFonts w:ascii="Times New Roman" w:hAnsi="Times New Roman"/>
          <w:sz w:val="20"/>
        </w:rPr>
      </w:pPr>
      <w:r>
        <w:rPr>
          <w:rFonts w:ascii="Arial" w:hAnsi="Arial"/>
          <w:color w:val="000000"/>
          <w:sz w:val="20"/>
        </w:rPr>
        <w:t>Any regulatory approvals that we may receive for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 comparable foreign requirements and GCP requirements for any clinical trials that we conduct post-approval. Manufacturers of approved products and their facilities are subject to continual review and periodic, unannounced inspections by the FDA and other regulatory authorities for compliance with cGMP and comparable foreign regulations and standards.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the marketing or manufacturing of our products,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fines, restitutions, disgorgement of profits or revenue,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refusal by the FDA or comparable foreign regulatory authorities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seizure or detention, or refusal to permit the import or export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injunctions or the imposition of civil or criminal penalties.</w:t>
      </w:r>
    </w:p>
    <w:p>
      <w:pPr>
        <w:pStyle w:val="TextBody"/>
        <w:bidi w:val="0"/>
        <w:jc w:val="left"/>
        <w:rPr>
          <w:rFonts w:ascii="Arial" w:hAnsi="Arial"/>
          <w:color w:val="000000"/>
          <w:sz w:val="20"/>
        </w:rPr>
      </w:pPr>
      <w:r>
        <w:rPr>
          <w:rFonts w:ascii="Arial" w:hAnsi="Arial"/>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jc w:val="left"/>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jc w:val="left"/>
        <w:rPr>
          <w:rFonts w:ascii="Arial" w:hAnsi="Arial"/>
          <w:b/>
          <w:i/>
          <w:color w:val="000000"/>
          <w:sz w:val="20"/>
        </w:rPr>
      </w:pPr>
      <w:r>
        <w:rPr>
          <w:rFonts w:ascii="Arial" w:hAnsi="Arial"/>
          <w:b/>
          <w:i/>
          <w:color w:val="000000"/>
          <w:sz w:val="20"/>
        </w:rPr>
        <w:t>The FDA and other regulatory agencies actively enforce the laws and regulations prohibiting the promotion of off-label uses.</w:t>
      </w:r>
    </w:p>
    <w:p>
      <w:pPr>
        <w:pStyle w:val="TextBody"/>
        <w:bidi w:val="0"/>
        <w:jc w:val="left"/>
        <w:rPr>
          <w:rFonts w:ascii="Times New Roman" w:hAnsi="Times New Roman"/>
          <w:sz w:val="20"/>
        </w:rPr>
      </w:pPr>
      <w:r>
        <w:rPr>
          <w:rFonts w:ascii="Arial" w:hAnsi="Arial"/>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jc w:val="left"/>
        <w:rPr>
          <w:rFonts w:ascii="Arial" w:hAnsi="Arial"/>
          <w:b/>
          <w:i/>
          <w:color w:val="000000"/>
          <w:sz w:val="20"/>
        </w:rPr>
      </w:pPr>
      <w:r>
        <w:rPr>
          <w:rFonts w:ascii="Arial" w:hAnsi="Arial"/>
          <w:b/>
          <w:i/>
          <w:color w:val="000000"/>
          <w:sz w:val="20"/>
        </w:rPr>
        <w:t>Our product candidates for which we intend to seek approval as biologic products may face competition sooner than anticipated.</w:t>
      </w:r>
    </w:p>
    <w:p>
      <w:pPr>
        <w:pStyle w:val="TextBody"/>
        <w:bidi w:val="0"/>
        <w:jc w:val="left"/>
        <w:rPr>
          <w:rFonts w:ascii="Arial" w:hAnsi="Arial"/>
          <w:color w:val="000000"/>
          <w:sz w:val="20"/>
        </w:rPr>
      </w:pPr>
      <w:r>
        <w:rPr>
          <w:rFonts w:ascii="Arial" w:hAnsi="Arial"/>
          <w:color w:val="000000"/>
          <w:sz w:val="20"/>
        </w:rPr>
        <w:t>The ACA includes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w:t>
      </w:r>
    </w:p>
    <w:p>
      <w:pPr>
        <w:pStyle w:val="TextBody"/>
        <w:bidi w:val="0"/>
        <w:jc w:val="left"/>
        <w:rPr>
          <w:rFonts w:ascii="Arial" w:hAnsi="Arial"/>
          <w:b/>
          <w:i/>
          <w:color w:val="000000"/>
          <w:sz w:val="20"/>
        </w:rPr>
      </w:pPr>
      <w:r>
        <w:rPr>
          <w:rFonts w:ascii="Arial" w:hAnsi="Arial"/>
          <w:b/>
          <w:i/>
          <w:color w:val="000000"/>
          <w:sz w:val="20"/>
        </w:rPr>
        <w:t>The commercial success of our product candidates will depend upon the degree of market acceptance of such product candidates by physicians, patients, healthcare payors and others in the medical community.</w:t>
      </w:r>
    </w:p>
    <w:p>
      <w:pPr>
        <w:pStyle w:val="TextBody"/>
        <w:bidi w:val="0"/>
        <w:jc w:val="left"/>
        <w:rPr>
          <w:rFonts w:ascii="Times New Roman" w:hAnsi="Times New Roman"/>
          <w:sz w:val="20"/>
        </w:rPr>
      </w:pPr>
      <w:r>
        <w:rPr>
          <w:rFonts w:ascii="Arial" w:hAnsi="Arial"/>
          <w:color w:val="000000"/>
          <w:sz w:val="20"/>
        </w:rPr>
        <w:t>Our product candidates may not be commercially successful. Even if any of our product candidates receive regulatory approval, they may not gain market acceptance among physicians, patients, healthcare payors or the medical community. The commercial success of any of our current or future product candidates will depend significantly on the broad adoption and use of the resulting product by physicians and patients for approved indications. The degree of market acceptance of our products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demonstration of clinical efficacy and safety compared to other more-established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indications for which our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limitation of our targeted patient population and other limitations or warnings contained in any FDA-approved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acceptance of a new drug for the relevant indication by healthcare providers and their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pricing and cost-effectiveness of our products, as well as the cost of treatment with our products in relation to alternative treatments and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sufficient third-party coverage and adequate reimbursement from government healthcare programs, including Medicare and Medicaid, private health insurers and other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willingness of patients to pay all, or a portion of, out-of-pocket costs associated with our products in the absence of sufficient third-party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restrictions on the use of our products, and the prevalence and severity of any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of market introduction of our products as well as competitive drugs;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effectiveness of our or any of our current or potential future collaborators’ sales and marketing strategies;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unfavorable publicity relating to the product, our company, or product candidates or similar approved products or product candidates in development by third parties.</w:t>
      </w:r>
    </w:p>
    <w:p>
      <w:pPr>
        <w:pStyle w:val="TextBody"/>
        <w:bidi w:val="0"/>
        <w:spacing w:before="20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any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pStyle w:val="TextBody"/>
        <w:bidi w:val="0"/>
        <w:jc w:val="both"/>
        <w:rPr>
          <w:rFonts w:ascii="Arial" w:hAnsi="Arial"/>
          <w:b/>
          <w:i/>
          <w:color w:val="000000"/>
          <w:sz w:val="20"/>
        </w:rPr>
      </w:pPr>
      <w:r>
        <w:rPr>
          <w:rFonts w:ascii="Arial" w:hAnsi="Arial"/>
          <w:b/>
          <w:i/>
          <w:color w:val="000000"/>
          <w:sz w:val="20"/>
        </w:rPr>
        <w:t>The successful commercialization of our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pStyle w:val="TextBody"/>
        <w:bidi w:val="0"/>
        <w:jc w:val="left"/>
        <w:rPr>
          <w:rFonts w:ascii="Arial" w:hAnsi="Arial"/>
          <w:color w:val="000000"/>
          <w:sz w:val="20"/>
        </w:rPr>
      </w:pPr>
      <w:r>
        <w:rPr>
          <w:rFonts w:ascii="Arial" w:hAnsi="Arial"/>
          <w:color w:val="000000"/>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for any product that we may develop, and any reimbursement that may become available may be decreased or eliminated in the future.</w:t>
      </w:r>
    </w:p>
    <w:p>
      <w:pPr>
        <w:pStyle w:val="TextBody"/>
        <w:bidi w:val="0"/>
        <w:jc w:val="left"/>
        <w:rPr>
          <w:rFonts w:ascii="Arial" w:hAnsi="Arial"/>
          <w:color w:val="000000"/>
          <w:sz w:val="20"/>
        </w:rPr>
      </w:pPr>
      <w:r>
        <w:rPr>
          <w:rFonts w:ascii="Arial" w:hAnsi="Arial"/>
          <w:color w:val="000000"/>
          <w:sz w:val="20"/>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 In addition, in the event that we develop companion diagnostic tests for use with our products, once approved or certified, such companion diagnostic tests will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tests.</w:t>
      </w:r>
    </w:p>
    <w:p>
      <w:pPr>
        <w:pStyle w:val="TextBody"/>
        <w:bidi w:val="0"/>
        <w:jc w:val="left"/>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pStyle w:val="TextBody"/>
        <w:bidi w:val="0"/>
        <w:jc w:val="left"/>
        <w:rPr>
          <w:rFonts w:ascii="Arial" w:hAnsi="Arial"/>
          <w:color w:val="000000"/>
          <w:sz w:val="20"/>
        </w:rPr>
      </w:pPr>
      <w:r>
        <w:rPr>
          <w:rFonts w:ascii="Arial" w:hAnsi="Arial"/>
          <w:color w:val="000000"/>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pStyle w:val="TextBody"/>
        <w:bidi w:val="0"/>
        <w:spacing w:before="20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pStyle w:val="TextBody"/>
        <w:bidi w:val="0"/>
        <w:jc w:val="left"/>
        <w:rPr>
          <w:rFonts w:ascii="Arial" w:hAnsi="Arial"/>
          <w:color w:val="000000"/>
          <w:sz w:val="20"/>
        </w:rPr>
      </w:pPr>
      <w:r>
        <w:rPr>
          <w:rFonts w:ascii="Arial" w:hAnsi="Arial"/>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jc w:val="left"/>
        <w:rPr>
          <w:rFonts w:ascii="Arial" w:hAnsi="Arial"/>
          <w:b/>
          <w:i/>
          <w:color w:val="000000"/>
          <w:sz w:val="20"/>
        </w:rPr>
      </w:pPr>
      <w:r>
        <w:rPr>
          <w:rFonts w:ascii="Arial" w:hAnsi="Arial"/>
          <w:b/>
          <w:i/>
          <w:color w:val="000000"/>
          <w:sz w:val="20"/>
        </w:rPr>
        <w:t>We face significant competition from entities that have developed or may develop product candidates for cancer, including companies developing novel treatments and technology platforms. If our competitors develop technologies or product candidates more rapidly than we do or their technologies are more effective, our business and our ability to develop and successfully commercialize products may be adversely affected.</w:t>
      </w:r>
    </w:p>
    <w:p>
      <w:pPr>
        <w:pStyle w:val="TextBody"/>
        <w:bidi w:val="0"/>
        <w:jc w:val="left"/>
        <w:rPr>
          <w:rFonts w:ascii="Arial" w:hAnsi="Arial"/>
          <w:color w:val="000000"/>
          <w:sz w:val="20"/>
        </w:rPr>
      </w:pPr>
      <w:r>
        <w:rPr>
          <w:rFonts w:ascii="Arial" w:hAnsi="Arial"/>
          <w:color w:val="000000"/>
          <w:sz w:val="20"/>
        </w:rPr>
        <w:t>Although the biotechnology and pharmaceutical industries, and the oncology sector, are characterized by rapid evolution of technologies, fierce competition, and strong defense of intellectual property rights, we believe the most fearsome competitor of all is cancer itself. As such, we view other companies in this sector more as potential allies and collaborators than as competitors, as we all have a common cause: to defeat cancer. Many of the companies that are developing or marketing treatments for cancer, including major pharmaceutical and biotechnology companies that are working on therapies targeting the RAS/MAPK pathway, are companies with whom we endeavor to collaborate in our mission to erase cancer. That being said, our commercial potential could be reduced or eliminated if other companies develop and commercialize products that are safer, more effective, have fewer or less severe side effects, are more convenient or are less expensive than products that we may develop.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product candidates. In particular, there is intense competition in the oncology field. Our competitors include larger and better funded pharmaceutical, biopharmaceutical, biotechnological and therapeutics companies. Moreover, we may also compete with universities and other research institutions who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pStyle w:val="TextBody"/>
        <w:bidi w:val="0"/>
        <w:jc w:val="left"/>
        <w:rPr>
          <w:rFonts w:ascii="Arial" w:hAnsi="Arial"/>
          <w:color w:val="000000"/>
          <w:sz w:val="20"/>
        </w:rPr>
      </w:pPr>
      <w:r>
        <w:rPr>
          <w:rFonts w:ascii="Arial" w:hAnsi="Arial"/>
          <w:color w:val="000000"/>
          <w:sz w:val="20"/>
        </w:rPr>
        <w:t>If any of our product candidates are approved, they will compete with small molecule therapies, biologics, cell-based therapies and traditional chemotherapy,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product candidates. In addition to competing with other therapies targeting similar indications, there are numerous other companies and academic institutions focused on similar targets as our product candidates and/or different scientific approaches to treating the same indications. We face competition from such companies in seeking any future potential collaborations to partner our product candidates, as well as potentially competing commercially for any approved products.</w:t>
      </w:r>
    </w:p>
    <w:p>
      <w:pPr>
        <w:pStyle w:val="TextBody"/>
        <w:bidi w:val="0"/>
        <w:jc w:val="left"/>
        <w:rPr>
          <w:rFonts w:ascii="Arial" w:hAnsi="Arial"/>
          <w:color w:val="000000"/>
          <w:sz w:val="20"/>
        </w:rPr>
      </w:pPr>
      <w:r>
        <w:rPr>
          <w:rFonts w:ascii="Arial" w:hAnsi="Arial"/>
          <w:color w:val="000000"/>
          <w:sz w:val="20"/>
        </w:rPr>
        <w:t>Specifically, there are also a number of pharmaceutical companies with product candidates in development that target the nodes involving the RAS/MAPK pathway. These include, among others, Amgen, Boehringer Ingelheim, BridgeBio, Bristol Myers Squibb, Eli Lilly, Jacobio Pharmaceuticals, Merck, Pfizer, Revolution Medicines, and Roche/Genentech.</w:t>
      </w:r>
    </w:p>
    <w:p>
      <w:pPr>
        <w:pStyle w:val="TextBody"/>
        <w:bidi w:val="0"/>
        <w:spacing w:before="20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approaches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jc w:val="left"/>
        <w:rPr>
          <w:rFonts w:ascii="Arial" w:hAnsi="Arial"/>
          <w:b/>
          <w:i/>
          <w:color w:val="000000"/>
          <w:sz w:val="20"/>
        </w:rPr>
      </w:pPr>
      <w:r>
        <w:rPr>
          <w:rFonts w:ascii="Arial" w:hAnsi="Arial"/>
          <w:b/>
          <w:i/>
          <w:color w:val="000000"/>
          <w:sz w:val="20"/>
        </w:rPr>
        <w:t>The market opportunities for our product candidates may be limited to patients who are ineligible for or have failed prior treatments and may be small or different from our estimates.</w:t>
      </w:r>
    </w:p>
    <w:p>
      <w:pPr>
        <w:pStyle w:val="TextBody"/>
        <w:bidi w:val="0"/>
        <w:jc w:val="left"/>
        <w:rPr>
          <w:rFonts w:ascii="Arial" w:hAnsi="Arial"/>
          <w:color w:val="000000"/>
          <w:sz w:val="20"/>
        </w:rPr>
      </w:pPr>
      <w:r>
        <w:rPr>
          <w:rFonts w:ascii="Arial" w:hAnsi="Arial"/>
          <w:color w:val="000000"/>
          <w:sz w:val="20"/>
        </w:rPr>
        <w:t>Cancer therapies are defined by lines of therapy as well as by treatment-naïve or previously-treated status. Often the initial approval for a new therapy is in later lines and subsequent approval in an earlier line may not be feasible. When cancer is detected early enough, first line therapy is sometimes adequate to cure the cancer or prolong life without a cure. Whenever first line therapy, including targeted therapy, immunotherapy, chemotherapy, hormone therapy, surgery or a combination of these, proves unsuccessful, second line therapy may be administered. Second line therapies often consist of additional chemotherapy, radiation, antibody drugs, tumor targeted small molecules or a combination of these. Third line therapies can include bone marrow transplantation, antibody and small molecule targeted therapies, more invasive forms of surgery and new technologies. In markets with approved therapies, there is no guarantee that our product candidates, even if approved, would be approved for second line or first line therapy. This could limit our potential market opportunity. In addition, we may have to conduct additional clinical trials prior to gaining approval for second line or first line therapy.</w:t>
      </w:r>
    </w:p>
    <w:p>
      <w:pPr>
        <w:pStyle w:val="TextBody"/>
        <w:bidi w:val="0"/>
        <w:jc w:val="left"/>
        <w:rPr>
          <w:rFonts w:ascii="Arial" w:hAnsi="Arial"/>
          <w:color w:val="000000"/>
          <w:sz w:val="20"/>
        </w:rPr>
      </w:pPr>
      <w:r>
        <w:rPr>
          <w:rFonts w:ascii="Arial" w:hAnsi="Arial"/>
          <w:color w:val="000000"/>
          <w:sz w:val="20"/>
        </w:rPr>
        <w:t>Our projections of both the number of people who have the cancers we are targeting, as well as the subset of people with these cancers in a position to receive later stage therapy and who have the potential to benefit from treatment with our product candidates,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product candidates, because some of our potential target populations are very small, we may never achieve profitability despite obtaining such significant market share.</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jc w:val="left"/>
        <w:rPr>
          <w:rFonts w:ascii="Times New Roman" w:hAnsi="Times New Roman"/>
          <w:sz w:val="20"/>
        </w:rPr>
      </w:pPr>
      <w:r>
        <w:rPr>
          <w:rFonts w:ascii="Arial" w:hAnsi="Arial"/>
          <w:color w:val="000000"/>
          <w:sz w:val="20"/>
        </w:rPr>
        <w:t>We have no internal sales, marketing or distribution capabilities, nor have we ever commercialized a product. If any of our product candidates ultimately receives regulatory approval, we must build a marketing and sales organization with technical expertise and supporting distribution capabilities to commercialize each such product in major markets, which will be expensive and time-consuming,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jc w:val="left"/>
        <w:rPr>
          <w:rFonts w:ascii="Arial" w:hAnsi="Arial"/>
          <w:b/>
          <w:i/>
          <w:color w:val="000000"/>
          <w:sz w:val="20"/>
        </w:rPr>
      </w:pPr>
      <w:r>
        <w:rPr>
          <w:rFonts w:ascii="Arial" w:hAnsi="Arial"/>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sz w:val="20"/>
        </w:rPr>
      </w:pPr>
      <w:r>
        <w:rPr>
          <w:rFonts w:ascii="Arial" w:hAnsi="Arial"/>
          <w:color w:val="000000"/>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different regulatory requirements for approval of drugs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existence of additional third-party patent rights of potential relevance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unexpected changes in tariffs, trade barriers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foreign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workforce uncertainty in countries where labor unrest is common;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business interruptions resulting from geopolitical actions, including war and terrorism, or natural disasters including earthquakes, typhoons, floods and fires.</w:t>
      </w:r>
    </w:p>
    <w:p>
      <w:pPr>
        <w:pStyle w:val="TextBody"/>
        <w:bidi w:val="0"/>
        <w:jc w:val="left"/>
        <w:rPr>
          <w:rFonts w:ascii="Arial" w:hAnsi="Arial"/>
          <w:b/>
          <w:color w:val="000000"/>
          <w:sz w:val="20"/>
        </w:rPr>
      </w:pPr>
      <w:r>
        <w:rPr>
          <w:rFonts w:ascii="Arial" w:hAnsi="Arial"/>
          <w:b/>
          <w:color w:val="000000"/>
          <w:sz w:val="20"/>
        </w:rPr>
        <w:t>Risks related to our business operations and industry</w:t>
      </w:r>
    </w:p>
    <w:p>
      <w:pPr>
        <w:pStyle w:val="TextBody"/>
        <w:bidi w:val="0"/>
        <w:jc w:val="left"/>
        <w:rPr>
          <w:rFonts w:ascii="Arial" w:hAnsi="Arial"/>
          <w:b/>
          <w:i/>
          <w:color w:val="000000"/>
          <w:sz w:val="20"/>
        </w:rPr>
      </w:pPr>
      <w:r>
        <w:rPr>
          <w:rFonts w:ascii="Arial" w:hAnsi="Arial"/>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jc w:val="left"/>
        <w:rPr>
          <w:rFonts w:ascii="Times New Roman" w:hAnsi="Times New Roman"/>
          <w:sz w:val="20"/>
        </w:rPr>
      </w:pPr>
      <w:r>
        <w:rPr>
          <w:rFonts w:ascii="Arial" w:hAnsi="Arial"/>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and cost of, and level of investment in, research, development, regulatory approval and commercialization activities relating to our product candidates,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coverage and reimbursement policies with respect to our product candidates, if approved, and potential future drugs that compete with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of manufacturing our product candidates, which may vary depending on the quantity of production and the terms of our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expenditures that we will or may incur to acquire, develop or commercialize additional product candidates and technologies or other assets;</w:t>
      </w:r>
    </w:p>
    <w:p>
      <w:pPr>
        <w:pStyle w:val="TextBody"/>
        <w:bidi w:val="0"/>
        <w:spacing w:before="20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level of demand for any approved products, which may vary significantly and be difficult to predict;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future accounting pronouncements or changes in our accounting policies.</w:t>
      </w:r>
    </w:p>
    <w:p>
      <w:pPr>
        <w:pStyle w:val="TextBody"/>
        <w:bidi w:val="0"/>
        <w:jc w:val="both"/>
        <w:rPr>
          <w:rFonts w:ascii="Arial" w:hAnsi="Arial"/>
          <w:color w:val="000000"/>
          <w:sz w:val="20"/>
        </w:rPr>
      </w:pPr>
      <w:r>
        <w:rPr>
          <w:rFonts w:ascii="Arial" w:hAnsi="Arial"/>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jc w:val="left"/>
        <w:rPr>
          <w:rFonts w:ascii="Arial" w:hAnsi="Arial"/>
          <w:color w:val="000000"/>
          <w:sz w:val="20"/>
        </w:rPr>
      </w:pPr>
      <w:r>
        <w:rPr>
          <w:rFonts w:ascii="Arial" w:hAnsi="Arial"/>
          <w:color w:val="000000"/>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jc w:val="left"/>
        <w:rPr>
          <w:rFonts w:ascii="Arial" w:hAnsi="Arial"/>
          <w:b/>
          <w:i/>
          <w:color w:val="000000"/>
          <w:sz w:val="20"/>
        </w:rPr>
      </w:pPr>
      <w:r>
        <w:rPr>
          <w:rFonts w:ascii="Arial" w:hAnsi="Arial"/>
          <w:b/>
          <w:i/>
          <w:color w:val="000000"/>
          <w:sz w:val="20"/>
        </w:rPr>
        <w:t>Our success is dependent on our ability to attract and retain highly qualified management and other clinical and scientific personnel.</w:t>
      </w:r>
    </w:p>
    <w:p>
      <w:pPr>
        <w:pStyle w:val="TextBody"/>
        <w:bidi w:val="0"/>
        <w:jc w:val="left"/>
        <w:rPr>
          <w:rFonts w:ascii="Arial" w:hAnsi="Arial"/>
          <w:color w:val="000000"/>
          <w:sz w:val="20"/>
        </w:rPr>
      </w:pPr>
      <w:r>
        <w:rPr>
          <w:rFonts w:ascii="Arial" w:hAnsi="Arial"/>
          <w:color w:val="000000"/>
          <w:sz w:val="20"/>
        </w:rPr>
        <w:t>Our success depends in part on our continued ability to attract,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jc w:val="left"/>
        <w:rPr>
          <w:rFonts w:ascii="Arial" w:hAnsi="Arial"/>
          <w:color w:val="000000"/>
          <w:sz w:val="20"/>
        </w:rPr>
      </w:pPr>
      <w:r>
        <w:rPr>
          <w:rFonts w:ascii="Arial" w:hAnsi="Arial"/>
          <w:color w:val="000000"/>
          <w:sz w:val="20"/>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particularly in the San Diego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jc w:val="left"/>
        <w:rPr>
          <w:rFonts w:ascii="Arial" w:hAnsi="Arial"/>
          <w:b/>
          <w:i/>
          <w:color w:val="000000"/>
          <w:sz w:val="20"/>
        </w:rPr>
      </w:pPr>
      <w:r>
        <w:rPr>
          <w:rFonts w:ascii="Arial" w:hAnsi="Arial"/>
          <w:b/>
          <w:i/>
          <w:color w:val="000000"/>
          <w:sz w:val="20"/>
        </w:rPr>
        <w:t>We may encounter difficulties in managing our growth and expanding our operations successfully.</w:t>
      </w:r>
    </w:p>
    <w:p>
      <w:pPr>
        <w:pStyle w:val="TextBody"/>
        <w:bidi w:val="0"/>
        <w:jc w:val="left"/>
        <w:rPr>
          <w:rFonts w:ascii="Arial" w:hAnsi="Arial"/>
          <w:color w:val="000000"/>
          <w:sz w:val="20"/>
        </w:rPr>
      </w:pPr>
      <w:r>
        <w:rPr>
          <w:rFonts w:ascii="Arial" w:hAnsi="Arial"/>
          <w:color w:val="000000"/>
          <w:sz w:val="20"/>
        </w:rPr>
        <w:t>We have increased our organization from 30 employees as of December 31, 2019 to 103 full-time employees as of February 28, 2026. As we continue development and pursue the potential commercialization of our product candidates, as well as function as a public company,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our product candidates and to compete effectively will depend, in part, on our ability to manage any future growth effectively.</w:t>
      </w:r>
    </w:p>
    <w:p>
      <w:pPr>
        <w:pStyle w:val="TextBody"/>
        <w:bidi w:val="0"/>
        <w:jc w:val="left"/>
        <w:rPr>
          <w:rFonts w:ascii="Arial" w:hAnsi="Arial"/>
          <w:b/>
          <w:i/>
          <w:color w:val="000000"/>
          <w:sz w:val="20"/>
        </w:rPr>
      </w:pPr>
      <w:r>
        <w:rPr>
          <w:rFonts w:ascii="Arial" w:hAnsi="Arial"/>
          <w:b/>
          <w:i/>
          <w:color w:val="000000"/>
          <w:sz w:val="20"/>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pStyle w:val="TextBody"/>
        <w:bidi w:val="0"/>
        <w:jc w:val="left"/>
        <w:rPr>
          <w:rFonts w:ascii="Times New Roman" w:hAnsi="Times New Roman"/>
          <w:sz w:val="20"/>
        </w:rPr>
      </w:pPr>
      <w:r>
        <w:rPr>
          <w:rFonts w:ascii="Arial" w:hAnsi="Arial"/>
          <w:color w:val="000000"/>
          <w:sz w:val="20"/>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w:t>
      </w:r>
    </w:p>
    <w:p>
      <w:pPr>
        <w:pStyle w:val="TextBody"/>
        <w:bidi w:val="0"/>
        <w:spacing w:before="20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such healthcare professionals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certain biotechnology companies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require the registration or pharmaceutical sales representatives.</w:t>
      </w:r>
    </w:p>
    <w:p>
      <w:pPr>
        <w:pStyle w:val="TextBody"/>
        <w:bidi w:val="0"/>
        <w:jc w:val="left"/>
        <w:rPr>
          <w:rFonts w:ascii="Arial" w:hAnsi="Arial"/>
          <w:color w:val="000000"/>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including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w:t>
      </w:r>
    </w:p>
    <w:p>
      <w:pPr>
        <w:pStyle w:val="TextBody"/>
        <w:bidi w:val="0"/>
        <w:spacing w:before="20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Recently enacted legislation, future legislation and healthcare reform measures may increase the difficulty and cost for us to obtain marketing approval for and commercialize our product candidates and may affect the prices we may set.</w:t>
      </w:r>
    </w:p>
    <w:p>
      <w:pPr>
        <w:pStyle w:val="TextBody"/>
        <w:bidi w:val="0"/>
        <w:jc w:val="left"/>
        <w:rPr>
          <w:rFonts w:ascii="Arial" w:hAnsi="Arial"/>
          <w:color w:val="000000"/>
          <w:sz w:val="20"/>
        </w:rPr>
      </w:pPr>
      <w:r>
        <w:rPr>
          <w:rFonts w:ascii="Arial" w:hAnsi="Arial"/>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jc w:val="left"/>
        <w:rPr>
          <w:rFonts w:ascii="Times New Roman" w:hAnsi="Times New Roman"/>
          <w:sz w:val="20"/>
        </w:rPr>
      </w:pPr>
      <w:r>
        <w:rPr>
          <w:rFonts w:ascii="Arial" w:hAnsi="Arial"/>
          <w:color w:val="000000"/>
          <w:sz w:val="20"/>
        </w:rPr>
        <w:t>For example, in March 2010, the ACA was enacted in the United States. Among the provisions of the ACA of importance to our potential product candidates,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Public Health Service pharmaceutical pricing program; increased the statutory minimum rebates a manufacturer must pay under the Medicaid Drug Rebate Program; created a new Medicare Part D coverage gap discount program which was replaced by a new manufacturer discount program on January 1, 2025 (as discussed below); established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 xml:space="preserve">In addition, other legislative changes have been proposed and adopted since the ACA was enacted. On August 2, 2011, the Budget Control Act of 2011 was signed into law, which, among other things, resulted in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Arial" w:hAnsi="Arial"/>
          <w:color w:val="231F20"/>
          <w:sz w:val="20"/>
        </w:rPr>
        <w:t xml:space="preserve">In addition, </w:t>
      </w:r>
      <w:r>
        <w:rPr>
          <w:rFonts w:ascii="Arial" w:hAnsi="Arial"/>
          <w:color w:val="000000"/>
          <w:sz w:val="20"/>
        </w:rPr>
        <w:t>on March 11, 2021, the American Rescue Plan Act of 2021 was signed into law, which eliminated the statutory Medicaid drug rebate cap, beginning January 1, 2024. The rebate was previously capped at 100% of a drug’s average manufacturer price.</w:t>
      </w:r>
    </w:p>
    <w:p>
      <w:pPr>
        <w:pStyle w:val="TextBody"/>
        <w:bidi w:val="0"/>
        <w:jc w:val="left"/>
        <w:rPr>
          <w:rFonts w:ascii="Arial" w:hAnsi="Arial"/>
          <w:color w:val="000000"/>
          <w:sz w:val="20"/>
        </w:rPr>
      </w:pPr>
      <w:r>
        <w:rPr>
          <w:rFonts w:ascii="Arial" w:hAnsi="Arial"/>
          <w:color w:val="000000"/>
          <w:sz w:val="20"/>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on January 1, 2025). The IRA permits the Secretary of the Department of Health and Human Services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While the impact of the IRA on the pharmaceutical industry cannot yet be fully determined, it is likely to be significant.</w:t>
      </w:r>
    </w:p>
    <w:p>
      <w:pPr>
        <w:pStyle w:val="TextBody"/>
        <w:bidi w:val="0"/>
        <w:jc w:val="left"/>
        <w:rPr/>
      </w:pPr>
      <w:r>
        <w:rPr/>
        <w:t> </w:t>
      </w:r>
    </w:p>
    <w:p>
      <w:pPr>
        <w:pStyle w:val="TextBody"/>
        <w:bidi w:val="0"/>
        <w:spacing w:before="0" w:after="180"/>
        <w:jc w:val="left"/>
        <w:rPr>
          <w:rFonts w:ascii="Arial" w:hAnsi="Arial"/>
          <w:color w:val="000000"/>
          <w:sz w:val="20"/>
        </w:rPr>
      </w:pPr>
      <w:r>
        <w:rPr>
          <w:rFonts w:ascii="Arial" w:hAnsi="Arial"/>
          <w:color w:val="000000"/>
          <w:sz w:val="20"/>
        </w:rPr>
        <w:t>More recently, 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20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current Presidential administration is pursuing a two-fold strategy to reduce drug costs in the US. While it is unclear whether and how such policies will be implemented, the proposed policies are likely to have a negative impact on the pharmaceutical industry and on our ability to receive adequate revenues for our products and any additional product candidates we develop, if approved. As part of this strategy, President Trump has proposed imposing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In addition, the Trump administration is pursuing traditional regulatory pathways to impose drug pricing policies, although final regulations have not yet been published.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jc w:val="left"/>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jc w:val="left"/>
        <w:rPr>
          <w:rFonts w:ascii="Arial" w:hAnsi="Arial"/>
          <w:color w:val="000000"/>
          <w:sz w:val="20"/>
        </w:rPr>
      </w:pPr>
      <w:r>
        <w:rPr>
          <w:rFonts w:ascii="Arial" w:hAnsi="Arial"/>
          <w:color w:val="000000"/>
          <w:sz w:val="20"/>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0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If product liability lawsuits are brought against us, we may incur substantial liabilities and may be required to limit commercialization of our products.</w:t>
      </w:r>
    </w:p>
    <w:p>
      <w:pPr>
        <w:pStyle w:val="TextBody"/>
        <w:bidi w:val="0"/>
        <w:jc w:val="left"/>
        <w:rPr>
          <w:rFonts w:ascii="Arial" w:hAnsi="Arial"/>
          <w:color w:val="000000"/>
          <w:sz w:val="20"/>
        </w:rPr>
      </w:pPr>
      <w:r>
        <w:rPr>
          <w:rFonts w:ascii="Arial" w:hAnsi="Arial"/>
          <w:color w:val="000000"/>
          <w:sz w:val="20"/>
        </w:rPr>
        <w:t>We face an inherent risk of product liability as a result of the clinical trials of our product candidates and will face an even greater risk if we commercialize our product candidates.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bidi w:val="0"/>
        <w:jc w:val="left"/>
        <w:rPr>
          <w:rFonts w:ascii="Times New Roman" w:hAnsi="Times New Roman"/>
          <w:sz w:val="20"/>
        </w:rPr>
      </w:pPr>
      <w:r>
        <w:rPr>
          <w:rFonts w:ascii="Arial" w:hAnsi="Arial"/>
          <w:color w:val="000000"/>
          <w:sz w:val="20"/>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decreased demand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diversion of our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negative financial impact;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inability to commercialize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decline in our stock price.</w:t>
      </w:r>
    </w:p>
    <w:p>
      <w:pPr>
        <w:pStyle w:val="TextBody"/>
        <w:bidi w:val="0"/>
        <w:jc w:val="left"/>
        <w:rPr>
          <w:rFonts w:ascii="Arial" w:hAnsi="Arial"/>
          <w:color w:val="000000"/>
          <w:sz w:val="20"/>
        </w:rPr>
      </w:pPr>
      <w:r>
        <w:rPr>
          <w:rFonts w:ascii="Arial" w:hAnsi="Arial"/>
          <w:color w:val="000000"/>
          <w:sz w:val="20"/>
        </w:rPr>
        <w:t>We currently hold approximately $10 million in product liability insurance coverage in the aggregate. We may need to increase our insurance coverage as we expand our clinical trials or if we commence commercialization of our product candidates. Insurance coverage is increasingly expensive. Our inability to obtain and retain sufficient product liability insurance at an acceptable cost to protect against potential product liability claims could prevent or inhibit the commercialization of our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jc w:val="left"/>
        <w:rPr>
          <w:rFonts w:ascii="Arial" w:hAnsi="Arial"/>
          <w:b/>
          <w:i/>
          <w:color w:val="000000"/>
          <w:sz w:val="20"/>
        </w:rPr>
      </w:pPr>
      <w:r>
        <w:rPr>
          <w:rFonts w:ascii="Arial" w:hAnsi="Arial"/>
          <w:b/>
          <w:i/>
          <w:color w:val="000000"/>
          <w:sz w:val="20"/>
        </w:rPr>
        <w:t>Our insurance policies are expensive and only protect us from some business risks, which will leave us exposed to significant uninsured liabilities.</w:t>
      </w:r>
    </w:p>
    <w:p>
      <w:pPr>
        <w:pStyle w:val="TextBody"/>
        <w:bidi w:val="0"/>
        <w:jc w:val="left"/>
        <w:rPr>
          <w:rFonts w:ascii="Arial" w:hAnsi="Arial"/>
          <w:color w:val="000000"/>
          <w:sz w:val="20"/>
        </w:rPr>
      </w:pPr>
      <w:r>
        <w:rPr>
          <w:rFonts w:ascii="Arial" w:hAnsi="Arial"/>
          <w:color w:val="000000"/>
          <w:sz w:val="20"/>
        </w:rPr>
        <w:t>We do not carry insurance for all categories of risk that our business may encounter. Some of the policies we currently maintain include property, general liability, employment benefits liability, business automobile, workers’ compensation, products liability, malicious invasion of our electronic systems, clinical trials, and directors’ and officers’ employment practices and fiduciary liability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pStyle w:val="TextBody"/>
        <w:bidi w:val="0"/>
        <w:jc w:val="left"/>
        <w:rPr>
          <w:rFonts w:ascii="Arial" w:hAnsi="Arial"/>
          <w:b/>
          <w:i/>
          <w:color w:val="000000"/>
          <w:sz w:val="20"/>
        </w:rPr>
      </w:pPr>
      <w:r>
        <w:rPr>
          <w:rFonts w:ascii="Arial" w:hAnsi="Arial"/>
          <w:b/>
          <w:i/>
          <w:color w:val="000000"/>
          <w:sz w:val="20"/>
        </w:rPr>
        <w:t>We and any of our current or potential future collaborators or partners will be required to report to regulatory authorities if any of our approved products cause or contribute to adverse medical events, and any failure to do so would result in sanctions that would materially harm our business.</w:t>
      </w:r>
    </w:p>
    <w:p>
      <w:pPr>
        <w:pStyle w:val="TextBody"/>
        <w:bidi w:val="0"/>
        <w:jc w:val="left"/>
        <w:rPr>
          <w:rFonts w:ascii="Times New Roman" w:hAnsi="Times New Roman"/>
          <w:sz w:val="20"/>
        </w:rPr>
      </w:pPr>
      <w:r>
        <w:rPr>
          <w:rFonts w:ascii="Arial" w:hAnsi="Arial"/>
          <w:color w:val="000000"/>
          <w:sz w:val="20"/>
        </w:rPr>
        <w:t>If we or any of our current or potential future collaborators or partners are successful in commercializing our products, the FDA and foreign regulatory authorities would require that we and such collaborators or partners report certain information</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about adverse medical events if those products may have caused or contributed to those adverse events. The timing of our obligation to report would be triggered by the date we become aware of the adverse event as well as the nature of the event. We and any of our potential future collaborators or CROs may fail to report adverse events within the prescribed timeframe. If we or any of our current or potential future collaborators, partners,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pStyle w:val="TextBody"/>
        <w:bidi w:val="0"/>
        <w:jc w:val="both"/>
        <w:rPr>
          <w:rFonts w:ascii="Arial" w:hAnsi="Arial"/>
          <w:b/>
          <w:i/>
          <w:color w:val="000000"/>
          <w:sz w:val="20"/>
        </w:rPr>
      </w:pPr>
      <w:r>
        <w:rPr>
          <w:rFonts w:ascii="Arial" w:hAnsi="Arial"/>
          <w:b/>
          <w:i/>
          <w:color w:val="000000"/>
          <w:sz w:val="20"/>
        </w:rPr>
        <w:t>Our information technology systems, or those of any of our CROs, manufacturers, other contractors or consultants or current or potential future collaborators, may fail or suffer cybersecurity incidents or breaches, which could result in a material disruption of our product development programs, harm to our reputation, significant fines, penalties and liability and loss of customers or sales.</w:t>
      </w:r>
    </w:p>
    <w:p>
      <w:pPr>
        <w:pStyle w:val="TextBody"/>
        <w:bidi w:val="0"/>
        <w:jc w:val="left"/>
        <w:rPr>
          <w:rFonts w:ascii="Times New Roman" w:hAnsi="Times New Roman"/>
          <w:sz w:val="20"/>
        </w:rPr>
      </w:pPr>
      <w:r>
        <w:rPr>
          <w:rFonts w:ascii="Arial" w:hAnsi="Arial"/>
          <w:color w:val="000000"/>
          <w:sz w:val="20"/>
        </w:rPr>
        <w:t>In the ordinary course of business, we collect, store, transmit and otherwise process large amounts of data including, without limitation, proprietary business information and personal information and</w:t>
      </w:r>
      <w:r>
        <w:rPr>
          <w:rFonts w:ascii="Times New Roman" w:hAnsi="Times New Roman"/>
          <w:color w:val="000000"/>
          <w:sz w:val="20"/>
        </w:rPr>
        <w:t xml:space="preserve"> </w:t>
      </w:r>
      <w:r>
        <w:rPr>
          <w:rFonts w:ascii="Arial" w:hAnsi="Arial"/>
          <w:color w:val="000000"/>
          <w:sz w:val="20"/>
        </w:rPr>
        <w:t>we are increasingly dependent on information technology systems and infrastructure to operate our business. Despite the implementation of security measures, our information technology systems (including infrastructure) and those of our current and any future CROs and other contractors, consultants, third-party service providers, vendors and collaborators are vulnerable to numerous and evolving cybersecurity risks, including from diverse threat actors such as state-sponsored organizations, opportunistic hackers and hacktivists, as well as through diverse attack vectors (such as denial-of-service attacks, malware, ransomware, supply chain attacks, computer viruses, cyber-attacks or cyber-intrusions over the Internet, hacking, phishing and other social engineering attacks), and as a result of malicious code, misconfigurations, 'bugs' or other vulnerabilities in software that is integrated into our (or our suppliers’ or service providers’) IT systems, products or services, alongside damage from natural disasters, terrorism, war and telecommunication and electrical failures. Our systems are also subject to compromise from internal threats, such as theft, misuse, unauthorized access or other improper or accidental actions by employees, vendors and other third parties with otherwise legitimate access to our systems. Third parties may also attempt to fraudulently induce our employees and contractors into disclosing sensitive information such as usernames, passwords or other information, or otherwise compromise the security of our electronic systems, networks, and/or physical facilities in order to gain access to our data. Attacks upon information technology systems are increasing in their frequency, levels of persistence, sophistication and intensity, and are being conducted by sophisticated and organized groups and individuals with a wide range of motives, expertise, techniques and tools – including artificial intelligence – to circumvent security controls, evade detection and remove forensic evidence. Additionally, we currently work in a hybrid working environment, which may cause increased cybersecurity risks due to our reliance on internet technology and the number of our employees (and employees of our vendors, contractors and other organizations with whom we have formed strategic relationships) who are working remotely, which may create additional opportunities for threat actors to exploit vulnerabilities. Furthermore, new techniques may not be identified until they are launched against a target, and we may be unable to anticipate these techniques or detect an incident, assess its severity or impact, react or appropriately respond in a timely manner or implement adequate preventative measures, resulting in potential data loss or other damage to our information technology systems. Given the unpredictability of the timing, nature and scope of information technology disruptions, there can be no assurance that any security procedures and controls that we or our third-party partners and service providers have implemented will be sufficient to prevent cyber-attacks from occurring. The latency of a compromise is often measured in months, but could be years, and we may not be able to detect a compromise in a timely manner.</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and certain of our service providers and vendors are from time to time subject to cyberattacks and cybersecurity incidents. While we do not believe that we have experienced any significant system failure or other cybersecurity incident to date, if such an event were to occur and cause interruptions in our operations or result in the unauthorized disclosure of, access to or other processing of personal information or individually identifiable health information (potentially violating certain privacy laws), other otherwise adversely affect the confidentiality, integrity and availability of our information systems or any information stored therein,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cybersecurity breaches involving particular personal information, which could result from breaches experienced by us or by our vendors, contractors, or organizations with which we have formed strategic relationships.</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Any security breach or other incident, whether actual or perceived, could impact our reputation,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third parties to manufacture our product candidates, and similar events relating to their computer systems could also have a material adverse effect on our business. We have also outsourced elements of our information technology infrastructure, and as a result a number of third-party vendors may or could have access to our confidential information. Additionally, any integration of artificial intelligence in our or any third party’s operations, products or services is expected to pose new or unknown cybersecurity risks and challenges. There can be no assurance that our cybersecurity risk management program and processes, including our policies, controls or procedures, will be fully implemented, complied with or effective in protecting our information systems and personal or confidential Information. To the extent that any actual or perceived disruption or cybersecurity incident were to jeopardize the confidentiality, integrity, or availability of our systems (or those of our third-party collaborators, service providers, vendors, contractors or consultants) or were to result in a loss of or accidental, unlawful or unauthorized access to, use of, release of, or other processing of personal confidential or proprietary information, or damage to, our data or applications, we could incur liability (including legal claims or proceedings such as class actions), the further development and commercialization of our product candidates could be delayed, and we could be subject to significant fines, penalties or liabilities for any noncompliance with certain privacy and cybersecurity laws. Further, our insurance coverage may not be sufficient to cover the financial, legal, business or reputational losses that may result from an interruption or breach of our systems, or that applicable insurance will be available to us in the future on economically reasonable terms or at all.</w:t>
      </w:r>
      <w:r>
        <w:rPr>
          <w:rFonts w:ascii="Times New Roman" w:hAnsi="Times New Roman"/>
          <w:color w:val="000000"/>
          <w:sz w:val="20"/>
        </w:rPr>
        <w:t xml:space="preserve"> </w:t>
      </w:r>
    </w:p>
    <w:p>
      <w:pPr>
        <w:pStyle w:val="TextBody"/>
        <w:bidi w:val="0"/>
        <w:jc w:val="both"/>
        <w:rPr>
          <w:rFonts w:ascii="Arial" w:hAnsi="Arial"/>
          <w:b/>
          <w:i/>
          <w:color w:val="000000"/>
          <w:sz w:val="20"/>
        </w:rPr>
      </w:pPr>
      <w:r>
        <w:rPr>
          <w:rFonts w:ascii="Arial" w:hAnsi="Arial"/>
          <w:b/>
          <w:i/>
          <w:color w:val="000000"/>
          <w:sz w:val="20"/>
        </w:rPr>
        <w:t>Our business may be affected by the evolving regulatory framework for AI Technologies</w:t>
      </w:r>
    </w:p>
    <w:p>
      <w:pPr>
        <w:pStyle w:val="TextBody"/>
        <w:bidi w:val="0"/>
        <w:spacing w:before="240" w:after="240"/>
        <w:jc w:val="left"/>
        <w:rPr>
          <w:rFonts w:ascii="Times New Roman" w:hAnsi="Times New Roman"/>
          <w:sz w:val="20"/>
        </w:rPr>
      </w:pPr>
      <w:r>
        <w:rPr>
          <w:rFonts w:ascii="Arial" w:hAnsi="Arial"/>
          <w:color w:val="000000"/>
          <w:sz w:val="20"/>
        </w:rPr>
        <w:t>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0" w:after="240"/>
        <w:jc w:val="left"/>
        <w:rPr>
          <w:rFonts w:ascii="Times New Roman" w:hAnsi="Times New Roman"/>
          <w:sz w:val="20"/>
        </w:rPr>
      </w:pPr>
      <w:r>
        <w:rPr>
          <w:rFonts w:ascii="Arial" w:hAnsi="Arial"/>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pStyle w:val="TextBody"/>
        <w:bidi w:val="0"/>
        <w:spacing w:before="0" w:after="240"/>
        <w:jc w:val="left"/>
        <w:rPr>
          <w:rFonts w:ascii="Times New Roman" w:hAnsi="Times New Roman"/>
          <w:sz w:val="20"/>
        </w:rPr>
      </w:pPr>
      <w:r>
        <w:rPr>
          <w:rFonts w:ascii="Arial" w:hAnsi="Arial"/>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business is subject to risks arising from pandemic and epidemic diseases.</w:t>
      </w:r>
    </w:p>
    <w:p>
      <w:pPr>
        <w:pStyle w:val="TextBody"/>
        <w:bidi w:val="0"/>
        <w:jc w:val="left"/>
        <w:rPr>
          <w:rFonts w:ascii="Arial" w:hAnsi="Arial"/>
          <w:color w:val="000000"/>
          <w:sz w:val="20"/>
        </w:rPr>
      </w:pPr>
      <w:r>
        <w:rPr>
          <w:rFonts w:ascii="Arial" w:hAnsi="Arial"/>
          <w:color w:val="000000"/>
          <w:sz w:val="20"/>
        </w:rPr>
        <w:t>Any future pandemic or epidemic disease outbreaks, and any supply chain disruptions or staffing shortages, could cause disruptions that could severely impact our business, clinical trials, preclinical studies and financial condition, including: delays or difficulties in enrolling patients in clinical trials; delays or difficulties in clinical site initiation; interruption of, or delays in receiving, supplies of our product candidates from our CMOs and disruptions in delivery systems; interruptions or delays in clinical trials or preclinical studies due to restricted or limited operations at our laboratory facility or those of our outsourced service providers; limitations on employee resources; interruption of key clinical trial activities, such as clinical trial site monitoring and source data verification, which may impact the integrity of subject data and clinical study endpoints; and interruption or delays in the operations of the FDA or other regulatory authorities, which may impact review and approval timelines. To the extent an epidemic disease adversely affects our business and financial results, it may also have the effect of heightening many of the other risks described in this section.</w:t>
      </w:r>
    </w:p>
    <w:p>
      <w:pPr>
        <w:pStyle w:val="TextBody"/>
        <w:bidi w:val="0"/>
        <w:jc w:val="left"/>
        <w:rPr>
          <w:rFonts w:ascii="Arial" w:hAnsi="Arial"/>
          <w:b/>
          <w:i/>
          <w:color w:val="000000"/>
          <w:sz w:val="20"/>
        </w:rPr>
      </w:pPr>
      <w:r>
        <w:rPr>
          <w:rFonts w:ascii="Arial" w:hAnsi="Arial"/>
          <w:b/>
          <w:i/>
          <w:color w:val="000000"/>
          <w:sz w:val="20"/>
        </w:rPr>
        <w:t>Our business could be affected by litigation, government investigations and enforcement actions.</w:t>
      </w:r>
    </w:p>
    <w:p>
      <w:pPr>
        <w:pStyle w:val="TextBody"/>
        <w:bidi w:val="0"/>
        <w:jc w:val="left"/>
        <w:rPr>
          <w:rFonts w:ascii="Arial" w:hAnsi="Arial"/>
          <w:color w:val="000000"/>
          <w:sz w:val="20"/>
        </w:rPr>
      </w:pPr>
      <w:r>
        <w:rPr>
          <w:rFonts w:ascii="Arial" w:hAnsi="Arial"/>
          <w:color w:val="000000"/>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bidi w:val="0"/>
        <w:jc w:val="left"/>
        <w:rPr>
          <w:rFonts w:ascii="Arial" w:hAnsi="Arial"/>
          <w:color w:val="000000"/>
          <w:sz w:val="20"/>
        </w:rPr>
      </w:pPr>
      <w:r>
        <w:rPr>
          <w:rFonts w:ascii="Arial" w:hAnsi="Arial"/>
          <w:color w:val="000000"/>
          <w:sz w:val="20"/>
        </w:rPr>
        <w:t>Legal proceedings, government investigations and enforcement actions can be expensive and time-consuming. An adverse outcome resulting from any such proceeding,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w:t>
      </w:r>
    </w:p>
    <w:p>
      <w:pPr>
        <w:pStyle w:val="TextBody"/>
        <w:bidi w:val="0"/>
        <w:jc w:val="left"/>
        <w:rPr>
          <w:rFonts w:ascii="Arial" w:hAnsi="Arial"/>
          <w:b/>
          <w:i/>
          <w:color w:val="000000"/>
          <w:sz w:val="20"/>
        </w:rPr>
      </w:pPr>
      <w:r>
        <w:rPr>
          <w:rFonts w:ascii="Arial" w:hAnsi="Arial"/>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jc w:val="left"/>
        <w:rPr>
          <w:rFonts w:ascii="Times New Roman" w:hAnsi="Times New Roman"/>
          <w:sz w:val="20"/>
        </w:rPr>
      </w:pPr>
      <w:r>
        <w:rPr>
          <w:rFonts w:ascii="Arial" w:hAnsi="Arial"/>
          <w:color w:val="000000"/>
          <w:sz w:val="20"/>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cybersecurity,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jc w:val="left"/>
        <w:rPr>
          <w:rFonts w:ascii="Arial" w:hAnsi="Arial"/>
          <w:b/>
          <w:i/>
          <w:color w:val="000000"/>
          <w:sz w:val="20"/>
        </w:rPr>
      </w:pPr>
      <w:r>
        <w:rPr>
          <w:rFonts w:ascii="Arial" w:hAnsi="Arial"/>
          <w:b/>
          <w:i/>
          <w:color w:val="000000"/>
          <w:sz w:val="20"/>
        </w:rPr>
        <w:t>We may engage in strategic transactions that could impact our liquidity, increase our expenses and present significant distractions to our management.</w:t>
      </w:r>
    </w:p>
    <w:p>
      <w:pPr>
        <w:pStyle w:val="TextBody"/>
        <w:bidi w:val="0"/>
        <w:jc w:val="left"/>
        <w:rPr>
          <w:rFonts w:ascii="Arial" w:hAnsi="Arial"/>
          <w:color w:val="000000"/>
          <w:sz w:val="20"/>
        </w:rPr>
      </w:pPr>
      <w:r>
        <w:rPr>
          <w:rFonts w:ascii="Arial" w:hAnsi="Arial"/>
          <w:color w:val="000000"/>
          <w:sz w:val="20"/>
        </w:rPr>
        <w:t>From time to time, we may consider strategic transactions, such as acquisitions of companies, asset purchases and out-licensing or in-licensing of intellectual property, products or technologies, similar to our approach in which we in-licensed and acquired certain of our current product candidates and development programs.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jc w:val="left"/>
        <w:rPr>
          <w:rFonts w:ascii="Arial" w:hAnsi="Arial"/>
          <w:b/>
          <w:i/>
          <w:color w:val="000000"/>
          <w:sz w:val="20"/>
        </w:rPr>
      </w:pPr>
      <w:r>
        <w:rPr>
          <w:rFonts w:ascii="Arial" w:hAnsi="Arial"/>
          <w:b/>
          <w:i/>
          <w:color w:val="000000"/>
          <w:sz w:val="20"/>
        </w:rPr>
        <w:t>Our ability to use net operating loss carryforwards and other tax attributes may be limited.</w:t>
      </w:r>
    </w:p>
    <w:p>
      <w:pPr>
        <w:pStyle w:val="TextBody"/>
        <w:bidi w:val="0"/>
        <w:jc w:val="left"/>
        <w:rPr>
          <w:rFonts w:ascii="Arial" w:hAnsi="Arial"/>
          <w:color w:val="000000"/>
          <w:sz w:val="20"/>
        </w:rPr>
      </w:pPr>
      <w:r>
        <w:rPr>
          <w:rFonts w:ascii="Arial" w:hAnsi="Arial"/>
          <w:color w:val="000000"/>
          <w:sz w:val="20"/>
        </w:rPr>
        <w:t>We have incurred substantial losses during our history, do not expect to become profitable in the near future and may never achieve profitability. To the extent that we continue to generate taxable losses, unused losses will, subject to limitations, carry forward to offset future taxable income, if any, until such unused losses expire (if at all). As of December 31, 2025, we had federal, California and other state net operating loss (NOL) carryforwards of $413.8 million, $576.7 million and $4.8 million, respectively.</w:t>
      </w:r>
    </w:p>
    <w:p>
      <w:pPr>
        <w:pStyle w:val="TextBody"/>
        <w:bidi w:val="0"/>
        <w:jc w:val="left"/>
        <w:rPr>
          <w:rFonts w:ascii="Times New Roman" w:hAnsi="Times New Roman"/>
          <w:sz w:val="20"/>
        </w:rPr>
      </w:pPr>
      <w:r>
        <w:rPr>
          <w:rFonts w:ascii="Arial" w:hAnsi="Arial"/>
          <w:color w:val="000000"/>
          <w:sz w:val="20"/>
        </w:rPr>
        <w:t>Federal NOL carryforwards arising in tax years beginning after December 31, 2017 may be carried forward indefinitely. The deductibility of federal NOL carryforwards may be limited. In addition, our NOL carryforwards are subject to review and possible adjustment by the United States Internal Revenue Service and state tax authorities.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Under Section 382 of the Internal Revenue Code of 1986, as amended (IRC), our federal NOL carryforwards may become subject to an annual limitation in the event of certain cumulative changes in the ownership of our company. An “ownership change” pursuant to Section 382 of the IRC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formally determined the amount of the cumulative change in our ownership resulting from our IPO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changes related to our IPO.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Investors’ expectations of our performance relating to environmental, social and governance factors may impose additional costs and expose us to new risks.</w:t>
      </w:r>
    </w:p>
    <w:p>
      <w:pPr>
        <w:pStyle w:val="TextBody"/>
        <w:bidi w:val="0"/>
        <w:jc w:val="left"/>
        <w:rPr>
          <w:rFonts w:ascii="Times New Roman" w:hAnsi="Times New Roman"/>
          <w:sz w:val="20"/>
        </w:rPr>
      </w:pPr>
      <w:r>
        <w:rPr>
          <w:rFonts w:ascii="Arial" w:hAnsi="Arial"/>
          <w:color w:val="000000"/>
          <w:sz w:val="20"/>
        </w:rPr>
        <w:t>There is focus from certain investors, employees and other stakeholders concerning corporate responsibility, specifically related to environmental, social and governance factors. Some investors may use these factors to guide their investment strategies and, in some cases, may choose not to invest in us if they believe our policies relating to corporate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responsibility are inadequate, including if they believe our policies relating to the Erasca Foundation are inadequate. Third-party providers of corporate responsibility ratings and reports on companies have changed to meet investor expectation for measurement of corporate responsibility performance. The criteria by which companies’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w:t>
      </w:r>
    </w:p>
    <w:p>
      <w:pPr>
        <w:pStyle w:val="TextBody"/>
        <w:bidi w:val="0"/>
        <w:jc w:val="left"/>
        <w:rPr>
          <w:rFonts w:ascii="Arial" w:hAnsi="Arial"/>
          <w:color w:val="000000"/>
          <w:sz w:val="20"/>
        </w:rPr>
      </w:pPr>
      <w:r>
        <w:rPr>
          <w:rFonts w:ascii="Arial" w:hAnsi="Arial"/>
          <w:color w:val="000000"/>
          <w:sz w:val="20"/>
        </w:rPr>
        <w:t>Furthermore, if our competitors’ corporate responsibility performance is perceived to be greater than ours, potential or current investors may elect to invest with our competitors instead. In addition, in the event that we communicate certain initiatives and goals regarding environmental, social and governance matters, including with respect to the initiatives and goals we established as part of the Erasca Foundation,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financial results could be materially and adversely affected.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to United States tariff and import/export regulations may have a negative effect on us.</w:t>
      </w:r>
    </w:p>
    <w:p>
      <w:pPr>
        <w:pStyle w:val="TextBody"/>
        <w:bidi w:val="0"/>
        <w:jc w:val="left"/>
        <w:rPr>
          <w:rFonts w:ascii="Arial" w:hAnsi="Arial"/>
          <w:color w:val="000000"/>
          <w:sz w:val="20"/>
        </w:rPr>
      </w:pPr>
      <w:r>
        <w:rPr>
          <w:rFonts w:ascii="Arial" w:hAnsi="Arial"/>
          <w:color w:val="000000"/>
          <w:sz w:val="20"/>
        </w:rPr>
        <w:t>The United States has enacted, and continues to consider, a range of trade-related measures, including tariffs, export controls, and other policies. The President of the United States has directed agencies to reassess key aspects of US trade policy, and there has been ongoing debate and uncertainty surrounding potential changes to trade agreements, tariff structures, and foreign investment regulations. For example, on February 20, 2026, the United States Supreme Court issued a ruling striking down certain tariffs previously imposed under the International Emergency Economic Powers Act of 1977. Following the Supreme Court’s decision, President Trump stated that he intends to use other authorities to invoke other laws to collect tariffs and announced new tariffs on imports from all countries. There remains substantial uncertainty regarding the duration of existing and newly announced tariffs, potential changes or pauses to such tariffs, tariff levels, and whether further additional tariffs or other retaliatory actions may be imposed, modified, or suspended. Shifts in trade policy—whether through legislation, executive action, or international negotiation—have and could continue to alter the global trade landscape and affect supply chains, pricing, and demand for goods and services. These developments, or the perception that such changes may occur, have and could continue to have a material adverse effect on global economic conditions, contribute to volatility in financial markets, and disrupt international trade, including trade between the US and its key partners. Any of these factors could depress economic activity and the development and commercialization of our product candidates, which could result in a material adverse effect on our business, financial condition and results of operations.</w:t>
      </w:r>
    </w:p>
    <w:p>
      <w:pPr>
        <w:pStyle w:val="TextBody"/>
        <w:bidi w:val="0"/>
        <w:jc w:val="left"/>
        <w:rPr>
          <w:rFonts w:ascii="Arial" w:hAnsi="Arial"/>
          <w:b/>
          <w:color w:val="000000"/>
          <w:sz w:val="20"/>
        </w:rPr>
      </w:pPr>
      <w:r>
        <w:rPr>
          <w:rFonts w:ascii="Arial" w:hAnsi="Arial"/>
          <w:b/>
          <w:color w:val="000000"/>
          <w:sz w:val="20"/>
        </w:rPr>
        <w:t>Risks related to our intellectual property</w:t>
      </w:r>
    </w:p>
    <w:p>
      <w:pPr>
        <w:pStyle w:val="TextBody"/>
        <w:bidi w:val="0"/>
        <w:jc w:val="left"/>
        <w:rPr>
          <w:rFonts w:ascii="Arial" w:hAnsi="Arial"/>
          <w:b/>
          <w:i/>
          <w:color w:val="000000"/>
          <w:sz w:val="20"/>
        </w:rPr>
      </w:pPr>
      <w:r>
        <w:rPr>
          <w:rFonts w:ascii="Arial" w:hAnsi="Arial"/>
          <w:b/>
          <w:i/>
          <w:color w:val="000000"/>
          <w:sz w:val="20"/>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pStyle w:val="TextBody"/>
        <w:bidi w:val="0"/>
        <w:jc w:val="left"/>
        <w:rPr>
          <w:rFonts w:ascii="Arial" w:hAnsi="Arial"/>
          <w:color w:val="000000"/>
          <w:sz w:val="20"/>
        </w:rPr>
      </w:pPr>
      <w:r>
        <w:rPr>
          <w:rFonts w:ascii="Arial" w:hAnsi="Arial"/>
          <w:color w:val="000000"/>
          <w:sz w:val="20"/>
        </w:rPr>
        <w:t>Our success depends in large part on our ability to obtain and maintain patent protection and trade secret protection with respect to our therapeutic programs, proprietary technologies, and their uses. We seek to protect our proprietary position, in part, by filing patent applications in the United States and abroad relating to our product candidates. We also seek to protect our proprietary position by acquiring or in-licensing relevant issued patents or pending applications from third parties. If we or our licensors are unable to obtain or maintain patent protection with respect to our product candidates, our business, financial condition, results of operations and prospects could be materially harmed.</w:t>
      </w:r>
    </w:p>
    <w:p>
      <w:pPr>
        <w:pStyle w:val="TextBody"/>
        <w:bidi w:val="0"/>
        <w:jc w:val="left"/>
        <w:rPr>
          <w:rFonts w:ascii="Arial" w:hAnsi="Arial"/>
          <w:color w:val="000000"/>
          <w:sz w:val="20"/>
        </w:rPr>
      </w:pPr>
      <w:r>
        <w:rPr>
          <w:rFonts w:ascii="Arial" w:hAnsi="Arial"/>
          <w:color w:val="000000"/>
          <w:sz w:val="20"/>
        </w:rPr>
        <w:t>Changes in either the patent laws or their interpretation in the United States and other jurisdictions may diminish our ability to protect our intellectual property, obtain, maintain and enforce our intellectual property rights and, more generally, could affect the value of our intellectual property or narrow the scope of our protection. We cannot predict whether the patent applications we or our licensors are currently pursuing will issue as patents in any particular jurisdiction or whether the claims of any issued patents will provide sufficient protection against competitors or other third parties.</w:t>
      </w:r>
    </w:p>
    <w:p>
      <w:pPr>
        <w:pStyle w:val="TextBody"/>
        <w:bidi w:val="0"/>
        <w:spacing w:before="20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patent prosecution process is expensive, time-consuming, and complex, and we and our licensors may not be able to file, prosecute, maintain, enforce, or license all necessary or desirable patent applications at a reasonable cost or in a timely manner. It is also possible that we or our licensors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w:t>
      </w:r>
    </w:p>
    <w:p>
      <w:pPr>
        <w:pStyle w:val="TextBody"/>
        <w:bidi w:val="0"/>
        <w:jc w:val="left"/>
        <w:rPr>
          <w:rFonts w:ascii="Arial" w:hAnsi="Arial"/>
          <w:color w:val="000000"/>
          <w:sz w:val="20"/>
        </w:rPr>
      </w:pPr>
      <w:r>
        <w:rPr>
          <w:rFonts w:ascii="Arial" w:hAnsi="Arial"/>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and in-licensed patent applications may not result in patents being issued which protect our therapeutic programs and other proprietary technologies we may develop or which effectively prevent others from commercializing competitive technologies and products.</w:t>
      </w:r>
    </w:p>
    <w:p>
      <w:pPr>
        <w:pStyle w:val="TextBody"/>
        <w:bidi w:val="0"/>
        <w:jc w:val="left"/>
        <w:rPr>
          <w:rFonts w:ascii="Arial" w:hAnsi="Arial"/>
          <w:color w:val="000000"/>
          <w:sz w:val="20"/>
        </w:rPr>
      </w:pPr>
      <w:r>
        <w:rPr>
          <w:rFonts w:ascii="Arial" w:hAnsi="Arial"/>
          <w:color w:val="000000"/>
          <w:sz w:val="20"/>
        </w:rPr>
        <w:t>Moreover, the claim coverage in a patent application can be significantly reduced before the patent is granted. Even if our owned and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our therapeutic programs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jc w:val="left"/>
        <w:rPr>
          <w:rFonts w:ascii="Arial" w:hAnsi="Arial"/>
          <w:color w:val="000000"/>
          <w:sz w:val="20"/>
        </w:rPr>
      </w:pPr>
      <w:r>
        <w:rPr>
          <w:rFonts w:ascii="Arial" w:hAnsi="Arial"/>
          <w:color w:val="000000"/>
          <w:sz w:val="20"/>
        </w:rPr>
        <w:t>The issuance of a patent is not conclusive as to its inventorship, scope, validity, or enforceability and our owned and in-licensed patents may be challenged in the courts or patent offices in the United States and abroad. We may be subject to a third-party pre-issuance submission of prior art to the USPTO or become involved in opposition, derivation, revocation, reexamination, post-grant and inter partes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pStyle w:val="TextBody"/>
        <w:bidi w:val="0"/>
        <w:jc w:val="left"/>
        <w:rPr>
          <w:rFonts w:ascii="Arial" w:hAnsi="Arial"/>
          <w:color w:val="000000"/>
          <w:sz w:val="20"/>
        </w:rPr>
      </w:pPr>
      <w:r>
        <w:rPr>
          <w:rFonts w:ascii="Arial" w:hAnsi="Arial"/>
          <w:color w:val="000000"/>
          <w:sz w:val="20"/>
        </w:rPr>
        <w:t>Moreover, some of our owned and in-licensed patent rights are, and may in the future be, co-owned with third parties.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pStyle w:val="TextBody"/>
        <w:bidi w:val="0"/>
        <w:jc w:val="left"/>
        <w:rPr>
          <w:rFonts w:ascii="Times New Roman" w:hAnsi="Times New Roman"/>
          <w:sz w:val="20"/>
        </w:rPr>
      </w:pPr>
      <w:r>
        <w:rPr>
          <w:rFonts w:ascii="Arial" w:hAnsi="Arial"/>
          <w:color w:val="000000"/>
          <w:sz w:val="20"/>
        </w:rPr>
        <w:t>Furthermore, our owned and in-licensed patent rights may be subject to a reservation of rights by one or more third parties. For example, the research resulting in certain of our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We may not be able to protect our intellectual property and proprietary rights throughout the world.</w:t>
      </w:r>
    </w:p>
    <w:p>
      <w:pPr>
        <w:pStyle w:val="TextBody"/>
        <w:bidi w:val="0"/>
        <w:jc w:val="left"/>
        <w:rPr>
          <w:rFonts w:ascii="Arial" w:hAnsi="Arial"/>
          <w:color w:val="000000"/>
          <w:sz w:val="20"/>
        </w:rPr>
      </w:pPr>
      <w:r>
        <w:rPr>
          <w:rFonts w:ascii="Arial" w:hAnsi="Arial"/>
          <w:color w:val="000000"/>
          <w:sz w:val="20"/>
        </w:rPr>
        <w:t>Filing, prosecuting and defending patents on our product candidates in all countries throughout the world would be prohibitively expensive, and the laws of foreign countries may not protect our intellectual property rights to the same extent as the laws of the United States.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and in-licensed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pStyle w:val="TextBody"/>
        <w:bidi w:val="0"/>
        <w:jc w:val="left"/>
        <w:rPr>
          <w:rFonts w:ascii="Arial" w:hAnsi="Arial"/>
          <w:color w:val="000000"/>
          <w:sz w:val="20"/>
        </w:rPr>
      </w:pPr>
      <w:r>
        <w:rPr>
          <w:rFonts w:ascii="Arial" w:hAnsi="Arial"/>
          <w:color w:val="000000"/>
          <w:sz w:val="20"/>
        </w:rPr>
        <w:t>Proceedings to enforce our intellectual property and proprietary rights in foreign jurisdictions could result in substantial costs and divert our efforts and attention from other aspects of our business, could put our owned and in-licensed patents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pStyle w:val="TextBody"/>
        <w:bidi w:val="0"/>
        <w:jc w:val="left"/>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currently and may in the future rely on foreign licensors. Such foreign licensors may be subject to US legislation, sanctions, trade restrictions and other foreign regulatory requirements which could have an adverse effect on our ability to secure significant commitments from governments to purchase our potential therapies. For example, the US BIOSECURE Act, which was enacted in December 2025, prohibits the US federal government from procuring or obtaining any biotechnology equipment or service produced or provided by a “a biotechnology company of concern”, or entering into, extending, or renewing a contract with entities that use biotechnology equipment or services produced or provided by a “biotechnology company of concern” in performance of such contract. If our foreign licensors are designated as a “biotechnology company of concern” it could materially impact our ability to collaborate with such foreign licensors without losing the ability to contract with, or otherwise receive funding from, the US government.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jc w:val="left"/>
        <w:rPr>
          <w:rFonts w:ascii="Arial" w:hAnsi="Arial"/>
          <w:color w:val="000000"/>
          <w:sz w:val="20"/>
        </w:rPr>
      </w:pPr>
      <w:r>
        <w:rPr>
          <w:rFonts w:ascii="Arial" w:hAnsi="Arial"/>
          <w:color w:val="000000"/>
          <w:sz w:val="20"/>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There could also be delays at the USPTO caused by staffing cuts and other US government actions as a result of the US Department of Government Efficiency or other executive actions to reduce the size of the US government.</w:t>
      </w:r>
    </w:p>
    <w:p>
      <w:pPr>
        <w:pStyle w:val="TextBody"/>
        <w:bidi w:val="0"/>
        <w:jc w:val="left"/>
        <w:rPr>
          <w:rFonts w:ascii="Arial" w:hAnsi="Arial"/>
          <w:color w:val="000000"/>
          <w:sz w:val="20"/>
        </w:rPr>
      </w:pPr>
      <w:r>
        <w:rPr>
          <w:rFonts w:ascii="Arial" w:hAnsi="Arial"/>
          <w:color w:val="000000"/>
          <w:sz w:val="20"/>
        </w:rPr>
        <w:t>The USPTO and various non-US government agencies 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w:t>
      </w:r>
    </w:p>
    <w:p>
      <w:pPr>
        <w:pStyle w:val="TextBody"/>
        <w:bidi w:val="0"/>
        <w:jc w:val="left"/>
        <w:rPr>
          <w:rFonts w:ascii="Arial" w:hAnsi="Arial"/>
          <w:b/>
          <w:i/>
          <w:color w:val="000000"/>
          <w:sz w:val="20"/>
        </w:rPr>
      </w:pPr>
      <w:r>
        <w:rPr>
          <w:rFonts w:ascii="Arial" w:hAnsi="Arial"/>
          <w:b/>
          <w:i/>
          <w:color w:val="000000"/>
          <w:sz w:val="20"/>
        </w:rPr>
        <w:t>Changes in patent law could diminish the value of patents in general, thereby impairing our ability to protect our products.</w:t>
      </w:r>
    </w:p>
    <w:p>
      <w:pPr>
        <w:pStyle w:val="TextBody"/>
        <w:bidi w:val="0"/>
        <w:jc w:val="left"/>
        <w:rPr>
          <w:rFonts w:ascii="Times New Roman" w:hAnsi="Times New Roman"/>
          <w:sz w:val="20"/>
        </w:rPr>
      </w:pPr>
      <w:r>
        <w:rPr>
          <w:rFonts w:ascii="Arial" w:hAnsi="Arial"/>
          <w:color w:val="000000"/>
          <w:sz w:val="20"/>
        </w:rPr>
        <w:t>Changes in either the patent laws or interpretation of the patent laws in the United States or other countries could increase the uncertainties and costs surrounding the prosecution of patent applications and the enforcement, defense and term of issued patents. In the United States,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either: (i) file any patent application related to our therapeutic programs and other proprietary technologies we may develop, or (ii) invent any of the inventions claimed in our patent applications. Many subsisting issued patents and some pending patent applications remain in the US that were filed prior to enactment of the America Invents Act and are therefore subject to the pre-Leahy-Smith Act US patent laws and that may have relevance to our freedom-to-operate or ability to obtain patent issuances.</w:t>
      </w:r>
    </w:p>
    <w:p>
      <w:pPr>
        <w:pStyle w:val="TextBody"/>
        <w:bidi w:val="0"/>
        <w:jc w:val="left"/>
        <w:rPr>
          <w:rFonts w:ascii="Arial" w:hAnsi="Arial"/>
          <w:color w:val="000000"/>
          <w:sz w:val="20"/>
        </w:rPr>
      </w:pPr>
      <w:r>
        <w:rPr>
          <w:rFonts w:ascii="Arial" w:hAnsi="Arial"/>
          <w:color w:val="000000"/>
          <w:sz w:val="20"/>
        </w:rPr>
        <w:t>The America Invents Act also includes a number of significant changes to US patent law with respect to patent applications filed after March 16, 2013,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w:t>
      </w:r>
    </w:p>
    <w:p>
      <w:pPr>
        <w:pStyle w:val="TextBody"/>
        <w:bidi w:val="0"/>
        <w:jc w:val="left"/>
        <w:rPr>
          <w:rFonts w:ascii="Arial" w:hAnsi="Arial"/>
          <w:color w:val="000000"/>
          <w:sz w:val="20"/>
        </w:rPr>
      </w:pPr>
      <w:r>
        <w:rPr>
          <w:rFonts w:ascii="Arial" w:hAnsi="Arial"/>
          <w:color w:val="000000"/>
          <w:sz w:val="20"/>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and similar authorities in foreign jurisdictions, the laws and regulations governing patents could change in unpredictable ways that could have a material adverse effect on our existing patent portfolio and our ability to protect and enforce our intellectual property in the future. For example, in June 2023, the European Patent Package (the EU Patent Package) regulations were implemented with the goal of providing a single pan-European Unitary Patent and a new European Unified Patent Court (the UPC) for litigation involving European patents. As a result, all European patents, including those issued prior to ratification of the EU Patent Package, will by default automatically fall under the jurisdiction of the UPC, which has become a common forum for challenging patents in the pharmaceutical space. We may opt our European patents out of the UPC during first seven years of the UPC’s existence, but doing so may preclude us from realizing the benefits of the new unified court. Moreover, if we do not meet all of the formalities and requirements for opt-out under the UPC, our current or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and, resultantly, on our business, financial condition, prospects and results of operations.</w:t>
      </w:r>
    </w:p>
    <w:p>
      <w:pPr>
        <w:pStyle w:val="TextBody"/>
        <w:bidi w:val="0"/>
        <w:jc w:val="left"/>
        <w:rPr>
          <w:rFonts w:ascii="Arial" w:hAnsi="Arial"/>
          <w:b/>
          <w:i/>
          <w:color w:val="000000"/>
          <w:sz w:val="20"/>
        </w:rPr>
      </w:pPr>
      <w:r>
        <w:rPr>
          <w:rFonts w:ascii="Arial" w:hAnsi="Arial"/>
          <w:b/>
          <w:i/>
          <w:color w:val="000000"/>
          <w:sz w:val="20"/>
        </w:rPr>
        <w:t>Issued patents covering our product candidates could be found invalid or unenforceable if challenged in court or before administrative bodies in the United States or abroad.</w:t>
      </w:r>
    </w:p>
    <w:p>
      <w:pPr>
        <w:pStyle w:val="TextBody"/>
        <w:bidi w:val="0"/>
        <w:jc w:val="left"/>
        <w:rPr>
          <w:rFonts w:ascii="Arial" w:hAnsi="Arial"/>
          <w:color w:val="000000"/>
          <w:sz w:val="20"/>
        </w:rPr>
      </w:pPr>
      <w:r>
        <w:rPr>
          <w:rFonts w:ascii="Arial" w:hAnsi="Arial"/>
          <w:color w:val="000000"/>
          <w:sz w:val="20"/>
        </w:rPr>
        <w:t>If we or our licensors initiated legal proceedings against a third party to enforce a patent covering our product candidates,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lack of sufficient written description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derivation proceedings, and equivalent proceedings in foreign jurisdictions (e.g., opposition proceedings). Such proceedings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pStyle w:val="TextBody"/>
        <w:bidi w:val="0"/>
        <w:spacing w:before="20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Patent terms may be inadequate to protect our competitive position on products and product candidates for an adequate amount of time.</w:t>
      </w:r>
    </w:p>
    <w:p>
      <w:pPr>
        <w:pStyle w:val="TextBody"/>
        <w:bidi w:val="0"/>
        <w:jc w:val="left"/>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in-licensed patent portfolio may not provide us with sufficient rights to exclude others from commercializing products similar or identical to ours.</w:t>
      </w:r>
    </w:p>
    <w:p>
      <w:pPr>
        <w:pStyle w:val="TextBody"/>
        <w:bidi w:val="0"/>
        <w:jc w:val="left"/>
        <w:rPr>
          <w:rFonts w:ascii="Arial" w:hAnsi="Arial"/>
          <w:b/>
          <w:i/>
          <w:color w:val="000000"/>
          <w:sz w:val="20"/>
        </w:rPr>
      </w:pPr>
      <w:r>
        <w:rPr>
          <w:rFonts w:ascii="Arial" w:hAnsi="Arial"/>
          <w:b/>
          <w:i/>
          <w:color w:val="000000"/>
          <w:sz w:val="20"/>
        </w:rPr>
        <w:t>If we do not obtain patent term extension for our product candidates, our business may be materially harmed.</w:t>
      </w:r>
    </w:p>
    <w:p>
      <w:pPr>
        <w:pStyle w:val="TextBody"/>
        <w:bidi w:val="0"/>
        <w:jc w:val="left"/>
        <w:rPr>
          <w:rFonts w:ascii="Arial" w:hAnsi="Arial"/>
          <w:color w:val="000000"/>
          <w:sz w:val="20"/>
        </w:rPr>
      </w:pPr>
      <w:r>
        <w:rPr>
          <w:rFonts w:ascii="Arial" w:hAnsi="Arial"/>
          <w:color w:val="000000"/>
          <w:sz w:val="20"/>
        </w:rPr>
        <w:t>Depending upon the timing, duration and specifics of any FDA marketing approval of any of our product candidates, one or more of our owned and in-licensed issued US patents may be eligible for limited patent term extension under the Drug Price Competition and Patent Term Restoration Action of 1984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left"/>
        <w:rPr>
          <w:rFonts w:ascii="Arial" w:hAnsi="Arial"/>
          <w:b/>
          <w:i/>
          <w:color w:val="000000"/>
          <w:sz w:val="20"/>
        </w:rPr>
      </w:pPr>
      <w:r>
        <w:rPr>
          <w:rFonts w:ascii="Arial" w:hAnsi="Arial"/>
          <w:b/>
          <w:i/>
          <w:color w:val="000000"/>
          <w:sz w:val="20"/>
        </w:rPr>
        <w:t>We may be subject to claims challenging the inventorship of our patents and other intellectual property.</w:t>
      </w:r>
    </w:p>
    <w:p>
      <w:pPr>
        <w:pStyle w:val="TextBody"/>
        <w:bidi w:val="0"/>
        <w:jc w:val="left"/>
        <w:rPr>
          <w:rFonts w:ascii="Arial" w:hAnsi="Arial"/>
          <w:color w:val="000000"/>
          <w:sz w:val="20"/>
        </w:rPr>
      </w:pPr>
      <w:r>
        <w:rPr>
          <w:rFonts w:ascii="Arial" w:hAnsi="Arial"/>
          <w:color w:val="000000"/>
          <w:sz w:val="20"/>
        </w:rPr>
        <w:t>We may be subject to claims that former employees, collaborators or other third parties have an interest in our patent rights, trade secrets, or other intellectual property as an inventor or co-inventor. For example, we may have inventorship disputes arise from conflicting obligations of consultants or others who are involved in developing our therapeutic programs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right to use, intellectual property that is important to our therapeutic programs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sz w:val="20"/>
        </w:rPr>
      </w:pPr>
      <w:r>
        <w:rPr>
          <w:rFonts w:ascii="Arial" w:hAnsi="Arial"/>
          <w:color w:val="000000"/>
          <w:sz w:val="20"/>
        </w:rPr>
        <w:t>In addition to seeking patent protection for our product candidates, we also rely on trade secrets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CMOs,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jc w:val="left"/>
        <w:rPr>
          <w:rFonts w:ascii="Arial" w:hAnsi="Arial"/>
          <w:color w:val="000000"/>
          <w:sz w:val="20"/>
        </w:rPr>
      </w:pPr>
      <w:r>
        <w:rPr>
          <w:rFonts w:ascii="Arial" w:hAnsi="Arial"/>
          <w:color w:val="000000"/>
          <w:sz w:val="20"/>
        </w:rPr>
        <w:t>We may be subject to claims that third parties have an ownership interest in our trade secrets. For example, we may have disputes arise from conflicting obligations of our employees, consultants or others who are involved in developing our product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jc w:val="left"/>
        <w:rPr>
          <w:rFonts w:ascii="Arial" w:hAnsi="Arial"/>
          <w:color w:val="000000"/>
          <w:sz w:val="20"/>
        </w:rPr>
      </w:pPr>
      <w:r>
        <w:rPr>
          <w:rFonts w:ascii="Arial" w:hAnsi="Arial"/>
          <w:color w:val="000000"/>
          <w:sz w:val="20"/>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pStyle w:val="TextBody"/>
        <w:bidi w:val="0"/>
        <w:jc w:val="left"/>
        <w:rPr>
          <w:rFonts w:ascii="Arial" w:hAnsi="Arial"/>
          <w:color w:val="000000"/>
          <w:sz w:val="20"/>
        </w:rPr>
      </w:pPr>
      <w:r>
        <w:rPr>
          <w:rFonts w:ascii="Arial" w:hAnsi="Arial"/>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We may not identify relevant third-party patents or may incorrectly interpret the relevance, scope or expiration of a third-party patent, which might adversely affect our ability to develop and market our products and product candidates.</w:t>
      </w:r>
    </w:p>
    <w:p>
      <w:pPr>
        <w:pStyle w:val="TextBody"/>
        <w:bidi w:val="0"/>
        <w:jc w:val="left"/>
        <w:rPr>
          <w:rFonts w:ascii="Arial" w:hAnsi="Arial"/>
          <w:color w:val="000000"/>
          <w:sz w:val="20"/>
        </w:rPr>
      </w:pPr>
      <w:r>
        <w:rPr>
          <w:rFonts w:ascii="Arial" w:hAnsi="Arial"/>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and future products and product candidates in any jurisdiction. The scope of a patent claim is determined by an interpretation of the law,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Any of the foregoing could have a material adverse effect on our business, financial condition, results of operations and prospects.</w:t>
      </w:r>
    </w:p>
    <w:p>
      <w:pPr>
        <w:pStyle w:val="TextBody"/>
        <w:bidi w:val="0"/>
        <w:spacing w:before="20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Third-party claims of intellectual property infringement, misappropriation or other violations against us or our collaborators may prevent or delay the development and commercialization of our product candidates.</w:t>
      </w:r>
    </w:p>
    <w:p>
      <w:pPr>
        <w:pStyle w:val="TextBody"/>
        <w:bidi w:val="0"/>
        <w:jc w:val="left"/>
        <w:rPr>
          <w:rFonts w:ascii="Arial" w:hAnsi="Arial"/>
          <w:color w:val="000000"/>
          <w:sz w:val="20"/>
        </w:rPr>
      </w:pPr>
      <w:r>
        <w:rPr>
          <w:rFonts w:ascii="Arial" w:hAnsi="Arial"/>
          <w:color w:val="000000"/>
          <w:sz w:val="20"/>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inter partes review and post-grant review have also been implemented. As stated above, this reform adds uncertainty to the possibility of challenge to our owned and in-licensed patents in the future.</w:t>
      </w:r>
    </w:p>
    <w:p>
      <w:pPr>
        <w:pStyle w:val="TextBody"/>
        <w:bidi w:val="0"/>
        <w:jc w:val="left"/>
        <w:rPr>
          <w:rFonts w:ascii="Arial" w:hAnsi="Arial"/>
          <w:color w:val="000000"/>
          <w:sz w:val="20"/>
        </w:rPr>
      </w:pPr>
      <w:r>
        <w:rPr>
          <w:rFonts w:ascii="Arial" w:hAnsi="Arial"/>
          <w:color w:val="000000"/>
          <w:sz w:val="20"/>
        </w:rPr>
        <w:t>Numerous US and foreign 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that our therapeutic and diagnostic programs and commercializing activities may give rise to claims of infringement of the patent rights of others increases. We cannot assure you that our therapeutic programs and other proprietary technologies we may develop will not infringe existing or future patents owned by third parties. We may not be aware of patents that have already been issued and that a third party, including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products or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pStyle w:val="TextBody"/>
        <w:bidi w:val="0"/>
        <w:jc w:val="left"/>
        <w:rPr>
          <w:rFonts w:ascii="Arial" w:hAnsi="Arial"/>
          <w:color w:val="000000"/>
          <w:sz w:val="20"/>
        </w:rPr>
      </w:pPr>
      <w:r>
        <w:rPr>
          <w:rFonts w:ascii="Arial" w:hAnsi="Arial"/>
          <w:color w:val="000000"/>
          <w:sz w:val="20"/>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pStyle w:val="TextBody"/>
        <w:bidi w:val="0"/>
        <w:jc w:val="left"/>
        <w:rPr>
          <w:rFonts w:ascii="Arial" w:hAnsi="Arial"/>
          <w:color w:val="000000"/>
          <w:sz w:val="20"/>
        </w:rPr>
      </w:pPr>
      <w:r>
        <w:rPr>
          <w:rFonts w:ascii="Arial" w:hAnsi="Arial"/>
          <w:color w:val="000000"/>
          <w:sz w:val="20"/>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legal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pStyle w:val="TextBody"/>
        <w:bidi w:val="0"/>
        <w:spacing w:before="20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may become involved in lawsuits to protect or enforce our owned and in-licensed patents and other intellectual property rights, which could be expensive, time-consuming and unsuccessful.</w:t>
      </w:r>
    </w:p>
    <w:p>
      <w:pPr>
        <w:pStyle w:val="TextBody"/>
        <w:bidi w:val="0"/>
        <w:jc w:val="left"/>
        <w:rPr>
          <w:rFonts w:ascii="Arial" w:hAnsi="Arial"/>
          <w:color w:val="000000"/>
          <w:sz w:val="20"/>
        </w:rPr>
      </w:pPr>
      <w:r>
        <w:rPr>
          <w:rFonts w:ascii="Arial" w:hAnsi="Arial"/>
          <w:color w:val="000000"/>
          <w:sz w:val="20"/>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jc w:val="left"/>
        <w:rPr>
          <w:rFonts w:ascii="Arial" w:hAnsi="Arial"/>
          <w:color w:val="000000"/>
          <w:sz w:val="20"/>
        </w:rPr>
      </w:pPr>
      <w:r>
        <w:rPr>
          <w:rFonts w:ascii="Arial" w:hAnsi="Arial"/>
          <w:color w:val="000000"/>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jc w:val="left"/>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rFonts w:ascii="Arial" w:hAnsi="Arial"/>
          <w:color w:val="000000"/>
          <w:sz w:val="20"/>
        </w:rPr>
      </w:pPr>
      <w:r>
        <w:rPr>
          <w:rFonts w:ascii="Arial" w:hAnsi="Arial"/>
          <w:color w:val="000000"/>
          <w:sz w:val="20"/>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jc w:val="left"/>
        <w:rPr>
          <w:rFonts w:ascii="Arial" w:hAnsi="Arial"/>
          <w:color w:val="000000"/>
          <w:sz w:val="20"/>
        </w:rPr>
      </w:pPr>
      <w:r>
        <w:rPr>
          <w:rFonts w:ascii="Arial" w:hAnsi="Arial"/>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20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Intellectual property rights do not necessarily address all potential threats.</w:t>
      </w:r>
    </w:p>
    <w:p>
      <w:pPr>
        <w:pStyle w:val="TextBody"/>
        <w:bidi w:val="0"/>
        <w:jc w:val="left"/>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or our licensors or collaborators might not have been the first to make the inventions covered by our current or future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or our licensors or collaborators might not have been the first to file patent applications covering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it is possible that the pending and future patent applications we own or in-license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issued patents that we own or in-license may be held invalid or unenforceable, including as a result of legal challenges by our competitors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fail to identify potential patentable subject matter and/or may fail to file on it;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patents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choose not to file for patent protection in order to maintain certain trade secrets or know-how, and a third party may subsequently file a patent application covering such intellectual property.</w:t>
      </w:r>
    </w:p>
    <w:p>
      <w:pPr>
        <w:pStyle w:val="TextBody"/>
        <w:bidi w:val="0"/>
        <w:jc w:val="left"/>
        <w:rPr>
          <w:rFonts w:ascii="Arial" w:hAnsi="Arial"/>
          <w:color w:val="000000"/>
          <w:sz w:val="20"/>
        </w:rPr>
      </w:pPr>
      <w:r>
        <w:rPr>
          <w:rFonts w:ascii="Arial" w:hAnsi="Arial"/>
          <w:color w:val="000000"/>
          <w:sz w:val="20"/>
        </w:rPr>
        <w:t>Should any of the foregoing occur, it could adversely affect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pStyle w:val="TextBody"/>
        <w:bidi w:val="0"/>
        <w:jc w:val="left"/>
        <w:rPr>
          <w:rFonts w:ascii="Arial" w:hAnsi="Arial"/>
          <w:color w:val="000000"/>
          <w:sz w:val="20"/>
        </w:rPr>
      </w:pPr>
      <w:r>
        <w:rPr>
          <w:rFonts w:ascii="Arial" w:hAnsi="Arial"/>
          <w:color w:val="000000"/>
          <w:sz w:val="20"/>
        </w:rPr>
        <w:t>We are dependent, in part, on patents, know-how and proprietary technology licensed from others. We are a party to a number of license agreements under which we are granted rights to intellectual property that are important to our business and we may enter into additional license agreements in the future. Our existing license agreements impose,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develop or market products covered by the license.</w:t>
      </w:r>
    </w:p>
    <w:p>
      <w:pPr>
        <w:pStyle w:val="TextBody"/>
        <w:bidi w:val="0"/>
        <w:jc w:val="left"/>
        <w:rPr>
          <w:rFonts w:ascii="Arial" w:hAnsi="Arial"/>
          <w:color w:val="000000"/>
          <w:sz w:val="20"/>
        </w:rPr>
      </w:pPr>
      <w:r>
        <w:rPr>
          <w:rFonts w:ascii="Arial" w:hAnsi="Arial"/>
          <w:color w:val="000000"/>
          <w:sz w:val="20"/>
        </w:rPr>
        <w:t>If we or our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before="20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w:t>
      </w:r>
    </w:p>
    <w:p>
      <w:pPr>
        <w:pStyle w:val="TextBody"/>
        <w:bidi w:val="0"/>
        <w:jc w:val="left"/>
        <w:rPr>
          <w:rFonts w:ascii="Arial" w:hAnsi="Arial"/>
          <w:color w:val="000000"/>
          <w:sz w:val="20"/>
        </w:rPr>
      </w:pPr>
      <w:r>
        <w:rPr>
          <w:rFonts w:ascii="Arial" w:hAnsi="Arial"/>
          <w:color w:val="000000"/>
          <w:sz w:val="20"/>
        </w:rPr>
        <w:t>If disputes over intellectual property that we have licensed prevent or impair our ability to maintain our current licensing arrangements on reasonable terms, we may be unable to successfully develop and commercialize the affected technology or product candidates. As a result, any termination of or disputes over our intellectual property licenses could result in the loss of our ability to develop and commercialize our product candidates, or we could lose other significant rights, any of which could have a material adverse effect on our business, financial condition, results of operations and prospects.</w:t>
      </w:r>
    </w:p>
    <w:p>
      <w:pPr>
        <w:pStyle w:val="TextBody"/>
        <w:bidi w:val="0"/>
        <w:jc w:val="left"/>
        <w:rPr>
          <w:rFonts w:ascii="Arial" w:hAnsi="Arial"/>
          <w:color w:val="000000"/>
          <w:sz w:val="20"/>
        </w:rPr>
      </w:pPr>
      <w:r>
        <w:rPr>
          <w:rFonts w:ascii="Arial" w:hAnsi="Arial"/>
          <w:color w:val="000000"/>
          <w:sz w:val="20"/>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product candidates or maintain our competitive advantage, we may need to obtain a license from such third party in order to use the improvements and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jc w:val="left"/>
        <w:rPr>
          <w:rFonts w:ascii="Arial" w:hAnsi="Arial"/>
          <w:b/>
          <w:i/>
          <w:color w:val="000000"/>
          <w:sz w:val="20"/>
        </w:rPr>
      </w:pPr>
      <w:r>
        <w:rPr>
          <w:rFonts w:ascii="Arial" w:hAnsi="Arial"/>
          <w:b/>
          <w:i/>
          <w:color w:val="000000"/>
          <w:sz w:val="20"/>
        </w:rPr>
        <w:t>We may not be successful in obtaining or maintaining necessary rights to product components and processes for our development pipeline through acquisitions and in-licenses.</w:t>
      </w:r>
    </w:p>
    <w:p>
      <w:pPr>
        <w:pStyle w:val="TextBody"/>
        <w:bidi w:val="0"/>
        <w:jc w:val="left"/>
        <w:rPr>
          <w:rFonts w:ascii="Arial" w:hAnsi="Arial"/>
          <w:color w:val="000000"/>
          <w:sz w:val="20"/>
        </w:rPr>
      </w:pPr>
      <w:r>
        <w:rPr>
          <w:rFonts w:ascii="Arial" w:hAnsi="Arial"/>
          <w:color w:val="000000"/>
          <w:sz w:val="20"/>
        </w:rPr>
        <w:t>The growth of our business may depend in part on our ability to acquire, in-license or use third-party proprietary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pStyle w:val="TextBody"/>
        <w:bidi w:val="0"/>
        <w:spacing w:before="20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pStyle w:val="TextBody"/>
        <w:bidi w:val="0"/>
        <w:jc w:val="left"/>
        <w:rPr>
          <w:rFonts w:ascii="Arial" w:hAnsi="Arial"/>
          <w:color w:val="000000"/>
          <w:sz w:val="20"/>
        </w:rPr>
      </w:pPr>
      <w:r>
        <w:rPr>
          <w:rFonts w:ascii="Arial" w:hAnsi="Arial"/>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pStyle w:val="TextBody"/>
        <w:bidi w:val="0"/>
        <w:jc w:val="left"/>
        <w:rPr>
          <w:rFonts w:ascii="Arial" w:hAnsi="Arial"/>
          <w:b/>
          <w:i/>
          <w:color w:val="000000"/>
          <w:sz w:val="20"/>
        </w:rPr>
      </w:pPr>
      <w:r>
        <w:rPr>
          <w:rFonts w:ascii="Arial" w:hAnsi="Arial"/>
          <w:b/>
          <w:i/>
          <w:color w:val="000000"/>
          <w:sz w:val="20"/>
        </w:rPr>
        <w:t>We and our service providers may be subject to a variety of data privacy and security laws and contractual obligations, which could increase compliance costs and our actual or perceived failure to comply with them could subject us to potentially significant fines or penalties, harm our reputation and otherwise adversely affect our business, results of operations, and financial condition.</w:t>
      </w:r>
    </w:p>
    <w:p>
      <w:pPr>
        <w:pStyle w:val="TextBody"/>
        <w:bidi w:val="0"/>
        <w:jc w:val="left"/>
        <w:rPr>
          <w:rFonts w:ascii="Times New Roman" w:hAnsi="Times New Roman"/>
          <w:sz w:val="20"/>
        </w:rPr>
      </w:pPr>
      <w:r>
        <w:rPr>
          <w:rFonts w:ascii="Arial" w:hAnsi="Arial"/>
          <w:color w:val="000000"/>
          <w:sz w:val="20"/>
        </w:rPr>
        <w:t>We maintain a large quantity of sensitive information, including confidential business and health-related information in connection with our preclinical studies, and are subject to laws and regulations governing the privacy and security of such information. The global data protection landscape is rapidly evolving, and we may be affected by or subject to new, amended or existing laws and regulations in the future, including as our operations continue to expand or if we operate in foreign jurisdictions. This evolution may create uncertainty in our business, and could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the United States, there are numerous federal and state data privacy and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By way of example, HIPAA imposes privacy and security requirements and breach reporting obligations upon “covered entities” (health plans, health care clearinghouses and certain health care providers), and their respective business associates and subcontractors, individuals or entities that create, receive, maintain or transmit protected health information in connection with providing a service for or on behalf of a covered entity, as well as their covered subcontractors.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jc w:val="left"/>
        <w:rPr>
          <w:rFonts w:ascii="Times New Roman" w:hAnsi="Times New Roman"/>
          <w:sz w:val="20"/>
        </w:rPr>
      </w:pPr>
      <w:r>
        <w:rPr>
          <w:rFonts w:ascii="Arial" w:hAnsi="Arial"/>
          <w:color w:val="000000"/>
          <w:sz w:val="20"/>
        </w:rPr>
        <w:t>In addition, certain states have also adopted comprehensive and health-specific data privacy and security laws and regulations governing the privacy, processing and protection of personal information, some of which are more stringent than HIPAA.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are already in effect in other states, reflecting a trend toward more stringent privacy-related regulation in the United States. The enactment of such laws creates a patchwork of overlapping, but different and</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potentially conflicting, requirements that may make compliance challenging. Furthermore, the FTC and many state Attorneys General continue to enforce federal and state consumer protection laws against companies in relation to a variety of data privacy and security issues. Compliance with potentially applicable data privacy laws will likely involve significant expenditure and resources, and any failure or perceived failure to comply with the requirements of these laws could adversely affect our business, results of operations, and financial condition.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jc w:val="left"/>
        <w:rPr>
          <w:rFonts w:ascii="Times New Roman" w:hAnsi="Times New Roman"/>
          <w:sz w:val="20"/>
        </w:rPr>
      </w:pPr>
      <w:r>
        <w:rPr>
          <w:rFonts w:ascii="Arial" w:hAnsi="Arial"/>
          <w:color w:val="000000"/>
          <w:sz w:val="20"/>
        </w:rPr>
        <w:t>In Europe, the European Union General Data Protection Regulation (EU GDPR) and the United Kingdom General Data Protection Regulation and Data Protection Act (UK GDPR and together with the EU GDPR, GDPR) govern the collection, use, disclosure, transfer or other processing of personal information of individuals within the EEA.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addition, the GDPR increases the scrutiny of transfers of personal data from the EEA and UK to the US and other jurisdictions that the European Commission does not recognize as having “adequate” data protection laws. Reliance on standard contractual clauses (SCCs) alone may not be sufficient in all circumstances, and we expect the existing legal complexity and uncertainty regarding international personal data transfers, in particular to the US, to continue. As regulatory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results of operations, and financial condition.</w:t>
      </w:r>
    </w:p>
    <w:p>
      <w:pPr>
        <w:pStyle w:val="TextBody"/>
        <w:bidi w:val="0"/>
        <w:jc w:val="left"/>
        <w:rPr>
          <w:rFonts w:ascii="Arial" w:hAnsi="Arial"/>
          <w:color w:val="000000"/>
          <w:sz w:val="20"/>
        </w:rPr>
      </w:pPr>
      <w:r>
        <w:rPr>
          <w:rFonts w:ascii="Arial" w:hAnsi="Arial"/>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cybersecurity concerns, even if unfounded, could result in additional cost and liability to us, damage our reputation, and materially adversely affect our business, results of operations, and financial condition.</w:t>
      </w:r>
    </w:p>
    <w:p>
      <w:pPr>
        <w:pStyle w:val="TextBody"/>
        <w:bidi w:val="0"/>
        <w:jc w:val="left"/>
        <w:rPr>
          <w:rFonts w:ascii="Arial" w:hAnsi="Arial"/>
          <w:b/>
          <w:color w:val="000000"/>
          <w:sz w:val="20"/>
        </w:rPr>
      </w:pPr>
      <w:r>
        <w:rPr>
          <w:rFonts w:ascii="Arial" w:hAnsi="Arial"/>
          <w:b/>
          <w:color w:val="000000"/>
          <w:sz w:val="20"/>
        </w:rPr>
        <w:t>Risks related to ownership of our common stock</w:t>
      </w:r>
    </w:p>
    <w:p>
      <w:pPr>
        <w:pStyle w:val="TextBody"/>
        <w:bidi w:val="0"/>
        <w:jc w:val="left"/>
        <w:rPr>
          <w:rFonts w:ascii="Arial" w:hAnsi="Arial"/>
          <w:b/>
          <w:i/>
          <w:color w:val="000000"/>
          <w:sz w:val="20"/>
        </w:rPr>
      </w:pPr>
      <w:r>
        <w:rPr>
          <w:rFonts w:ascii="Arial" w:hAnsi="Arial"/>
          <w:b/>
          <w:i/>
          <w:color w:val="000000"/>
          <w:sz w:val="20"/>
        </w:rPr>
        <w:t>The trading price of the shares of our common stock has been, and is likely to continue to be highly volatile, and purchasers of our common stock could incur substantial losses.</w:t>
      </w:r>
    </w:p>
    <w:p>
      <w:pPr>
        <w:pStyle w:val="TextBody"/>
        <w:bidi w:val="0"/>
        <w:jc w:val="left"/>
        <w:rPr>
          <w:rFonts w:ascii="Times New Roman" w:hAnsi="Times New Roman"/>
          <w:sz w:val="20"/>
        </w:rPr>
      </w:pPr>
      <w:r>
        <w:rPr>
          <w:rFonts w:ascii="Arial" w:hAnsi="Arial"/>
          <w:color w:val="000000"/>
          <w:sz w:val="20"/>
        </w:rPr>
        <w:t>Our stock price has been, and is likely to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results of our clinical trials and preclinical studies, and the results of trials of our competitors or those of other companies in our market sector;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enroll subjects in our future clinical trials;</w:t>
      </w:r>
    </w:p>
    <w:p>
      <w:pPr>
        <w:pStyle w:val="TextBody"/>
        <w:bidi w:val="0"/>
        <w:spacing w:before="20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approval of our product candidates, or limitations to specific label indications or patient populations for its use, or changes or delays in the regulatory review process;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or failure of our efforts to develop, acquire or 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innovations, clinical trial results, product approvals and other developments regarding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announcements by us or our competitors of significant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manufacturing, supply or distribution delays or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changes to our relationship with any manufacturers, suppliers, collaborators or other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achievement of expected product sales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variations in our financial results or those of companies that are perceived to be similar to us, or fluctuations in the valuation of such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market conditions in the biopharmaceutical sector and issuance of securities analysts’ reports or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inability to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sales of our stock by us, our insiders and our other stockholders;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any natural disasters or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industry, geopolitical and market conditions and other events or factors, many of which are beyond our control, such as inflation and interest rate changes and financial institution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intellectual property, product liability or other litigation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our capital structure, such as future issuances of securities and the incurrence of additional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accounting standards, policies, guidelines, interpretations or principles.</w:t>
      </w:r>
    </w:p>
    <w:p>
      <w:pPr>
        <w:pStyle w:val="TextBody"/>
        <w:bidi w:val="0"/>
        <w:jc w:val="left"/>
        <w:rPr>
          <w:rFonts w:ascii="Arial" w:hAnsi="Arial"/>
          <w:color w:val="000000"/>
          <w:sz w:val="20"/>
        </w:rPr>
      </w:pPr>
      <w:r>
        <w:rPr>
          <w:rFonts w:ascii="Arial" w:hAnsi="Arial"/>
          <w:color w:val="000000"/>
          <w:sz w:val="20"/>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our management’s attention and resources, which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An active, liquid trading market for our common stock may not be maintained.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can provide no assurance that we will be able to maintain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bidi w:val="0"/>
        <w:spacing w:before="20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executive officers, directors and principal stockholders, if they choose to act together, will continue to have the ability to significantly influence all matters submitted to stockholders for approval.</w:t>
      </w:r>
    </w:p>
    <w:p>
      <w:pPr>
        <w:pStyle w:val="TextBody"/>
        <w:bidi w:val="0"/>
        <w:jc w:val="left"/>
        <w:rPr>
          <w:rFonts w:ascii="Arial" w:hAnsi="Arial"/>
          <w:color w:val="000000"/>
          <w:sz w:val="20"/>
        </w:rPr>
      </w:pPr>
      <w:r>
        <w:rPr>
          <w:rFonts w:ascii="Arial" w:hAnsi="Arial"/>
          <w:color w:val="000000"/>
          <w:sz w:val="20"/>
        </w:rPr>
        <w:t>As of December 31, 2025, our executive officers, directors and greater than 5% stockholders, in the aggregate, owned approximately 39%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pStyle w:val="TextBody"/>
        <w:bidi w:val="0"/>
        <w:jc w:val="left"/>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jc w:val="left"/>
        <w:rPr>
          <w:rFonts w:ascii="Arial" w:hAnsi="Arial"/>
          <w:color w:val="000000"/>
          <w:sz w:val="20"/>
        </w:rPr>
      </w:pPr>
      <w:r>
        <w:rPr>
          <w:rFonts w:ascii="Arial" w:hAnsi="Arial"/>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jc w:val="left"/>
        <w:rPr>
          <w:rFonts w:ascii="Arial" w:hAnsi="Arial"/>
          <w:b/>
          <w:i/>
          <w:color w:val="000000"/>
          <w:sz w:val="20"/>
        </w:rPr>
      </w:pPr>
      <w:r>
        <w:rPr>
          <w:rFonts w:ascii="Arial" w:hAnsi="Arial"/>
          <w:b/>
          <w:i/>
          <w:color w:val="000000"/>
          <w:sz w:val="20"/>
        </w:rPr>
        <w:t>Sales of a substantial number of shares of our common stock by our existing stockholders in the public market could cause our stock price to fall.</w:t>
      </w:r>
    </w:p>
    <w:p>
      <w:pPr>
        <w:pStyle w:val="TextBody"/>
        <w:bidi w:val="0"/>
        <w:jc w:val="left"/>
        <w:rPr>
          <w:rFonts w:ascii="Arial" w:hAnsi="Arial"/>
          <w:color w:val="000000"/>
          <w:sz w:val="20"/>
        </w:rPr>
      </w:pPr>
      <w:r>
        <w:rPr>
          <w:rFonts w:ascii="Arial" w:hAnsi="Arial"/>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jc w:val="left"/>
        <w:rPr>
          <w:rFonts w:ascii="Arial" w:hAnsi="Arial"/>
          <w:color w:val="000000"/>
          <w:sz w:val="20"/>
        </w:rPr>
      </w:pPr>
      <w:r>
        <w:rPr>
          <w:rFonts w:ascii="Arial" w:hAnsi="Arial"/>
          <w:color w:val="000000"/>
          <w:sz w:val="20"/>
        </w:rPr>
        <w:t>The holders of 71,263,685 shares of our outstanding common stock, or approximately 25.1% of our total outstanding common stock as of December 31, 2025,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or the registration of such shares, could have a material adverse effect on the trading price of our common stock.</w:t>
      </w:r>
    </w:p>
    <w:p>
      <w:pPr>
        <w:pStyle w:val="TextBody"/>
        <w:bidi w:val="0"/>
        <w:jc w:val="left"/>
        <w:rPr>
          <w:rFonts w:ascii="Arial" w:hAnsi="Arial"/>
          <w:b/>
          <w:i/>
          <w:color w:val="000000"/>
          <w:sz w:val="20"/>
        </w:rPr>
      </w:pPr>
      <w:r>
        <w:rPr>
          <w:rFonts w:ascii="Arial" w:hAnsi="Arial"/>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jc w:val="left"/>
        <w:rPr>
          <w:rFonts w:ascii="Times New Roman" w:hAnsi="Times New Roman"/>
          <w:sz w:val="20"/>
        </w:rPr>
      </w:pPr>
      <w:r>
        <w:rPr>
          <w:rFonts w:ascii="Arial" w:hAnsi="Arial"/>
          <w:color w:val="000000"/>
          <w:sz w:val="20"/>
        </w:rPr>
        <w:t>We are an emerging growth company, as defined in the Jumpstart Our Business Startups Act of 2012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under the Exchange Act, our annual gross revenue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being required to comply with the auditor attestation requirements in the assessment of our internal control over financial reporting pursuant to the Sarbanes-Oxley Act of 2002 (Sarbanes-Oxley);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reduced disclosure obligations regarding executive compensation; and</w:t>
      </w:r>
    </w:p>
    <w:p>
      <w:pPr>
        <w:pStyle w:val="TextBody"/>
        <w:bidi w:val="0"/>
        <w:spacing w:before="20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exemptions from the requirements of holding a nonbinding advisory vote on executive compensation and shareholder approval of any golden parachute payments not previously approved.</w:t>
      </w:r>
    </w:p>
    <w:p>
      <w:pPr>
        <w:pStyle w:val="TextBody"/>
        <w:bidi w:val="0"/>
        <w:jc w:val="left"/>
        <w:rPr>
          <w:rFonts w:ascii="Arial" w:hAnsi="Arial"/>
          <w:color w:val="000000"/>
          <w:sz w:val="20"/>
        </w:rPr>
      </w:pPr>
      <w:r>
        <w:rPr>
          <w:rFonts w:ascii="Arial" w:hAnsi="Arial"/>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will not be subject to the same new or revised accounting standards as other public companies that are not emerging growth companies.</w:t>
      </w:r>
    </w:p>
    <w:p>
      <w:pPr>
        <w:pStyle w:val="TextBody"/>
        <w:bidi w:val="0"/>
        <w:jc w:val="left"/>
        <w:rPr>
          <w:rFonts w:ascii="Arial" w:hAnsi="Arial"/>
          <w:color w:val="000000"/>
          <w:sz w:val="20"/>
        </w:rPr>
      </w:pPr>
      <w:r>
        <w:rPr>
          <w:rFonts w:ascii="Arial" w:hAnsi="Arial"/>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jc w:val="left"/>
        <w:rPr>
          <w:rFonts w:ascii="Arial" w:hAnsi="Arial"/>
          <w:b/>
          <w:i/>
          <w:color w:val="000000"/>
          <w:sz w:val="20"/>
        </w:rPr>
      </w:pPr>
      <w:r>
        <w:rPr>
          <w:rFonts w:ascii="Arial" w:hAnsi="Arial"/>
          <w:b/>
          <w:i/>
          <w:color w:val="000000"/>
          <w:sz w:val="20"/>
        </w:rPr>
        <w:t>Provisions in our charter documents and under Delaware law could discourage a takeover that stockholders may consider favorable and may lead to entrenchment of management.</w:t>
      </w:r>
    </w:p>
    <w:p>
      <w:pPr>
        <w:pStyle w:val="TextBody"/>
        <w:bidi w:val="0"/>
        <w:jc w:val="left"/>
        <w:rPr>
          <w:rFonts w:ascii="Times New Roman" w:hAnsi="Times New Roman"/>
          <w:sz w:val="20"/>
        </w:rPr>
      </w:pPr>
      <w:r>
        <w:rPr>
          <w:rFonts w:ascii="Arial" w:hAnsi="Arial"/>
          <w:color w:val="000000"/>
          <w:sz w:val="20"/>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classified board of directors with three-year staggered terms, which may delay the ability of stockholders to change the membership of a majority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no cumulative voting in the election of directors, which limits the ability of minority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required approval of at least 66-2/3% of the shares entitled to vote to remove a director for cause, and the prohibition on removal of directors without cause;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board of directors to alter our amended and restated bylaws without obtaining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prohibition on stockholder action by written consent, which forces stockholder action to be taken at an annual or special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 exclusive forum provision providing that the Court of Chancery of the State of Delaware will be the exclusive forum for certain actions and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requirement that a special meeting of stockholders may be called only by the board of directors, which may delay the ability of our stockholders to force consideration of a proposal or to take action, including the removal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0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jc w:val="left"/>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pStyle w:val="TextBody"/>
        <w:bidi w:val="0"/>
        <w:jc w:val="left"/>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General risk factors</w:t>
      </w:r>
    </w:p>
    <w:p>
      <w:pPr>
        <w:pStyle w:val="TextBody"/>
        <w:bidi w:val="0"/>
        <w:jc w:val="left"/>
        <w:rPr>
          <w:rFonts w:ascii="Arial" w:hAnsi="Arial"/>
          <w:b/>
          <w:i/>
          <w:color w:val="000000"/>
          <w:sz w:val="20"/>
        </w:rPr>
      </w:pPr>
      <w:r>
        <w:rPr>
          <w:rFonts w:ascii="Arial" w:hAnsi="Arial"/>
          <w:b/>
          <w:i/>
          <w:color w:val="000000"/>
          <w:sz w:val="20"/>
        </w:rPr>
        <w:t>We incur significant costs as a result of operating as a public company, and our management is required to devote substantial time to new compliance initiatives.</w:t>
      </w:r>
    </w:p>
    <w:p>
      <w:pPr>
        <w:pStyle w:val="TextBody"/>
        <w:bidi w:val="0"/>
        <w:jc w:val="left"/>
        <w:rPr>
          <w:rFonts w:ascii="Arial" w:hAnsi="Arial"/>
          <w:color w:val="000000"/>
          <w:sz w:val="20"/>
        </w:rPr>
      </w:pPr>
      <w:r>
        <w:rPr>
          <w:rFonts w:ascii="Arial" w:hAnsi="Arial"/>
          <w:color w:val="000000"/>
          <w:sz w:val="20"/>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and “pay versus performance” disclosure requirements that will apply to us when we cease to be an emerging growth company. Stockholder activism, changes in the political environment and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jc w:val="left"/>
        <w:rPr>
          <w:rFonts w:ascii="Times New Roman" w:hAnsi="Times New Roman"/>
          <w:sz w:val="20"/>
        </w:rPr>
      </w:pPr>
      <w:r>
        <w:rPr>
          <w:rFonts w:ascii="Arial" w:hAnsi="Arial"/>
          <w:color w:val="000000"/>
          <w:sz w:val="20"/>
        </w:rPr>
        <w:t>The rules and regulations applicable to public companies have substantially increased our legal and financial compliance costs and have made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w:t>
      </w:r>
      <w:r>
        <w:rPr>
          <w:rFonts w:ascii="Times New Roman" w:hAnsi="Times New Roman"/>
          <w:color w:val="000000"/>
          <w:sz w:val="20"/>
        </w:rPr>
        <w:t xml:space="preserve"> </w:t>
      </w:r>
    </w:p>
    <w:p>
      <w:pPr>
        <w:pStyle w:val="TextBody"/>
        <w:bidi w:val="0"/>
        <w:spacing w:before="20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jc w:val="left"/>
        <w:rPr>
          <w:rFonts w:ascii="Arial" w:hAnsi="Arial"/>
          <w:b/>
          <w:i/>
          <w:color w:val="000000"/>
          <w:sz w:val="20"/>
        </w:rPr>
      </w:pPr>
      <w:r>
        <w:rPr>
          <w:rFonts w:ascii="Arial" w:hAnsi="Arial"/>
          <w:b/>
          <w:i/>
          <w:color w:val="000000"/>
          <w:sz w:val="20"/>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pStyle w:val="TextBody"/>
        <w:bidi w:val="0"/>
        <w:jc w:val="left"/>
        <w:rPr>
          <w:rFonts w:ascii="Arial" w:hAnsi="Arial"/>
          <w:color w:val="000000"/>
          <w:sz w:val="20"/>
        </w:rPr>
      </w:pPr>
      <w:r>
        <w:rPr>
          <w:rFonts w:ascii="Arial" w:hAnsi="Arial"/>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w:t>
      </w:r>
    </w:p>
    <w:p>
      <w:pPr>
        <w:pStyle w:val="TextBody"/>
        <w:bidi w:val="0"/>
        <w:jc w:val="left"/>
        <w:rPr>
          <w:rFonts w:ascii="Arial" w:hAnsi="Arial"/>
          <w:color w:val="000000"/>
          <w:sz w:val="20"/>
        </w:rPr>
      </w:pPr>
      <w:r>
        <w:rPr>
          <w:rFonts w:ascii="Arial" w:hAnsi="Arial"/>
          <w:color w:val="000000"/>
          <w:sz w:val="20"/>
        </w:rPr>
        <w:t>We are also subject to other US laws and regulations governing export controls, as well as economic sanctions and embargoes on certain countries and persons.</w:t>
      </w:r>
    </w:p>
    <w:p>
      <w:pPr>
        <w:pStyle w:val="TextBody"/>
        <w:bidi w:val="0"/>
        <w:jc w:val="left"/>
        <w:rPr>
          <w:rFonts w:ascii="Arial" w:hAnsi="Arial"/>
          <w:color w:val="000000"/>
          <w:sz w:val="20"/>
        </w:rPr>
      </w:pPr>
      <w:r>
        <w:rPr>
          <w:rFonts w:ascii="Arial" w:hAnsi="Arial"/>
          <w:color w:val="000000"/>
          <w:sz w:val="20"/>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bidi w:val="0"/>
        <w:jc w:val="left"/>
        <w:rPr>
          <w:rFonts w:ascii="Arial" w:hAnsi="Arial"/>
          <w:b/>
          <w:i/>
          <w:color w:val="000000"/>
          <w:sz w:val="20"/>
        </w:rPr>
      </w:pPr>
      <w:r>
        <w:rPr>
          <w:rFonts w:ascii="Arial" w:hAnsi="Arial"/>
          <w:b/>
          <w:i/>
          <w:color w:val="000000"/>
          <w:sz w:val="20"/>
        </w:rPr>
        <w:t>We and any of our third-party manufacturers or suppliers may use potent chemical agents and hazardous materials, and any claims relating to improper handling, storage or disposal of these materials could be time-consuming or costly.</w:t>
      </w:r>
    </w:p>
    <w:p>
      <w:pPr>
        <w:pStyle w:val="TextBody"/>
        <w:bidi w:val="0"/>
        <w:jc w:val="left"/>
        <w:rPr>
          <w:rFonts w:ascii="Arial" w:hAnsi="Arial"/>
          <w:color w:val="000000"/>
          <w:sz w:val="20"/>
        </w:rPr>
      </w:pPr>
      <w:r>
        <w:rPr>
          <w:rFonts w:ascii="Arial" w:hAnsi="Arial"/>
          <w:color w:val="000000"/>
          <w:sz w:val="20"/>
        </w:rPr>
        <w:t>We and any of our third-party manufacturers or suppliers and current or potential future collaborators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pStyle w:val="TextBody"/>
        <w:bidi w:val="0"/>
        <w:spacing w:before="20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pStyle w:val="TextBody"/>
        <w:bidi w:val="0"/>
        <w:jc w:val="left"/>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jc w:val="left"/>
        <w:rPr>
          <w:rFonts w:ascii="Arial" w:hAnsi="Arial"/>
          <w:color w:val="000000"/>
          <w:sz w:val="20"/>
        </w:rPr>
      </w:pPr>
      <w:r>
        <w:rPr>
          <w:rFonts w:ascii="Arial" w:hAnsi="Arial"/>
          <w:color w:val="000000"/>
          <w:sz w:val="20"/>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our product candidates. Our ability to obtain clinical supplies of our product candidates could be disrupted if the operations of these suppliers were affected by a man-made or natural disaster or other business interruption. In addition, our corporate headquarters is located in San Diego,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jc w:val="left"/>
        <w:rPr>
          <w:rFonts w:ascii="Arial" w:hAnsi="Arial"/>
          <w:b/>
          <w:i/>
          <w:color w:val="000000"/>
          <w:sz w:val="20"/>
        </w:rPr>
      </w:pPr>
      <w:r>
        <w:rPr>
          <w:rFonts w:ascii="Arial" w:hAnsi="Arial"/>
          <w:b/>
          <w:i/>
          <w:color w:val="000000"/>
          <w:sz w:val="20"/>
        </w:rPr>
        <w:t>Unstable market and economic conditions and adverse developments with respect to financial institutions and associated liquidity risk may have serious adverse consequences on our business, financial condition and stock price.</w:t>
      </w:r>
    </w:p>
    <w:p>
      <w:pPr>
        <w:pStyle w:val="TextBody"/>
        <w:bidi w:val="0"/>
        <w:jc w:val="left"/>
        <w:rPr>
          <w:rFonts w:ascii="Arial" w:hAnsi="Arial"/>
          <w:color w:val="000000"/>
          <w:sz w:val="20"/>
        </w:rPr>
      </w:pPr>
      <w:r>
        <w:rPr>
          <w:rFonts w:ascii="Arial" w:hAnsi="Arial"/>
          <w:color w:val="000000"/>
          <w:sz w:val="20"/>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or wars, terrorism or other geopolitical events.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pStyle w:val="TextBody"/>
        <w:bidi w:val="0"/>
        <w:jc w:val="left"/>
        <w:rPr>
          <w:rFonts w:ascii="Arial" w:hAnsi="Arial"/>
          <w:b/>
          <w:i/>
          <w:color w:val="000000"/>
          <w:sz w:val="20"/>
        </w:rPr>
      </w:pPr>
      <w:r>
        <w:rPr>
          <w:rFonts w:ascii="Arial" w:hAnsi="Arial"/>
          <w:b/>
          <w:i/>
          <w:color w:val="000000"/>
          <w:sz w:val="20"/>
        </w:rPr>
        <w:t>Changes in tax law may materially adversely affect our financial condition, results of operations and cash flows.</w:t>
      </w:r>
    </w:p>
    <w:p>
      <w:pPr>
        <w:pStyle w:val="TextBody"/>
        <w:bidi w:val="0"/>
        <w:jc w:val="left"/>
        <w:rPr>
          <w:rFonts w:ascii="Arial" w:hAnsi="Arial"/>
          <w:color w:val="000000"/>
          <w:sz w:val="20"/>
        </w:rPr>
      </w:pPr>
      <w:r>
        <w:rPr>
          <w:rFonts w:ascii="Arial" w:hAnsi="Arial"/>
          <w:color w:val="000000"/>
          <w:sz w:val="20"/>
        </w:rPr>
        <w:t>New income, sales, use or other tax laws, statutes, rules, regulations or ordinances could be enacted at any time, or interpreted, changed, modified or applied adversely to us, any of which could adversely affect our business operations and financial performance. The likelihood of these changes being enacted or implemented is unclear. We are currently unable to predict whether such changes will occur. If such changes are enacted or implemented, we are currently unable to predict the ultimate impact on our business. We urge our investors to consult with their legal and tax advisors with respect to any changes in tax law and the potential tax consequences of investing in our common stock.</w:t>
      </w:r>
    </w:p>
    <w:p>
      <w:pPr>
        <w:pStyle w:val="TextBody"/>
        <w:bidi w:val="0"/>
        <w:jc w:val="left"/>
        <w:rPr>
          <w:rFonts w:ascii="Arial" w:hAnsi="Arial"/>
          <w:b/>
          <w:i/>
          <w:color w:val="000000"/>
          <w:sz w:val="20"/>
        </w:rPr>
      </w:pPr>
      <w:r>
        <w:rPr>
          <w:rFonts w:ascii="Arial" w:hAnsi="Arial"/>
          <w:b/>
          <w:i/>
          <w:color w:val="000000"/>
          <w:sz w:val="20"/>
        </w:rPr>
        <w:t>If securities or industry analysts do not publish research or reports or publish unfavorable research or reports about our business, our stock price and trading volume could decline.</w:t>
      </w:r>
    </w:p>
    <w:p>
      <w:pPr>
        <w:pStyle w:val="TextBody"/>
        <w:bidi w:val="0"/>
        <w:jc w:val="left"/>
        <w:rPr>
          <w:rFonts w:ascii="Arial" w:hAnsi="Arial"/>
          <w:color w:val="000000"/>
          <w:sz w:val="20"/>
        </w:rPr>
      </w:pPr>
      <w:r>
        <w:rPr>
          <w:rFonts w:ascii="Arial" w:hAnsi="Arial"/>
          <w:color w:val="000000"/>
          <w:sz w:val="20"/>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pStyle w:val="TextBody"/>
        <w:bidi w:val="0"/>
        <w:spacing w:before="20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pStyle w:val="TextBody"/>
        <w:bidi w:val="0"/>
        <w:jc w:val="left"/>
        <w:rPr>
          <w:rFonts w:ascii="Arial" w:hAnsi="Arial"/>
          <w:color w:val="000000"/>
          <w:sz w:val="20"/>
        </w:rPr>
      </w:pPr>
      <w:r>
        <w:rPr>
          <w:rFonts w:ascii="Arial" w:hAnsi="Arial"/>
          <w:color w:val="000000"/>
          <w:sz w:val="20"/>
        </w:rPr>
        <w:t>Pursuant to Section 404 of Sarbanes-Oxley,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jc w:val="left"/>
        <w:rPr>
          <w:rFonts w:ascii="Arial" w:hAnsi="Arial"/>
          <w:color w:val="000000"/>
          <w:sz w:val="20"/>
        </w:rPr>
      </w:pPr>
      <w:r>
        <w:rPr>
          <w:rFonts w:ascii="Arial" w:hAnsi="Arial"/>
          <w:color w:val="000000"/>
          <w:sz w:val="20"/>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audits,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jc w:val="left"/>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jc w:val="left"/>
        <w:rPr>
          <w:rFonts w:ascii="Arial" w:hAnsi="Arial"/>
          <w:color w:val="000000"/>
          <w:sz w:val="20"/>
        </w:rPr>
      </w:pPr>
      <w:r>
        <w:rPr>
          <w:rFonts w:ascii="Arial" w:hAnsi="Arial"/>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jc w:val="left"/>
        <w:rPr>
          <w:rFonts w:ascii="Arial" w:hAnsi="Arial"/>
          <w:color w:val="000000"/>
          <w:sz w:val="20"/>
        </w:rPr>
      </w:pPr>
      <w:r>
        <w:rPr>
          <w:rFonts w:ascii="Arial" w:hAnsi="Arial"/>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left"/>
        <w:rPr>
          <w:rFonts w:ascii="Arial" w:hAnsi="Arial"/>
          <w:b/>
          <w:i/>
          <w:color w:val="000000"/>
          <w:sz w:val="20"/>
        </w:rPr>
      </w:pPr>
      <w:r>
        <w:rPr>
          <w:rFonts w:ascii="Arial" w:hAnsi="Arial"/>
          <w:b/>
          <w:i/>
          <w:color w:val="000000"/>
          <w:sz w:val="20"/>
        </w:rPr>
        <w:t>We could be subject to securities class action litigation.</w:t>
      </w:r>
    </w:p>
    <w:p>
      <w:pPr>
        <w:pStyle w:val="TextBody"/>
        <w:bidi w:val="0"/>
        <w:jc w:val="left"/>
        <w:rPr>
          <w:rFonts w:ascii="Arial" w:hAnsi="Arial"/>
          <w:color w:val="000000"/>
          <w:sz w:val="20"/>
        </w:rPr>
      </w:pPr>
      <w:r>
        <w:rPr>
          <w:rFonts w:ascii="Arial" w:hAnsi="Arial"/>
          <w:color w:val="000000"/>
          <w:sz w:val="20"/>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it could result in substantial costs and a diversion of our management’s attention and resources, which could harm our business.</w:t>
      </w:r>
    </w:p>
    <w:p>
      <w:pPr>
        <w:pStyle w:val="TextBody"/>
        <w:bidi w:val="0"/>
        <w:jc w:val="left"/>
        <w:rPr>
          <w:rFonts w:ascii="Times New Roman" w:hAnsi="Times New Roman"/>
          <w:sz w:val="20"/>
        </w:rPr>
      </w:pPr>
      <w:r>
        <w:rPr>
          <w:rFonts w:ascii="Arial" w:hAnsi="Arial"/>
          <w:color w:val="000000"/>
          <w:sz w:val="20"/>
        </w:rPr>
        <w:br/>
      </w:r>
      <w:r>
        <w:rPr>
          <w:rFonts w:ascii="Times New Roman" w:hAnsi="Times New Roman"/>
          <w:color w:val="000000"/>
          <w:sz w:val="20"/>
        </w:rPr>
        <w:t> </w:t>
      </w:r>
    </w:p>
    <w:p>
      <w:pPr>
        <w:pStyle w:val="TextBody"/>
        <w:bidi w:val="0"/>
        <w:jc w:val="left"/>
        <w:rPr>
          <w:rFonts w:ascii="Arial" w:hAnsi="Arial"/>
          <w:b/>
          <w:color w:val="000000"/>
          <w:sz w:val="20"/>
        </w:rPr>
      </w:pPr>
      <w:bookmarkStart w:id="5" w:name="unresolved_staff_comments_"/>
      <w:bookmarkEnd w:id="5"/>
      <w:r>
        <w:rPr>
          <w:rFonts w:ascii="Arial" w:hAnsi="Arial"/>
          <w:b/>
          <w:color w:val="000000"/>
          <w:sz w:val="20"/>
        </w:rPr>
        <w:t>Item 1B. Unresolved Staff Comments.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spacing w:before="20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6" w:name="item_1c_cybersecurity_"/>
      <w:bookmarkEnd w:id="6"/>
      <w:r>
        <w:rPr>
          <w:rFonts w:ascii="Arial" w:hAnsi="Arial"/>
          <w:b/>
          <w:color w:val="000000"/>
          <w:sz w:val="20"/>
        </w:rPr>
        <w:t>Item 1C. Cybersecurity.</w:t>
      </w:r>
    </w:p>
    <w:p>
      <w:pPr>
        <w:pStyle w:val="TextBody"/>
        <w:bidi w:val="0"/>
        <w:spacing w:before="240" w:after="283"/>
        <w:jc w:val="left"/>
        <w:rPr>
          <w:rFonts w:ascii="Arial" w:hAnsi="Arial"/>
          <w:b/>
          <w:color w:val="000000"/>
          <w:sz w:val="20"/>
        </w:rPr>
      </w:pPr>
      <w:r>
        <w:rPr>
          <w:rFonts w:ascii="Arial" w:hAnsi="Arial"/>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have developed and implemented a cybersecurity risk management program intended to protect the confidentiality, integrity, and availability of our critical systems and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program is developed and informed by industry best practices such as the National Institute of Standards and Technology Cybersecurity Framework (NIST CSF) and input from expert third-party</w:t>
      </w:r>
      <w:r>
        <w:rPr>
          <w:rFonts w:ascii="Times New Roman" w:hAnsi="Times New Roman"/>
          <w:color w:val="000000"/>
          <w:sz w:val="20"/>
        </w:rPr>
        <w:t xml:space="preserve"> </w:t>
      </w:r>
      <w:r>
        <w:rPr>
          <w:rFonts w:ascii="Arial" w:hAnsi="Arial"/>
          <w:color w:val="000000"/>
          <w:sz w:val="20"/>
        </w:rPr>
        <w:t>consultants. It’s important to note that our adoption of the NIST CSF serves as a blueprint to aid in the identification, assessment, and mitigation of cybersecurity risks pertinent to our operations, rather than as a certification of compliance with specific technical standards or requirements.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cybersecurity risk management program is integrated</w:t>
      </w:r>
      <w:r>
        <w:rPr>
          <w:rFonts w:ascii="Times New Roman" w:hAnsi="Times New Roman"/>
          <w:color w:val="000000"/>
          <w:sz w:val="20"/>
        </w:rPr>
        <w:t xml:space="preserve"> </w:t>
      </w:r>
      <w:r>
        <w:rPr>
          <w:rFonts w:ascii="Arial" w:hAnsi="Arial"/>
          <w:color w:val="000000"/>
          <w:sz w:val="20"/>
        </w:rPr>
        <w:t>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Key elements of our cybersecurity risk management program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 assessments designed to help identify material risks from cybersecurity to our critical systems and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IT security team (including Chief Operating Officer (COO)) principally responsible for managing (1) our cybersecurity risk assessment processes, (2) our security controls, and (3) our response to cybersecurity incidents;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use of external service providers, where appropriate, to assess, test or otherwise assist with aspects of our security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cybersecurity awareness training of our employees, including incident response personnel, and senior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cybersecurity incident response plan that includes procedures for responding to cybersecurity incidents;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third-party risk management process for evaluating risks posed by critical service providers, based on our assessment of their criticality to our operations and respective risk profile.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have not identified risks from known cybersecurity threats, including as a result of any prior cybersecurity incidents, that have materially affected</w:t>
      </w:r>
      <w:r>
        <w:rPr>
          <w:rFonts w:ascii="Times New Roman" w:hAnsi="Times New Roman"/>
          <w:color w:val="000000"/>
          <w:sz w:val="20"/>
        </w:rPr>
        <w:t xml:space="preserve"> </w:t>
      </w:r>
      <w:r>
        <w:rPr>
          <w:rFonts w:ascii="Arial" w:hAnsi="Arial"/>
          <w:color w:val="000000"/>
          <w:sz w:val="20"/>
        </w:rPr>
        <w:t>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w:t>
      </w:r>
      <w:r>
        <w:rPr>
          <w:rFonts w:ascii="Times New Roman" w:hAnsi="Times New Roman"/>
          <w:color w:val="000000"/>
          <w:sz w:val="20"/>
        </w:rPr>
        <w:t xml:space="preserve"> “</w:t>
      </w:r>
      <w:r>
        <w:rPr>
          <w:rFonts w:ascii="Arial" w:hAnsi="Arial"/>
          <w:i/>
          <w:color w:val="000000"/>
          <w:sz w:val="20"/>
        </w:rPr>
        <w:t>Our information technology systems, or those of any of our CROs, manufacturers, other contractors or consultants or current or potential future collaborators, may fail or suffer cybersecurity incidents or breaches, which could result in a material disruption of our product development programs, harm to our reputation, significant fines, penalties and liability and loss of customers or sales</w:t>
      </w:r>
      <w:r>
        <w:rPr>
          <w:rFonts w:ascii="Arial" w:hAnsi="Arial"/>
          <w:color w:val="000000"/>
          <w:sz w:val="20"/>
        </w:rPr>
        <w:t>.”</w:t>
      </w:r>
    </w:p>
    <w:p>
      <w:pPr>
        <w:pStyle w:val="TextBody"/>
        <w:bidi w:val="0"/>
        <w:spacing w:before="360" w:after="283"/>
        <w:jc w:val="left"/>
        <w:rPr>
          <w:rFonts w:ascii="Arial" w:hAnsi="Arial"/>
          <w:b/>
          <w:color w:val="000000"/>
          <w:sz w:val="20"/>
        </w:rPr>
      </w:pPr>
      <w:r>
        <w:rPr>
          <w:rFonts w:ascii="Arial" w:hAnsi="Arial"/>
          <w:b/>
          <w:color w:val="000000"/>
          <w:sz w:val="20"/>
        </w:rPr>
        <w:t>Cybersecurity Governance</w:t>
      </w:r>
    </w:p>
    <w:p>
      <w:pPr>
        <w:pStyle w:val="TextBody"/>
        <w:bidi w:val="0"/>
        <w:jc w:val="left"/>
        <w:rPr>
          <w:rFonts w:ascii="Times New Roman" w:hAnsi="Times New Roman"/>
          <w:sz w:val="20"/>
        </w:rPr>
      </w:pPr>
      <w:r>
        <w:rPr>
          <w:rFonts w:ascii="Arial" w:hAnsi="Arial"/>
          <w:color w:val="000000"/>
          <w:sz w:val="20"/>
        </w:rPr>
        <w:t>Our board of directors considers cybersecurity risk as part of its risk oversight function and has delegated to the audit committee oversight of cybersecurity risks, including oversight of management’s administration of our cybersecurity risk management program.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audit committee receives reports from management on our cybersecurity risks no less than twice per calendar year. In addition,</w:t>
      </w:r>
      <w:r>
        <w:rPr>
          <w:rFonts w:ascii="Times New Roman" w:hAnsi="Times New Roman"/>
          <w:color w:val="000000"/>
          <w:sz w:val="20"/>
        </w:rPr>
        <w:t xml:space="preserve"> </w:t>
      </w:r>
      <w:r>
        <w:rPr>
          <w:rFonts w:ascii="Arial" w:hAnsi="Arial"/>
          <w:color w:val="000000"/>
          <w:sz w:val="20"/>
        </w:rPr>
        <w:t>management updates the audit committee, where it deems appropriate, regarding any cybersecurity incidents it considers to be significant or potentially significant.</w:t>
      </w:r>
    </w:p>
    <w:p>
      <w:pPr>
        <w:pStyle w:val="TextBody"/>
        <w:bidi w:val="0"/>
        <w:jc w:val="left"/>
        <w:rPr>
          <w:rFonts w:ascii="Arial" w:hAnsi="Arial"/>
          <w:color w:val="000000"/>
          <w:sz w:val="20"/>
        </w:rPr>
      </w:pPr>
      <w:r>
        <w:rPr>
          <w:rFonts w:ascii="Arial" w:hAnsi="Arial"/>
          <w:color w:val="000000"/>
          <w:sz w:val="20"/>
        </w:rPr>
        <w:t>The audit committee reports to the full board of directors regarding its activities, including those related to cybersecurity. The full board of directors also periodically receives briefings from management on our cyber risk management program. The audit committee and the board of directors receive presentations on cybersecurity topics from our COO as part of continuing education on topics that impact public companies.</w:t>
      </w:r>
    </w:p>
    <w:p>
      <w:pPr>
        <w:pStyle w:val="TextBody"/>
        <w:bidi w:val="0"/>
        <w:spacing w:before="20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br/>
        <w:t xml:space="preserve">Our COO and head of IT, advised by external cybersecurity consultants, are primarily responsible for assessing and managing our material risks from cybersecurity threats. Our head of IT has 25 years of experience in information technology roles and over 20 years of experience in cybersecurity roles in the biotechnology industry. Our COO has over five years of experience overseeing IT-related processes (including cybersecurity processes) in the biotechnology industry. </w:t>
      </w:r>
    </w:p>
    <w:p>
      <w:pPr>
        <w:pStyle w:val="TextBody"/>
        <w:bidi w:val="0"/>
        <w:jc w:val="left"/>
        <w:rPr>
          <w:rFonts w:ascii="Arial" w:hAnsi="Arial"/>
          <w:color w:val="000000"/>
          <w:sz w:val="20"/>
        </w:rPr>
      </w:pPr>
      <w:r>
        <w:rPr>
          <w:rFonts w:ascii="Arial" w:hAnsi="Arial"/>
          <w:color w:val="000000"/>
          <w:sz w:val="20"/>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external consultants engaged by us; and alerts and reports produced by cybersecurity tools deployed in our IT environment.</w:t>
      </w:r>
    </w:p>
    <w:p>
      <w:pPr>
        <w:pStyle w:val="TextBody"/>
        <w:bidi w:val="0"/>
        <w:spacing w:before="360" w:after="283"/>
        <w:jc w:val="left"/>
        <w:rPr>
          <w:rFonts w:ascii="Arial" w:hAnsi="Arial"/>
          <w:b/>
          <w:color w:val="000000"/>
          <w:sz w:val="20"/>
        </w:rPr>
      </w:pPr>
      <w:bookmarkStart w:id="7" w:name="properties_"/>
      <w:bookmarkEnd w:id="7"/>
      <w:r>
        <w:rPr>
          <w:rFonts w:ascii="Arial" w:hAnsi="Arial"/>
          <w:b/>
          <w:color w:val="000000"/>
          <w:sz w:val="20"/>
        </w:rPr>
        <w:t>Item 2. Properties.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corporate headquarters is located in San Diego, California, where we lease approximately 78,000 square feet of office and laboratory space pursuant to a lease that expires in April 2032 and may be terminated early under certain circumstances. In January 2024, we entered into an agreement to sublease the second floor of our corporate headquarters (the January 2024 Sublease). Pursuant to the January 2024 Sublease, the subleased space was approximately 11,000 square feet of office space with a sublease term of three years which included an option for the subtenant to renew for an additional year and an early termination clause. In June 2025, we and the subtenant entered into a termination agreement that terminated the January 2024 Sublease in July 2025. In July 2024, we entered into an agreement to sublease the first floor of our corporate headquarters (the July 2024 Sublease). Pursuant to the July 2024 Sublease, the subleased space is approximately 18,000 square feet of office space with a sublease term of 61 months beginning in October 2024. The July 2024 Sublease includes an option for the subtenant to renew for an additional year and an early termination clause. In September 2024, we entered into an agreement to sublease a portion of the third floor of our corporate headquarters (the September 2024 Sublease). Pursuant to the September 2024 Sublease, the subleased space was approximately 5,000 square feet of laboratory space with a sublease term of one year, which included an option for the subtenant to renew for an additional year. In July 2025, the September 2024 Sublease was amended to: (i) add approximately 5,000 square feet of laboratory space on the third floor and approximately 11,000 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also lease approximately 30,000 square feet of office and laboratory space in South San Francisco, California, pursuant to a lease that expires in October 2032, with an option to extend the term by five years, subject to certain conditions.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believe our existing facilities are adequate to meet our current business requirements for the near term, and that additional space will be available on commercially reasonable terms, if required.</w:t>
      </w:r>
    </w:p>
    <w:p>
      <w:pPr>
        <w:pStyle w:val="TextBody"/>
        <w:bidi w:val="0"/>
        <w:spacing w:before="360" w:after="283"/>
        <w:jc w:val="left"/>
        <w:rPr>
          <w:rFonts w:ascii="Arial" w:hAnsi="Arial"/>
          <w:b/>
          <w:color w:val="000000"/>
          <w:sz w:val="20"/>
        </w:rPr>
      </w:pPr>
      <w:bookmarkStart w:id="8" w:name="legal_proceedings_"/>
      <w:bookmarkEnd w:id="8"/>
      <w:r>
        <w:rPr>
          <w:rFonts w:ascii="Arial" w:hAnsi="Arial"/>
          <w:b/>
          <w:color w:val="000000"/>
          <w:sz w:val="20"/>
        </w:rPr>
        <w:t>Item 3. Legal Proceedings.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360" w:after="283"/>
        <w:jc w:val="left"/>
        <w:rPr>
          <w:rFonts w:ascii="Arial" w:hAnsi="Arial"/>
          <w:b/>
          <w:color w:val="000000"/>
          <w:sz w:val="20"/>
        </w:rPr>
      </w:pPr>
      <w:bookmarkStart w:id="9" w:name="mine_safety_disclosures_"/>
      <w:bookmarkEnd w:id="9"/>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20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10" w:name="part_ii_"/>
      <w:bookmarkEnd w:id="10"/>
      <w:r>
        <w:rPr>
          <w:rFonts w:ascii="Arial" w:hAnsi="Arial"/>
          <w:b/>
          <w:color w:val="000000"/>
          <w:sz w:val="20"/>
        </w:rPr>
        <w:t>PART II</w:t>
      </w:r>
    </w:p>
    <w:p>
      <w:pPr>
        <w:pStyle w:val="TextBody"/>
        <w:bidi w:val="0"/>
        <w:jc w:val="left"/>
        <w:rPr/>
      </w:pPr>
      <w:r>
        <w:rPr/>
        <w:t> </w:t>
      </w:r>
    </w:p>
    <w:p>
      <w:pPr>
        <w:pStyle w:val="TextBody"/>
        <w:bidi w:val="0"/>
        <w:jc w:val="left"/>
        <w:rPr>
          <w:rFonts w:ascii="Arial" w:hAnsi="Arial"/>
          <w:b/>
          <w:color w:val="000000"/>
          <w:sz w:val="20"/>
        </w:rPr>
      </w:pPr>
      <w:bookmarkStart w:id="11" w:name="market_for_registrant_common_equity_"/>
      <w:bookmarkEnd w:id="11"/>
      <w:r>
        <w:rPr>
          <w:rFonts w:ascii="Arial" w:hAnsi="Arial"/>
          <w:b/>
          <w:color w:val="000000"/>
          <w:sz w:val="20"/>
        </w:rPr>
        <w:t>Item 5. Market for Registrant’s Common Equity, Related Stockholder Matters and Issuer Purchases of Equity Securities.</w:t>
      </w:r>
    </w:p>
    <w:p>
      <w:pPr>
        <w:pStyle w:val="TextBody"/>
        <w:bidi w:val="0"/>
        <w:spacing w:before="360" w:after="283"/>
        <w:jc w:val="left"/>
        <w:rPr>
          <w:rFonts w:ascii="Times New Roman" w:hAnsi="Times New Roman"/>
          <w:sz w:val="20"/>
        </w:rPr>
      </w:pPr>
      <w:r>
        <w:rPr>
          <w:rFonts w:ascii="Arial" w:hAnsi="Arial"/>
          <w:b/>
          <w:color w:val="000000"/>
          <w:sz w:val="20"/>
        </w:rPr>
        <w:t>Market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common stock trades under the symbol “ERAS” on the Nasdaq Global Select Market.</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Holders of Our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February 28, 2026, there were approximately 42 holders of record of our common stock. This number was derived from our shareholder records and does not include beneficial owners of our common stock whose shares are held in the name of various dealers, clearing agencies, banks, brokers, and other fiduciaries.</w:t>
      </w:r>
    </w:p>
    <w:p>
      <w:pPr>
        <w:pStyle w:val="TextBody"/>
        <w:bidi w:val="0"/>
        <w:spacing w:before="360" w:after="283"/>
        <w:jc w:val="left"/>
        <w:rPr>
          <w:rFonts w:ascii="Arial" w:hAnsi="Arial"/>
          <w:b/>
          <w:color w:val="000000"/>
          <w:sz w:val="20"/>
        </w:rPr>
      </w:pPr>
      <w:r>
        <w:rPr>
          <w:rFonts w:ascii="Arial" w:hAnsi="Arial"/>
          <w:b/>
          <w:color w:val="000000"/>
          <w:sz w:val="20"/>
        </w:rPr>
        <w:t>Dividend Policy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never declared or paid any cash dividends on our capital stock. We intend to retain all available funds and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pStyle w:val="TextBody"/>
        <w:bidi w:val="0"/>
        <w:spacing w:before="360" w:after="283"/>
        <w:jc w:val="left"/>
        <w:rPr>
          <w:rFonts w:ascii="Arial" w:hAnsi="Arial"/>
          <w:b/>
          <w:color w:val="000000"/>
          <w:sz w:val="20"/>
        </w:rPr>
      </w:pPr>
      <w:r>
        <w:rPr>
          <w:rFonts w:ascii="Arial" w:hAnsi="Arial"/>
          <w:b/>
          <w:color w:val="000000"/>
          <w:sz w:val="20"/>
        </w:rPr>
        <w:t>Securities Authorized for Issuance Under Equity Compensation Plans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Information about our equity compensation plans will be included in our definitive proxy statement to be filed with the SEC with respect to our 2026 Annual Meeting of Stockholders and is incorporated herein by reference.</w:t>
      </w:r>
    </w:p>
    <w:p>
      <w:pPr>
        <w:pStyle w:val="TextBody"/>
        <w:bidi w:val="0"/>
        <w:spacing w:before="360" w:after="283"/>
        <w:jc w:val="left"/>
        <w:rPr>
          <w:rFonts w:ascii="Arial" w:hAnsi="Arial"/>
          <w:b/>
          <w:color w:val="000000"/>
          <w:sz w:val="20"/>
        </w:rPr>
      </w:pPr>
      <w:r>
        <w:rPr>
          <w:rFonts w:ascii="Arial" w:hAnsi="Arial"/>
          <w:b/>
          <w:color w:val="000000"/>
          <w:sz w:val="20"/>
        </w:rPr>
        <w:t>Unregistered Sales of Equity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None.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Purchases of Equity Securities by the Issuer and Affiliated Purchasers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spacing w:before="360" w:after="283"/>
        <w:jc w:val="left"/>
        <w:rPr>
          <w:rFonts w:ascii="Arial" w:hAnsi="Arial"/>
          <w:b/>
          <w:color w:val="000000"/>
          <w:sz w:val="20"/>
        </w:rPr>
      </w:pPr>
      <w:bookmarkStart w:id="12" w:name="reserved_"/>
      <w:bookmarkEnd w:id="12"/>
      <w:r>
        <w:rPr>
          <w:rFonts w:ascii="Arial" w:hAnsi="Arial"/>
          <w:b/>
          <w:color w:val="000000"/>
          <w:sz w:val="20"/>
        </w:rPr>
        <w:t>Item 6. Reserved</w:t>
      </w:r>
    </w:p>
    <w:p>
      <w:pPr>
        <w:pStyle w:val="TextBody"/>
        <w:bidi w:val="0"/>
        <w:spacing w:before="20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_item2"/>
      <w:bookmarkEnd w:id="13"/>
      <w:r>
        <w:rPr>
          <w:rFonts w:ascii="Arial" w:hAnsi="Arial"/>
          <w:b/>
          <w:color w:val="000000"/>
          <w:sz w:val="20"/>
        </w:rPr>
        <w:t>Item 7. Management’s Discussion and Analysis of F</w:t>
      </w:r>
      <w:bookmarkStart w:id="14" w:name="management_discussion_and_analysis_"/>
      <w:bookmarkEnd w:id="14"/>
      <w:r>
        <w:rPr>
          <w:rFonts w:ascii="Arial" w:hAnsi="Arial"/>
          <w:b/>
          <w:color w:val="000000"/>
          <w:sz w:val="20"/>
        </w:rPr>
        <w:t>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The following discussion and analysis of our financial condition and results of operations should be read in conjunction with our consolidated financial statements and notes thereto included elsewhere in this Annual Report on Form 10-K. </w:t>
      </w:r>
      <w:r>
        <w:rPr>
          <w:rFonts w:ascii="Times New Roman" w:hAnsi="Times New Roman"/>
          <w:i/>
          <w:color w:val="000000"/>
          <w:sz w:val="20"/>
        </w:rPr>
        <w:t>T</w:t>
      </w:r>
      <w:r>
        <w:rPr>
          <w:rFonts w:ascii="Arial" w:hAnsi="Arial"/>
          <w:i/>
          <w:color w:val="000000"/>
          <w:sz w:val="20"/>
        </w:rPr>
        <w:t>his discussion contains forward-looking statements that involve risks and uncertainties, including those described in the section titled “Special Note Regarding Forward Looking Statements.”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Overview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figure shows the RAS/MAPK pathway and how the three therapeutic strategies listed above attempt to comprehensively and synergistically shut down the RAS/MAPK pathway.</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133850" cy="3190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133850" cy="31908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which includes the world’s leading experts in the RAS/MAPK pathway, uniquely position us to achieve our bold mission of erasing cancer.</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pStyle w:val="TextBody"/>
        <w:bidi w:val="0"/>
        <w:jc w:val="left"/>
        <w:rPr>
          <w:rFonts w:ascii="Arial" w:hAnsi="Arial"/>
          <w:color w:val="000000"/>
          <w:sz w:val="20"/>
        </w:rPr>
      </w:pPr>
      <w:r>
        <w:rPr>
          <w:rFonts w:ascii="Arial" w:hAnsi="Arial"/>
          <w:color w:val="000000"/>
          <w:sz w:val="20"/>
        </w:rPr>
        <w:t>ERAS-0015 is a potential best-in-class pan-RAS molecular glue in development for the treatment of patients with RAS-mutated solid tumors. In vitro, ERAS-0015 has shown approximately 8-21 times higher binding affinity to cyclophilin A versus the most advanced pan-RAS molecular glue in development. We believe this higher binding affinity results in approximately 5 times more potent RAS inhibition in cell-based assays versus the comparator. ERAS-0015 also has favorable absorption, distribution, metabolism, and excretion (ADME) and pharmacokinetics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potential combination benefit of blocking both oncogenic drivers. Our initial clinical trial for ERAS-0015 is called AURORAS-1. The investigational new drug application (IND) for AURORAS-1 was cleared by the US Food and Drug Administration (FDA) in May 2025. ERAS-0015 is also being evaluated in the JYP0015M101 clinical trial in China, which is assessing ERAS-0015 in adult patients with advanced solid tumors harboring specific RAS mutations. The JYP0015M101 clinical trial is sponsored by Joyo.</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12, 2026, we provided an update regarding the initial clinical progress of ERAS-0015. The update consisted of the following, as of a data cutoff date of January 7, 2026:</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Dose escalation in the ongoing AURORAS-1 Phase 1 trial was advancing faster than anticipated, underscoring significant unmet medical need and high investigator and patient enthusiasm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Ongoing confirmed and unconfirmed responses were observed in multiple patients with differing tumor types and RAS mutations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Ongoing responses (two confirmed partial responses (PRs) and one unconfirmed PR) were observed in patients with different tumor types and RAS mutations achieved at a low dose of 8 mg QD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Arial" w:hAnsi="Arial"/>
          <w:color w:val="000000"/>
          <w:sz w:val="20"/>
        </w:rPr>
      </w:pPr>
      <w:r>
        <w:rPr>
          <w:rFonts w:ascii="Arial" w:hAnsi="Arial"/>
          <w:color w:val="000000"/>
          <w:sz w:val="20"/>
        </w:rPr>
        <w:t>Additional ongoing unconfirmed responses were observed in patients at doses above 8 mg QD</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Favorable safety and tolerability results, with no dose-limiting toxicities and predominantly low-grade adverse events observed at all dose levels evaluated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 xml:space="preserve">Well-behaved, linear PK across all dose levels evaluated to date with no observed evidence of exposure plateau </w:t>
      </w:r>
    </w:p>
    <w:p>
      <w:pPr>
        <w:pStyle w:val="TextBody"/>
        <w:bidi w:val="0"/>
        <w:jc w:val="left"/>
        <w:rPr>
          <w:rFonts w:ascii="Times New Roman" w:hAnsi="Times New Roman"/>
          <w:sz w:val="20"/>
        </w:rPr>
      </w:pPr>
      <w:r>
        <w:rPr>
          <w:rFonts w:ascii="Arial" w:hAnsi="Arial"/>
          <w:color w:val="000000"/>
          <w:sz w:val="20"/>
        </w:rPr>
        <w:t>On January 20, 2026, we announced that subsequent to the cut-off date, we have dosed patients at 40 mg QD.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anticipate a Phase 1 monotherapy data readout from the AURORAS-1 and JYP0015M101 trials in the first half of 2026. In addition, we anticipate the initiation of monotherapy expansion cohorts and combination dose escalation cohorts as part of the AURORAS-1 trial in the second half of 2026, with associated data readouts planned for 2027.</w:t>
      </w:r>
    </w:p>
    <w:p>
      <w:pPr>
        <w:pStyle w:val="TextBody"/>
        <w:bidi w:val="0"/>
        <w:jc w:val="left"/>
        <w:rPr>
          <w:rFonts w:ascii="Arial" w:hAnsi="Arial"/>
          <w:color w:val="000000"/>
          <w:sz w:val="20"/>
        </w:rPr>
      </w:pPr>
      <w:r>
        <w:rPr>
          <w:rFonts w:ascii="Arial" w:hAnsi="Arial"/>
          <w:color w:val="000000"/>
          <w:sz w:val="20"/>
        </w:rPr>
        <w:t>ERAS-4001 is a potential first-in-class pan-KRAS inhibitor in development for the treatment of patients with 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versus the most advanced pan-RAS molecular glue in development. ERAS-4001 demonstrated activity against both GDP-bound (“inactive state”) and GTP-bound (“active state”) KRAS G12D with single digit nanomolar IC50 (a measure of the drug concentration needed to achieve half-maximal inhibition) values in a biochemical RAS – RAF1 RBD (RAS Binding Domain) assay. In vivo, ERAS-4001 showed tumor regression in multiple models when administered as a monotherapy. In combination with an anti-PD-1 antibody, ERAS-4001 was able to achieve complete disappearance of tumors in mice on day 31. The combination of ERAS-4001 plus the anti-EGFR antibody cetuximab induced significant tumor growth inhibition and demonstrated the potential combination benefit of blocking both oncogenic drivers. The initial clinical trial for ERAS-4001 is called BOREALIS-1. The IND for BOREALIS-1 was cleared by the FDA in May 2025. We anticipate a Phase 1 monotherapy data readout from the BOREALIS-1 trial in the second half of 2026. In addition, we anticipate the initiation of monotherapy expansion cohorts and combination dose escalation cohorts in 2027.</w:t>
      </w:r>
    </w:p>
    <w:p>
      <w:pPr>
        <w:pStyle w:val="TextBody"/>
        <w:bidi w:val="0"/>
        <w:jc w:val="left"/>
        <w:rPr>
          <w:rFonts w:ascii="Arial" w:hAnsi="Arial"/>
          <w:color w:val="000000"/>
          <w:sz w:val="20"/>
        </w:rPr>
      </w:pPr>
      <w:r>
        <w:rPr>
          <w:rFonts w:ascii="Arial" w:hAnsi="Arial"/>
          <w:color w:val="000000"/>
          <w:sz w:val="20"/>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next program is ERAS-12, our investigational EGFR D2/D3 biparatopic antibody (bpAb). ERAS-12 is a potential best-in-class biologic, for which we have identified a lead candidate,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2025, in connection with our expectation that ERAS-0015 and ERAS-4001 would both become clinical stage programs, we conducted a strategic pipeline review. Following this review, in order to prioritize organizational focus and resources to advance our differentiated RAS-targeting franchise, we decided to evaluate strategic alternatives for our naporafenib program, which we in-licensed from Novartis Pharma AG (Novartis). After evaluating the clinical progress of our RAS franchise, we made a strategic decision to stop development of naporafenib. In March 2026, we sent a notice to Novartis to terminate our exclusive license agreement with Novartis (as amended, the Novartis Agreement) pursuant to which we acquired exclusive rights to develop naporafenib. The effective date of the termination of the Novartis Agreement is June 3, 2026. In connection with such termination, we and Novartis have agreed that we shall continue to ensure that the patients currently enrolled in the SEACRAFT-1 and SEACRAFT-2 trials will be permitted to continue to participate in such trials for the foreseeable future.</w:t>
      </w:r>
    </w:p>
    <w:p>
      <w:pPr>
        <w:pStyle w:val="TextBody"/>
        <w:bidi w:val="0"/>
        <w:jc w:val="left"/>
        <w:rPr>
          <w:rFonts w:ascii="Arial" w:hAnsi="Arial"/>
          <w:color w:val="000000"/>
          <w:sz w:val="20"/>
        </w:rPr>
      </w:pPr>
      <w:r>
        <w:rPr>
          <w:rFonts w:ascii="Arial" w:hAnsi="Arial"/>
          <w:color w:val="000000"/>
          <w:sz w:val="20"/>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2022, we completed the sale and issuance of 15,384,616 shares of our common stock at a price to the public of $6.50 per share (the 2022 Offering). Proceeds from the 2022 Offering were $94.9 million, net of underwriting discounts and commissions and offering costs of $5.1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August 2022, we entered into an Open Market Sale Agreement (the Sale Agreement) with Jefferies LLC (the Agent), pursuant to which we could offer and sell shares of our common stock having an aggregate offering price of up to $200 million from time to time, in an “at-the-market offering” (ATM Offering)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common stock under the Sale Agreement at a weighted-average price of $2.37 per share. Proceeds from the ATM Offerings during the year ended December 31, 2024 were $21.0 million, net of commissions and expenses of $0.8 million.</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August 2025, we entered into an Amended and Restated Open Market Sale Agreement (the 2025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December 31, 2025, we had $200.0 million of shares available for sale under the 2025 Sale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2026, we completed the sale and issuance of 25,875,000 shares of our common stock, including the exercise in full by the underwriters of their option to purchase 3,375,000 shares of our common stock, at a price to the public of $10.00 per share (the 2026 Offering). Our aggregate net proceeds from the 2026 Offering were $242.7 million, net of underwriting discounts and commissions and offering costs of $16.1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December 31, 2025, we have raised a total of $1.0 billion to fund our operations, comprised primarily of gross proceeds from our IPO, underwritten offerings, a private placement of our common stock, and the sale and issuance of convertible preferred stock. As of December 31, 2025, we had cash, cash equivalents, and marketable securities of $341.8 million. In January 2026, we completed our 2026 Offering with aggregate net proceeds of $242.7 million, net of underwriting discounts and commissions and offering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incurred significant operating losses since inception. Our net losses were $124.5 million and $161.7 million for the years ended December 31, 2025 and 2024, respectively. As of December 31, 2025, we had an accumulated deficit of $892.2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Based upon our current operating plans, we believe that our cash, cash equivalents, and marketable securities as of December 31, 2025, together with the net proceeds of $242.7 million received from the 2026 Offering, which closed in January 2026, less the $150.0 million payment made to Joyo in March 2026 in connection with the option exercise notice, will be sufficient to fund our operations into the second half of 2028.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condition and results of operations may also be impacted by other factors we may not be able to control, such as geopolitical and economic events. We do not believe that such factors had a material adverse impact on our results of operations during the year ended December 31, 2025.</w:t>
      </w:r>
    </w:p>
    <w:p>
      <w:pPr>
        <w:pStyle w:val="TextBody"/>
        <w:bidi w:val="0"/>
        <w:spacing w:before="360" w:after="283"/>
        <w:jc w:val="left"/>
        <w:rPr>
          <w:rFonts w:ascii="Arial" w:hAnsi="Arial"/>
          <w:b/>
          <w:color w:val="000000"/>
          <w:sz w:val="20"/>
        </w:rPr>
      </w:pPr>
      <w:r>
        <w:rPr>
          <w:rFonts w:ascii="Arial" w:hAnsi="Arial"/>
          <w:b/>
          <w:color w:val="000000"/>
          <w:sz w:val="20"/>
        </w:rPr>
        <w:t>Our acquisition and license agreements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entered into in-license and acquisition agreements pursuant to which we in-licensed or acquired certain intellectual property rights related to our product candidates and development programs.</w:t>
      </w:r>
    </w:p>
    <w:p>
      <w:pPr>
        <w:pStyle w:val="TextBody"/>
        <w:bidi w:val="0"/>
        <w:spacing w:before="20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additional information regarding these agreements, see the section titled “Business—Our acquisition and license agreements” in this Annual Report on Form 10-K.</w:t>
      </w:r>
    </w:p>
    <w:p>
      <w:pPr>
        <w:pStyle w:val="TextBody"/>
        <w:bidi w:val="0"/>
        <w:spacing w:before="360" w:after="283"/>
        <w:jc w:val="left"/>
        <w:rPr>
          <w:rFonts w:ascii="Arial" w:hAnsi="Arial"/>
          <w:b/>
          <w:color w:val="000000"/>
          <w:sz w:val="20"/>
        </w:rPr>
      </w:pPr>
      <w:r>
        <w:rPr>
          <w:rFonts w:ascii="Arial" w:hAnsi="Arial"/>
          <w:b/>
          <w:color w:val="000000"/>
          <w:sz w:val="20"/>
        </w:rPr>
        <w:t>Components of 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pStyle w:val="TextBody"/>
        <w:bidi w:val="0"/>
        <w:spacing w:before="360" w:after="283"/>
        <w:jc w:val="left"/>
        <w:rPr>
          <w:rFonts w:ascii="Arial" w:hAnsi="Arial"/>
          <w:b/>
          <w:color w:val="000000"/>
          <w:sz w:val="20"/>
        </w:rPr>
      </w:pPr>
      <w:r>
        <w:rPr>
          <w:rFonts w:ascii="Arial" w:hAnsi="Arial"/>
          <w:b/>
          <w:color w:val="000000"/>
          <w:sz w:val="20"/>
        </w:rPr>
        <w:t>Operating expenses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Research and development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external costs, including expenses incurred under arrangements with third parties, such as contract research organizations (CROs), contract manufacturing organizations (CMOs), consultants, and our scientific advisors;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internal costs,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employee-related expenses, including salaries, benefits, and stock-based compensation for those individuals involved in research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the costs of laboratory supplies and acquiring, developing and manufacturing preclinical study materials;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facilities and depreciation, which include direct and allocated expenses for rent of facilities and depreciation.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research and development expenses incurred for the following periods (in thousands):</w:t>
      </w:r>
    </w:p>
    <w:p>
      <w:pPr>
        <w:pStyle w:val="TextBody"/>
        <w:bidi w:val="0"/>
        <w:jc w:val="left"/>
        <w:rPr/>
      </w:pPr>
      <w:r>
        <w:rPr/>
        <w:t> </w:t>
      </w:r>
    </w:p>
    <w:tbl>
      <w:tblPr>
        <w:tblW w:w="6641" w:type="dxa"/>
        <w:jc w:val="left"/>
        <w:tblInd w:w="0" w:type="dxa"/>
        <w:tblLayout w:type="fixed"/>
        <w:tblCellMar>
          <w:top w:w="28" w:type="dxa"/>
          <w:left w:w="28" w:type="dxa"/>
          <w:bottom w:w="28" w:type="dxa"/>
          <w:right w:w="28" w:type="dxa"/>
        </w:tblCellMar>
      </w:tblPr>
      <w:tblGrid>
        <w:gridCol w:w="3811"/>
        <w:gridCol w:w="146"/>
        <w:gridCol w:w="146"/>
        <w:gridCol w:w="211"/>
        <w:gridCol w:w="691"/>
        <w:gridCol w:w="146"/>
        <w:gridCol w:w="146"/>
        <w:gridCol w:w="146"/>
        <w:gridCol w:w="211"/>
        <w:gridCol w:w="796"/>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ERAS-0015</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ERAS-4001</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clinical programs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discovery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16"/>
        </w:rPr>
      </w:pPr>
      <w:r>
        <w:rPr>
          <w:rFonts w:ascii="Arial" w:hAnsi="Arial"/>
          <w:color w:val="000000"/>
          <w:sz w:val="16"/>
        </w:rPr>
        <w:t>(1) We in-licensed ERAS-0015 and ERAS-4001 in May 2024.</w:t>
      </w:r>
    </w:p>
    <w:p>
      <w:pPr>
        <w:pStyle w:val="TextBody"/>
        <w:bidi w:val="0"/>
        <w:jc w:val="left"/>
        <w:rPr>
          <w:rFonts w:ascii="Arial" w:hAnsi="Arial"/>
          <w:color w:val="000000"/>
          <w:sz w:val="16"/>
        </w:rPr>
      </w:pPr>
      <w:r>
        <w:rPr>
          <w:rFonts w:ascii="Arial" w:hAnsi="Arial"/>
          <w:color w:val="000000"/>
          <w:sz w:val="16"/>
        </w:rPr>
        <w:t>(2) Other clinical programs include naporafenib.</w:t>
      </w:r>
    </w:p>
    <w:p>
      <w:pPr>
        <w:pStyle w:val="TextBody"/>
        <w:bidi w:val="0"/>
        <w:spacing w:before="200" w:after="283"/>
        <w:jc w:val="left"/>
        <w:rPr>
          <w:rFonts w:ascii="Arial" w:hAnsi="Arial"/>
          <w:color w:val="000000"/>
          <w:sz w:val="20"/>
        </w:rPr>
      </w:pPr>
      <w:r>
        <w:rPr>
          <w:rFonts w:ascii="Arial" w:hAnsi="Arial"/>
          <w:color w:val="000000"/>
          <w:sz w:val="20"/>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pStyle w:val="TextBody"/>
        <w:bidi w:val="0"/>
        <w:spacing w:before="20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20"/>
        </w:rPr>
      </w:pPr>
      <w:r>
        <w:rPr>
          <w:rFonts w:ascii="Arial" w:hAnsi="Arial"/>
          <w:color w:val="000000"/>
          <w:sz w:val="20"/>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pStyle w:val="TextBody"/>
        <w:bidi w:val="0"/>
        <w:spacing w:before="240" w:after="283"/>
        <w:jc w:val="left"/>
        <w:rPr>
          <w:rFonts w:ascii="Arial" w:hAnsi="Arial"/>
          <w:color w:val="000000"/>
          <w:sz w:val="20"/>
        </w:rPr>
      </w:pPr>
      <w:r>
        <w:rPr>
          <w:rFonts w:ascii="Arial" w:hAnsi="Arial"/>
          <w:color w:val="000000"/>
          <w:sz w:val="20"/>
        </w:rPr>
        <w:t>Our development costs may vary significantly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and scope of preclinical and IND-enabling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trials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length of time required to enroll eligible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patients that participate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number of doses that patients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drop-out or discontinuation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duration of patient participation in the trials and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 and timing of manufacturing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phase of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efficacy and safety profile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receipt, and terms of any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maintaining a continued acceptable safety profile of our products following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any interruptions to our operations or to those of third parties with whom we work due to geopolitical and economic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extent to which we establish additional collaboration, license or other arrangements.</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w:t>
      </w:r>
    </w:p>
    <w:p>
      <w:pPr>
        <w:pStyle w:val="TextBody"/>
        <w:bidi w:val="0"/>
        <w:spacing w:before="240" w:after="283"/>
        <w:jc w:val="left"/>
        <w:rPr>
          <w:rFonts w:ascii="Arial" w:hAnsi="Arial"/>
          <w:color w:val="000000"/>
          <w:sz w:val="20"/>
        </w:rPr>
      </w:pPr>
      <w:r>
        <w:rPr>
          <w:rFonts w:ascii="Arial" w:hAnsi="Arial"/>
          <w:color w:val="000000"/>
          <w:sz w:val="20"/>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consist primarily of our upfront payments, milestone payments, and our stock issuances in connection with our acquisition and in-license agreements.</w:t>
      </w:r>
    </w:p>
    <w:p>
      <w:pPr>
        <w:pStyle w:val="TextBody"/>
        <w:bidi w:val="0"/>
        <w:spacing w:before="20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General and administrative</w:t>
      </w:r>
    </w:p>
    <w:p>
      <w:pPr>
        <w:pStyle w:val="TextBody"/>
        <w:bidi w:val="0"/>
        <w:spacing w:before="200" w:after="283"/>
        <w:jc w:val="left"/>
        <w:rPr>
          <w:rFonts w:ascii="Arial" w:hAnsi="Arial"/>
          <w:color w:val="000000"/>
          <w:sz w:val="20"/>
        </w:rPr>
      </w:pPr>
      <w:r>
        <w:rPr>
          <w:rFonts w:ascii="Arial" w:hAnsi="Arial"/>
          <w:color w:val="000000"/>
          <w:sz w:val="20"/>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pStyle w:val="TextBody"/>
        <w:bidi w:val="0"/>
        <w:spacing w:before="200" w:after="283"/>
        <w:jc w:val="left"/>
        <w:rPr>
          <w:rFonts w:ascii="Arial" w:hAnsi="Arial"/>
          <w:color w:val="000000"/>
          <w:sz w:val="20"/>
        </w:rPr>
      </w:pPr>
      <w:r>
        <w:rPr>
          <w:rFonts w:ascii="Arial" w:hAnsi="Arial"/>
          <w:color w:val="000000"/>
          <w:sz w:val="20"/>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income consists primarily of interest earned on our cash, cash equivalents, and marketable securities.</w:t>
      </w:r>
    </w:p>
    <w:p>
      <w:pPr>
        <w:pStyle w:val="TextBody"/>
        <w:bidi w:val="0"/>
        <w:spacing w:before="360" w:after="283"/>
        <w:jc w:val="left"/>
        <w:rPr>
          <w:rFonts w:ascii="Arial" w:hAnsi="Arial"/>
          <w:b/>
          <w:color w:val="000000"/>
          <w:sz w:val="20"/>
        </w:rPr>
      </w:pPr>
      <w:r>
        <w:rPr>
          <w:rFonts w:ascii="Arial" w:hAnsi="Arial"/>
          <w:b/>
          <w:color w:val="000000"/>
          <w:sz w:val="20"/>
        </w:rPr>
        <w:t>Results of operations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Comparison of the years ended December 31, 2025 and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our results of operations for the years ended December 31, 2025 and 2024 (in thousands):</w:t>
      </w:r>
    </w:p>
    <w:tbl>
      <w:tblPr>
        <w:tblW w:w="8308" w:type="dxa"/>
        <w:jc w:val="left"/>
        <w:tblInd w:w="0" w:type="dxa"/>
        <w:tblLayout w:type="fixed"/>
        <w:tblCellMar>
          <w:top w:w="28" w:type="dxa"/>
          <w:left w:w="28" w:type="dxa"/>
          <w:bottom w:w="28" w:type="dxa"/>
          <w:right w:w="28" w:type="dxa"/>
        </w:tblCellMar>
      </w:tblPr>
      <w:tblGrid>
        <w:gridCol w:w="3671"/>
        <w:gridCol w:w="146"/>
        <w:gridCol w:w="211"/>
        <w:gridCol w:w="856"/>
        <w:gridCol w:w="166"/>
        <w:gridCol w:w="146"/>
        <w:gridCol w:w="211"/>
        <w:gridCol w:w="856"/>
        <w:gridCol w:w="166"/>
        <w:gridCol w:w="146"/>
        <w:gridCol w:w="211"/>
        <w:gridCol w:w="751"/>
        <w:gridCol w:w="77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(38,682</w:t>
            </w:r>
          </w:p>
        </w:tc>
        <w:tc>
          <w:tcPr>
            <w:tcW w:w="7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38,682</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37,104</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were $92.9 million for the year ended December 31, 2025 compared to $115.4 million for the year ended December 31, 2024. The decrease of $22.5 million was primarily driven by decreases of $7.0 million in expenses incurred in connection with clinical trials, preclinical studies, and discovery activities, $6.8 million in outsourced services and consulting fees, $3.2 million in personnel costs, including stock-based compensation expense, and $2.0 million in facilities-related expenses and depreciation, and an impairment charge of $3.0 million on operating lease assets, leasehold improvements, and furniture related to the sublease of the first floor of our San Diego facility during the year ended December 31, 2024.</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In-process research and development expenses were $9.5 million for the year ended December 31, 2025 compared to $22.5 million for the year ended December 31, 2024. In-process research and development expenses for the year ended December 31, 2025 were related to the achievement of milestones in connection with our license agreements with Joyo and Medshine. In-process research and development expenses for the year ended December 31, 2024 were related to upfront payments in connection with our license agreements with Joyo and Medshine.</w:t>
      </w:r>
    </w:p>
    <w:p>
      <w:pPr>
        <w:pStyle w:val="TextBody"/>
        <w:bidi w:val="0"/>
        <w:spacing w:before="20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General and administrative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General and administrative expenses were $38.6 million for the year ended December 31, 2025 compared to $41.7 million for the year ended December 31, 2024. The decrease of $3.2 million was primarily driven by an impairment charge of $1.7 million on operating lease assets, leasehold improvements, and furniture related to the sublease of the first floor of our San Diego facility during the year ended December 31, 2024, and decreases of $0.9 million in legal fees and $0.5 million in insurance costs.</w:t>
      </w:r>
    </w:p>
    <w:p>
      <w:pPr>
        <w:pStyle w:val="TextBody"/>
        <w:bidi w:val="0"/>
        <w:spacing w:before="360" w:after="283"/>
        <w:jc w:val="left"/>
        <w:rPr>
          <w:rFonts w:ascii="Arial" w:hAnsi="Arial"/>
          <w:b/>
          <w:color w:val="000000"/>
          <w:sz w:val="20"/>
        </w:rPr>
      </w:pPr>
      <w:r>
        <w:rPr>
          <w:rFonts w:ascii="Arial" w:hAnsi="Arial"/>
          <w:b/>
          <w:color w:val="000000"/>
          <w:sz w:val="20"/>
        </w:rPr>
        <w:t>Other income (expense),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(expense), net was $16.4 million for the year ended December 31, 2025 compared to $17.9 million for the year ended December 31, 2024. The decrease of $1.6 million was primarily related to a decrease in interest earned on our cash, cash equivalents, and marketable securities of $3.5 million, partially offset by $2.2 million in impairment charges on our investment in equity securities during the year ended December 31, 2024.</w:t>
      </w:r>
    </w:p>
    <w:p>
      <w:pPr>
        <w:pStyle w:val="TextBody"/>
        <w:bidi w:val="0"/>
        <w:spacing w:before="360" w:after="283"/>
        <w:jc w:val="left"/>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Sources of liquidity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$317.0 million, net of underwriting discounts and commissions of $24.2 million and offering costs of $3.8 million. Prior to the IPO, we received aggregate gross proceeds of $320.4 million from the sale of shares of our convertible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pStyle w:val="TextBody"/>
        <w:bidi w:val="0"/>
        <w:jc w:val="left"/>
        <w:rPr>
          <w:rFonts w:ascii="Arial" w:hAnsi="Arial"/>
          <w:color w:val="000000"/>
          <w:sz w:val="20"/>
        </w:rPr>
      </w:pPr>
      <w:r>
        <w:rPr>
          <w:rFonts w:ascii="Arial" w:hAnsi="Arial"/>
          <w:color w:val="000000"/>
          <w:sz w:val="20"/>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August 2022, we entered into the Sale Agreement with the Agent, pursuant to which we could offer and sell shares of our common stock having an aggregate offering price of up to $200 million from time to time, in an ATM Offering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common stock under the Sale Agreement at a weighted-average price of $2.37 per share. Proceeds from the ATM Offerings during the year ended December 31, 2024 were $21.0 million, net of commissions and expenses of $0.8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August 2025, we entered into the 2025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December 31, 2025, we had $200.0 million of shares available for sale under the 2025 Sale Agreement.</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2026, we completed the sale and issuance of 25,875,000 shares of our common stock, including the exercise in full by the underwriters of their option to purchase 3,375,000 shares of our common stock, at a price to the public of $10.00 per share. Our aggregate net proceeds from the 2026 Offering were $242.7 million, net of underwriting discounts and commissions and offering costs of $16.1 million.</w:t>
      </w:r>
    </w:p>
    <w:p>
      <w:pPr>
        <w:pStyle w:val="TextBody"/>
        <w:bidi w:val="0"/>
        <w:spacing w:before="360" w:after="283"/>
        <w:jc w:val="left"/>
        <w:rPr>
          <w:rFonts w:ascii="Arial" w:hAnsi="Arial"/>
          <w:b/>
          <w:color w:val="000000"/>
          <w:sz w:val="20"/>
        </w:rPr>
      </w:pPr>
      <w:r>
        <w:rPr>
          <w:rFonts w:ascii="Arial" w:hAnsi="Arial"/>
          <w:b/>
          <w:color w:val="000000"/>
          <w:sz w:val="20"/>
        </w:rPr>
        <w:t>Future capital requirements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December 31, 2025, we had cash, cash equivalents, and marketable securities of $341.8 million. Based upon our current operating plans, we believe that our cash, cash equivalents, and marketable securities as of December 31, 2025, together with the net proceeds of $242.7 million received from the 2026 Offering, which closed in January 2026, less the $150.0 million payment made to Joyo in March 2026 in connection with the option exercise notice,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future capital requirements are difficult to forecast and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manufacturing for our product candidates with CMOs, including commercial manufacturing, if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of obtaining, maintaining, and enforcing our patents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efforts to enhance operational systems and hire additional personnel to satisfy our obligations as a public company, including enhanced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associated with hiring additional personnel, consultants, and CROs as our preclinical and clinical activities increase;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amount of the milestone or other payments we must make to the licensors and other third parties from whom we have in-licensed our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costs and timing of establishing or securing sales and marketing capabilities if any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achieve sufficient market acceptance, coverage, and adequate reimbursement from third-party payors and adequate market share and revenue for any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patients’ willingness to pay out-of-pocket for any approved products in the absence of coverage and/or adequate reimbursement from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terms and timing of establishing and maintaining collaborations, licenses, and other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any delays and cost increases that result from geopolitical and economic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evolving government regulation that impacts the way we operate, including the potential negative effects of changes in United States tariff and import/export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costs associated with any products or technologies that we may in-license or acquire.</w:t>
      </w:r>
    </w:p>
    <w:p>
      <w:pPr>
        <w:pStyle w:val="TextBody"/>
        <w:bidi w:val="0"/>
        <w:spacing w:before="20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color w:val="000000"/>
          <w:sz w:val="20"/>
        </w:rPr>
      </w:pPr>
      <w:r>
        <w:rPr>
          <w:rFonts w:ascii="Arial" w:hAnsi="Arial"/>
          <w:color w:val="000000"/>
          <w:sz w:val="20"/>
        </w:rPr>
        <w:t>We have no other committed sources of capital. Until we can generate a sufficient amount of product revenue to finance our cash requirements, if ever, we expect to finance our future cash needs primarily through equity offerings (including through the 2025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pStyle w:val="TextBody"/>
        <w:bidi w:val="0"/>
        <w:spacing w:before="360" w:after="283"/>
        <w:jc w:val="left"/>
        <w:rPr>
          <w:rFonts w:ascii="Arial" w:hAnsi="Arial"/>
          <w:b/>
          <w:color w:val="000000"/>
          <w:sz w:val="20"/>
        </w:rPr>
      </w:pPr>
      <w:r>
        <w:rPr>
          <w:rFonts w:ascii="Arial" w:hAnsi="Arial"/>
          <w:b/>
          <w:color w:val="000000"/>
          <w:sz w:val="20"/>
        </w:rPr>
        <w:t>Cash flows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shows a summary of our cash flows for the periods presented (in thousands):</w:t>
      </w:r>
    </w:p>
    <w:p>
      <w:pPr>
        <w:pStyle w:val="TextBody"/>
        <w:bidi w:val="0"/>
        <w:jc w:val="left"/>
        <w:rPr/>
      </w:pPr>
      <w:r>
        <w:rPr/>
        <w:t> </w:t>
      </w:r>
    </w:p>
    <w:tbl>
      <w:tblPr>
        <w:tblW w:w="8999" w:type="dxa"/>
        <w:jc w:val="left"/>
        <w:tblInd w:w="0" w:type="dxa"/>
        <w:tblLayout w:type="fixed"/>
        <w:tblCellMar>
          <w:top w:w="28" w:type="dxa"/>
          <w:left w:w="28" w:type="dxa"/>
          <w:bottom w:w="28" w:type="dxa"/>
          <w:right w:w="28" w:type="dxa"/>
        </w:tblCellMar>
      </w:tblPr>
      <w:tblGrid>
        <w:gridCol w:w="6256"/>
        <w:gridCol w:w="146"/>
        <w:gridCol w:w="211"/>
        <w:gridCol w:w="796"/>
        <w:gridCol w:w="166"/>
        <w:gridCol w:w="146"/>
        <w:gridCol w:w="211"/>
        <w:gridCol w:w="856"/>
        <w:gridCol w:w="2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rPr>
      </w:pPr>
      <w:r>
        <w:rPr>
          <w:rFonts w:ascii="Arial" w:hAnsi="Arial"/>
          <w:b/>
          <w:color w:val="000000"/>
          <w:sz w:val="20"/>
        </w:rPr>
        <w:t>Operating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$95.5 million during the year ended December 31, 2025, primarily resulting from a net loss of $124.5 million, accretion on marketable securities of $5.1 million, and changes in operating assets and liabilities of $3.3 million, partially reduced by stock-based compensation expense of $24.9 million, in-process research and development expenses of $9.5 million, which are reflected in investing activities, and depreciation and amortization expense of $3.1 million. Net cash used from changes in operating assets and liabilities consisted primarily of decreases in accrued expenses and other current and long-term liabilities of $3.8 million and operating lease assets and liabilities, net of $1.8 million, partially offset by a decrease in prepaid expenses and other current and long-term assets of $1.8 million and an increase in accounts payable of $0.5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used in operating activities was $109.4 million during the year ended December 31, 2024, primarily resulting from a net loss of $161.7 million and accretion on marketable securities of $9.6 million, partially reduced by stock-based compensation expense of $27.0 million, in-process research and development expenses of $22.5 million in connection with our license agreements with Joyo and Medshine, which are reflected in investing activities, an impairment charge of $4.7 million on operating lease assets, leasehold improvements and furniture, depreciation and amortization expense of $3.8 million, impairment charges of $2.2 million on investment in equity securities, and changes in operating assets and liabilities of $1.7 million. Net cash provided by changes in operating assets and liabilities consisted primarily of an increase in accrued expenses and other current and long-term liabilities of $6.4 million, partially offset by a decrease in accounts payable of $1.5 million, and increases in prepaid expenses and other current and long-term assets of $2.4 million and operating lease assets and liabilities, net of $0.7 million.</w:t>
      </w:r>
    </w:p>
    <w:p>
      <w:pPr>
        <w:pStyle w:val="TextBody"/>
        <w:bidi w:val="0"/>
        <w:spacing w:before="360" w:after="283"/>
        <w:jc w:val="left"/>
        <w:rPr>
          <w:rFonts w:ascii="Arial" w:hAnsi="Arial"/>
          <w:b/>
          <w:color w:val="000000"/>
          <w:sz w:val="20"/>
        </w:rPr>
      </w:pPr>
      <w:r>
        <w:rPr>
          <w:rFonts w:ascii="Arial" w:hAnsi="Arial"/>
          <w:b/>
          <w:color w:val="000000"/>
          <w:sz w:val="20"/>
        </w:rPr>
        <w:t>Investing activities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provided by investing activities was $100.4 million during the year ended December 31, 2025 as compared to net cash used in investing activities of $156.6 million during the year ended December 31, 2024. The increase in cash provided by investing activities of $257.0 million was primarily the result of a decrease in purchases of marketable securities of $252.3 million and a decrease in in-process research and development of $13.0 million, partially offset by a decrease in maturities of marketable securities of $8.3 million.</w:t>
      </w:r>
    </w:p>
    <w:p>
      <w:pPr>
        <w:pStyle w:val="TextBody"/>
        <w:bidi w:val="0"/>
        <w:spacing w:before="200" w:after="283"/>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cash provided by financing activities was $1.1 million during the year ended December 31, 2025 as compared to $240.7 million during the year ended December 31, 2024. During the year ended December 31, 2025, we received $0.7 million from the issuance of common stock under our Employee Stock Purchase Plan (ESPP) and $0.4 million from the exercise of stock options. During the year ended December 31, 2024, we received $174.4 million in net proceeds for the issuance of common stock from the 2024 Offering, $43.6 million in net proceeds for the issuance of common stock from the 2024 Private Placement, $21.0 million in net proceeds for the issuance of common stock from the ATM Offerings, $0.8 million from the issuance of common stock under our ESPP, and $0.8 million from the exercise of stock options.</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Cash requirements due to contractual obligations and other commitments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lease office and laboratory space under lease agreements with varying expiration dates through 2032. As of December 31, 2025, total future aggregate operating lease commitments were $62.6 million, with approximately $9.0 million due in 2026, and the remaining due in periods from 2027 through 2032. See Note 11 to our consolidated financial statements included elsewhere in this Annual Report on Form 10-K for further information.</w:t>
      </w:r>
    </w:p>
    <w:p>
      <w:pPr>
        <w:pStyle w:val="TextBody"/>
        <w:bidi w:val="0"/>
        <w:jc w:val="left"/>
        <w:rPr>
          <w:rFonts w:ascii="Arial" w:hAnsi="Arial"/>
          <w:color w:val="000000"/>
          <w:sz w:val="20"/>
        </w:rPr>
      </w:pPr>
      <w:r>
        <w:rPr>
          <w:rFonts w:ascii="Arial" w:hAnsi="Arial"/>
          <w:color w:val="000000"/>
          <w:sz w:val="20"/>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w:t>
      </w:r>
    </w:p>
    <w:p>
      <w:pPr>
        <w:pStyle w:val="TextBody"/>
        <w:bidi w:val="0"/>
        <w:jc w:val="left"/>
        <w:rPr>
          <w:rFonts w:ascii="Arial" w:hAnsi="Arial"/>
          <w:color w:val="000000"/>
          <w:sz w:val="20"/>
        </w:rPr>
      </w:pPr>
      <w:r>
        <w:rPr>
          <w:rFonts w:ascii="Arial" w:hAnsi="Arial"/>
          <w:color w:val="000000"/>
          <w:sz w:val="20"/>
        </w:rPr>
        <w:t>Additionally, there are additional potential development and sales milestone payments and royalty payments we may be required to make under license agreements we have entered into pursuant to which we have in-licensed certain intellectual property. For additional information regarding these agreements, see the section titled “Business—Our acquisition and license agreements” in this Annual Report on Form 10-K. The timing of when these additional payments will actually be made is uncertain as these payments are contingent upon the completion of future activities.</w:t>
      </w:r>
    </w:p>
    <w:p>
      <w:pPr>
        <w:pStyle w:val="TextBody"/>
        <w:bidi w:val="0"/>
        <w:spacing w:before="360" w:after="283"/>
        <w:jc w:val="left"/>
        <w:rPr>
          <w:rFonts w:ascii="Arial" w:hAnsi="Arial"/>
          <w:b/>
          <w:color w:val="000000"/>
          <w:sz w:val="20"/>
        </w:rPr>
      </w:pPr>
      <w:r>
        <w:rPr>
          <w:rFonts w:ascii="Arial" w:hAnsi="Arial"/>
          <w:b/>
          <w:color w:val="000000"/>
          <w:sz w:val="20"/>
        </w:rPr>
        <w:t>Critical accounting policies and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This management discussion and analysis of financial condition and results of operations is based on our consolidated financial statements, which have been prepared in accordance with US GAAP. The preparation of these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w:t>
      </w:r>
    </w:p>
    <w:p>
      <w:pPr>
        <w:pStyle w:val="TextBody"/>
        <w:bidi w:val="0"/>
        <w:jc w:val="both"/>
        <w:rPr>
          <w:rFonts w:ascii="Arial" w:hAnsi="Arial"/>
          <w:color w:val="000000"/>
          <w:sz w:val="20"/>
        </w:rPr>
      </w:pPr>
      <w:r>
        <w:rPr>
          <w:rFonts w:ascii="Arial" w:hAnsi="Arial"/>
          <w:color w:val="000000"/>
          <w:sz w:val="20"/>
        </w:rPr>
        <w:t>While our significant accounting policies are described in more detail in Note 2 to our consolidated financial statements included elsewhere in this Annual Report on Form 10-K, we believe that the following accounting policies are the most critical to understanding and evaluating our historical and future performance.</w:t>
      </w:r>
    </w:p>
    <w:p>
      <w:pPr>
        <w:pStyle w:val="TextBody"/>
        <w:bidi w:val="0"/>
        <w:spacing w:before="360" w:after="283"/>
        <w:jc w:val="left"/>
        <w:rPr>
          <w:rFonts w:ascii="Arial" w:hAnsi="Arial"/>
          <w:b/>
          <w:i/>
          <w:color w:val="000000"/>
          <w:sz w:val="20"/>
        </w:rPr>
      </w:pPr>
      <w:r>
        <w:rPr>
          <w:rFonts w:ascii="Arial" w:hAnsi="Arial"/>
          <w:b/>
          <w:i/>
          <w:color w:val="000000"/>
          <w:sz w:val="20"/>
        </w:rPr>
        <w:t>Accrued research and development expenses</w:t>
      </w:r>
    </w:p>
    <w:p>
      <w:pPr>
        <w:pStyle w:val="TextBody"/>
        <w:bidi w:val="0"/>
        <w:jc w:val="left"/>
        <w:rPr>
          <w:rFonts w:ascii="Arial" w:hAnsi="Arial"/>
          <w:color w:val="000000"/>
          <w:sz w:val="20"/>
        </w:rPr>
      </w:pPr>
      <w:r>
        <w:rPr>
          <w:rFonts w:ascii="Arial" w:hAnsi="Arial"/>
          <w:color w:val="000000"/>
          <w:sz w:val="20"/>
        </w:rPr>
        <w:t>We are required to make estimates of our accrued expenses resulting from our obligations under contracts with CROs, CMOs,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We reflect research and development expenses in our consolidated financial statements by matching those expenses with the period in which services and efforts are expended.</w:t>
      </w:r>
    </w:p>
    <w:p>
      <w:pPr>
        <w:pStyle w:val="TextBody"/>
        <w:bidi w:val="0"/>
        <w:jc w:val="left"/>
        <w:rPr>
          <w:rFonts w:ascii="Arial" w:hAnsi="Arial"/>
          <w:color w:val="000000"/>
          <w:sz w:val="20"/>
        </w:rPr>
      </w:pPr>
      <w:r>
        <w:rPr>
          <w:rFonts w:ascii="Arial" w:hAnsi="Arial"/>
          <w:color w:val="000000"/>
          <w:sz w:val="20"/>
        </w:rPr>
        <w:t>We account for these expenses by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pStyle w:val="TextBody"/>
        <w:bidi w:val="0"/>
        <w:spacing w:before="200" w:after="283"/>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base our expenses related to research and development activities on our estimates of the services received and efforts expended pursuant to quotes and contracts with vendors that conduct research and development on our behalf.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jc w:val="left"/>
        <w:rPr>
          <w:rFonts w:ascii="Arial" w:hAnsi="Arial"/>
          <w:color w:val="000000"/>
          <w:sz w:val="20"/>
        </w:rPr>
      </w:pPr>
      <w:r>
        <w:rPr>
          <w:rFonts w:ascii="Arial" w:hAnsi="Arial"/>
          <w:color w:val="000000"/>
          <w:sz w:val="20"/>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360" w:after="283"/>
        <w:jc w:val="left"/>
        <w:rPr>
          <w:rFonts w:ascii="Arial" w:hAnsi="Arial"/>
          <w:b/>
          <w:i/>
          <w:color w:val="000000"/>
          <w:sz w:val="20"/>
        </w:rPr>
      </w:pPr>
      <w:r>
        <w:rPr>
          <w:rFonts w:ascii="Arial" w:hAnsi="Arial"/>
          <w:b/>
          <w:i/>
          <w:color w:val="000000"/>
          <w:sz w:val="20"/>
        </w:rPr>
        <w:t>Stock-based compensation</w:t>
      </w:r>
    </w:p>
    <w:p>
      <w:pPr>
        <w:pStyle w:val="TextBody"/>
        <w:bidi w:val="0"/>
        <w:jc w:val="both"/>
        <w:rPr>
          <w:rFonts w:ascii="Arial" w:hAnsi="Arial"/>
          <w:color w:val="000000"/>
          <w:sz w:val="20"/>
        </w:rPr>
      </w:pPr>
      <w:r>
        <w:rPr>
          <w:rFonts w:ascii="Arial" w:hAnsi="Arial"/>
          <w:color w:val="000000"/>
          <w:sz w:val="20"/>
        </w:rPr>
        <w:t>Stock-based compensation expense represents the cost of the grant date fair value of equity awards recognized over the requisite service period of the awards (usually the vesting period) on a straight-line basis. We estimate the fair value of stock option awards using the Black-Scholes option pricing model and recognize forfeitures as they occur.</w:t>
      </w:r>
    </w:p>
    <w:p>
      <w:pPr>
        <w:pStyle w:val="TextBody"/>
        <w:bidi w:val="0"/>
        <w:jc w:val="left"/>
        <w:rPr>
          <w:rFonts w:ascii="Arial" w:hAnsi="Arial"/>
          <w:color w:val="000000"/>
          <w:sz w:val="20"/>
        </w:rPr>
      </w:pPr>
      <w:r>
        <w:rPr>
          <w:rFonts w:ascii="Arial" w:hAnsi="Arial"/>
          <w:color w:val="000000"/>
          <w:sz w:val="20"/>
        </w:rPr>
        <w:t>The Black-Scholes option pricing model requires the use of subjective assumptions, including the risk-free interest rate, the expected stock price volatility, the expected term of stock options, and the expected dividend yield. Changes in these assumptions can materially affect the fair value and ultimately how much stock-based compensation expense is recognized. These inputs are subjective and generally require judgment to develop. See Note 10 to our consolidated financial statements included elsewhere in this Annual Report on Form 10-K for information concerning certain of the specific assumptions we used in applying the Black-Scholes option pricing model to determine the estimated fair value of our stock options granted in the years ended December 31, 2025 and 2024.</w:t>
      </w:r>
    </w:p>
    <w:p>
      <w:pPr>
        <w:pStyle w:val="TextBody"/>
        <w:bidi w:val="0"/>
        <w:spacing w:before="360" w:after="283"/>
        <w:jc w:val="left"/>
        <w:rPr>
          <w:rFonts w:ascii="Arial" w:hAnsi="Arial"/>
          <w:b/>
          <w:color w:val="000000"/>
          <w:sz w:val="20"/>
        </w:rPr>
      </w:pPr>
      <w:r>
        <w:rPr>
          <w:rFonts w:ascii="Arial" w:hAnsi="Arial"/>
          <w:b/>
          <w:color w:val="000000"/>
          <w:sz w:val="20"/>
        </w:rPr>
        <w:t>Recently issued and adopted accounting pronouncements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See Note 2 to our consolidated financial statements included elsewhere in this Annual Report on Form 10-K for recently issued and adopted accounting pronouncements.</w:t>
      </w:r>
    </w:p>
    <w:p>
      <w:pPr>
        <w:pStyle w:val="TextBody"/>
        <w:bidi w:val="0"/>
        <w:spacing w:before="360" w:after="283"/>
        <w:jc w:val="left"/>
        <w:rPr>
          <w:rFonts w:ascii="Arial" w:hAnsi="Arial"/>
          <w:b/>
          <w:color w:val="000000"/>
          <w:sz w:val="20"/>
        </w:rPr>
      </w:pPr>
      <w:r>
        <w:rPr>
          <w:rFonts w:ascii="Arial" w:hAnsi="Arial"/>
          <w:b/>
          <w:color w:val="000000"/>
          <w:sz w:val="20"/>
        </w:rPr>
        <w:t>Emerging growth company and smaller reporting company status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360" w:after="283"/>
        <w:jc w:val="left"/>
        <w:rPr>
          <w:rFonts w:ascii="Arial" w:hAnsi="Arial"/>
          <w:b/>
          <w:color w:val="000000"/>
          <w:sz w:val="20"/>
        </w:rPr>
      </w:pPr>
      <w:bookmarkStart w:id="15" w:name="quantitative_and_qualitative_"/>
      <w:bookmarkEnd w:id="15"/>
      <w:r>
        <w:rPr>
          <w:rFonts w:ascii="Arial" w:hAnsi="Arial"/>
          <w:b/>
          <w:color w:val="000000"/>
          <w:sz w:val="20"/>
        </w:rPr>
        <w:t>Item 7A. Quantitative and Qualitative Disclosures About Market Risk.</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rate risk</w:t>
      </w:r>
    </w:p>
    <w:p>
      <w:pPr>
        <w:pStyle w:val="TextBody"/>
        <w:bidi w:val="0"/>
        <w:jc w:val="left"/>
        <w:rPr>
          <w:rFonts w:ascii="Arial" w:hAnsi="Arial"/>
          <w:color w:val="000000"/>
          <w:sz w:val="20"/>
        </w:rPr>
      </w:pPr>
      <w:r>
        <w:rPr>
          <w:rFonts w:ascii="Arial" w:hAnsi="Arial"/>
          <w:color w:val="000000"/>
          <w:sz w:val="20"/>
        </w:rPr>
        <w:t>We are exposed to market risk related to changes in interest rates of our investment portfolio of cash equivalents and marketable securities. As of December 31, 2025, our cash equivalents and marketable securities consisted of money market funds, commercial paper, US treasury securities, and US government agency securities.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resulting from geopolitical and economic events. Due to the nature of our cash equivalents and marketable securities, we believe an immediate hypothetical 10% change in interest rates would not have had a material effect on our results of operations during the periods presented.</w:t>
      </w:r>
    </w:p>
    <w:p>
      <w:pPr>
        <w:pStyle w:val="TextBody"/>
        <w:bidi w:val="0"/>
        <w:spacing w:before="360" w:after="283"/>
        <w:jc w:val="left"/>
        <w:rPr>
          <w:rFonts w:ascii="Arial" w:hAnsi="Arial"/>
          <w:b/>
          <w:i/>
          <w:color w:val="000000"/>
          <w:sz w:val="20"/>
        </w:rPr>
      </w:pPr>
      <w:r>
        <w:rPr>
          <w:rFonts w:ascii="Arial" w:hAnsi="Arial"/>
          <w:b/>
          <w:i/>
          <w:color w:val="000000"/>
          <w:sz w:val="20"/>
        </w:rPr>
        <w:t>Foreign currency exchange risk</w:t>
      </w:r>
    </w:p>
    <w:p>
      <w:pPr>
        <w:pStyle w:val="TextBody"/>
        <w:bidi w:val="0"/>
        <w:jc w:val="left"/>
        <w:rPr>
          <w:rFonts w:ascii="Arial" w:hAnsi="Arial"/>
          <w:color w:val="000000"/>
          <w:sz w:val="20"/>
        </w:rPr>
      </w:pPr>
      <w:r>
        <w:rPr>
          <w:rFonts w:ascii="Arial" w:hAnsi="Arial"/>
          <w:color w:val="000000"/>
          <w:sz w:val="20"/>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these arrangements. To date, these fluctuations have not been significant and we have not had a formal hedging program with respect to foreign currency. We believe an immediate hypothetical 10% change in exchange rates would not have had a material effect on our results of operations during the periods presented.</w:t>
      </w:r>
    </w:p>
    <w:p>
      <w:pPr>
        <w:pStyle w:val="TextBody"/>
        <w:bidi w:val="0"/>
        <w:spacing w:before="360" w:after="283"/>
        <w:jc w:val="left"/>
        <w:rPr>
          <w:rFonts w:ascii="Arial" w:hAnsi="Arial"/>
          <w:b/>
          <w:i/>
          <w:color w:val="000000"/>
          <w:sz w:val="20"/>
        </w:rPr>
      </w:pPr>
      <w:r>
        <w:rPr>
          <w:rFonts w:ascii="Arial" w:hAnsi="Arial"/>
          <w:b/>
          <w:i/>
          <w:color w:val="000000"/>
          <w:sz w:val="20"/>
        </w:rPr>
        <w:t>Effects of inflation</w:t>
      </w:r>
    </w:p>
    <w:p>
      <w:pPr>
        <w:pStyle w:val="TextBody"/>
        <w:bidi w:val="0"/>
        <w:jc w:val="left"/>
        <w:rPr>
          <w:rFonts w:ascii="Arial" w:hAnsi="Arial"/>
          <w:color w:val="000000"/>
          <w:sz w:val="20"/>
        </w:rPr>
      </w:pPr>
      <w:r>
        <w:rPr>
          <w:rFonts w:ascii="Arial" w:hAnsi="Arial"/>
          <w:color w:val="000000"/>
          <w:sz w:val="20"/>
        </w:rPr>
        <w:t>Inflation generally affects us by increasing our cost of labor and research and development contract costs. We believe inflation has not had a material effect on our results of operations during the periods presented.</w:t>
      </w:r>
    </w:p>
    <w:p>
      <w:pPr>
        <w:pStyle w:val="TextBody"/>
        <w:bidi w:val="0"/>
        <w:spacing w:before="360" w:after="283"/>
        <w:jc w:val="left"/>
        <w:rPr>
          <w:rFonts w:ascii="Times New Roman" w:hAnsi="Times New Roman"/>
          <w:sz w:val="20"/>
        </w:rPr>
      </w:pPr>
      <w:bookmarkStart w:id="16" w:name="financial_stmt_and_supplementary_data_"/>
      <w:bookmarkEnd w:id="16"/>
      <w:r>
        <w:rPr>
          <w:rFonts w:ascii="Arial" w:hAnsi="Arial"/>
          <w:b/>
          <w:color w:val="000000"/>
          <w:sz w:val="20"/>
        </w:rPr>
        <w:t>Item 8. Financial Statements</w:t>
      </w:r>
      <w:r>
        <w:rPr>
          <w:rFonts w:ascii="Times New Roman" w:hAnsi="Times New Roman"/>
          <w:color w:val="000000"/>
          <w:sz w:val="20"/>
        </w:rPr>
        <w:t xml:space="preserve"> </w:t>
      </w:r>
      <w:r>
        <w:rPr>
          <w:rFonts w:ascii="Arial" w:hAnsi="Arial"/>
          <w:b/>
          <w:color w:val="000000"/>
          <w:sz w:val="20"/>
        </w:rPr>
        <w:t>and Supplementary Data.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financial statements required to be filed pursuant to this Item 8 are appended to this Annual Report on Form 10-K. An index of those financial statements is found in Index to the Consolidated Financial Statements on page F-1 of this Annual Report on Form 10-K, as incorporated into Item 15, Exhibits and Financial Statement Schedules, of this Annual Report on Form 10-K, by reference.</w:t>
      </w:r>
    </w:p>
    <w:p>
      <w:pPr>
        <w:pStyle w:val="TextBody"/>
        <w:bidi w:val="0"/>
        <w:spacing w:before="360" w:after="283"/>
        <w:jc w:val="left"/>
        <w:rPr>
          <w:rFonts w:ascii="Arial" w:hAnsi="Arial"/>
          <w:b/>
          <w:color w:val="000000"/>
          <w:sz w:val="20"/>
        </w:rPr>
      </w:pPr>
      <w:bookmarkStart w:id="17" w:name="changes_in_and_disagreements_"/>
      <w:bookmarkEnd w:id="17"/>
      <w:r>
        <w:rPr>
          <w:rFonts w:ascii="Arial" w:hAnsi="Arial"/>
          <w:b/>
          <w:color w:val="000000"/>
          <w:sz w:val="20"/>
        </w:rPr>
        <w:t>Item 9. Changes in and Disagreements with Accountants on Accounting and Financial Disclosure.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spacing w:before="200" w:after="283"/>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18" w:name="controls_and_procedures_"/>
      <w:bookmarkEnd w:id="18"/>
      <w:r>
        <w:rPr>
          <w:rFonts w:ascii="Arial" w:hAnsi="Arial"/>
          <w:b/>
          <w:color w:val="000000"/>
          <w:sz w:val="20"/>
        </w:rPr>
        <w:t>Item 9A.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2025, our disclosure controls and procedures were effective at the reasonable assurance level.</w:t>
      </w:r>
    </w:p>
    <w:p>
      <w:pPr>
        <w:pStyle w:val="TextBody"/>
        <w:bidi w:val="0"/>
        <w:spacing w:before="360" w:after="283"/>
        <w:jc w:val="left"/>
        <w:rPr>
          <w:rFonts w:ascii="Arial" w:hAnsi="Arial"/>
          <w:b/>
          <w:color w:val="000000"/>
          <w:sz w:val="20"/>
        </w:rPr>
      </w:pPr>
      <w:r>
        <w:rPr>
          <w:rFonts w:ascii="Arial" w:hAnsi="Arial"/>
          <w:b/>
          <w:color w:val="000000"/>
          <w:sz w:val="20"/>
        </w:rPr>
        <w:t>Management’s Report and Attestation Report on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pStyle w:val="TextBody"/>
        <w:bidi w:val="0"/>
        <w:jc w:val="left"/>
        <w:rPr>
          <w:rFonts w:ascii="Arial" w:hAnsi="Arial"/>
          <w:color w:val="000000"/>
          <w:sz w:val="20"/>
        </w:rPr>
      </w:pPr>
      <w:r>
        <w:rPr>
          <w:rFonts w:ascii="Arial" w:hAnsi="Arial"/>
          <w:color w:val="000000"/>
          <w:sz w:val="20"/>
        </w:rPr>
        <w:t>This Annual Report on Form 10-K does not include an attestation report of our independent registered public accounting firm on our internal control over financial reporting due to an exemption established by the JOBS Act for emerging growth companies.</w:t>
      </w:r>
    </w:p>
    <w:p>
      <w:pPr>
        <w:pStyle w:val="TextBody"/>
        <w:bidi w:val="0"/>
        <w:spacing w:before="36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have been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360" w:after="283"/>
        <w:jc w:val="left"/>
        <w:rPr>
          <w:rFonts w:ascii="Arial" w:hAnsi="Arial"/>
          <w:b/>
          <w:color w:val="000000"/>
          <w:sz w:val="20"/>
        </w:rPr>
      </w:pPr>
      <w:bookmarkStart w:id="19" w:name="item_9b"/>
      <w:bookmarkEnd w:id="19"/>
      <w:r>
        <w:rPr>
          <w:rFonts w:ascii="Arial" w:hAnsi="Arial"/>
          <w:b/>
          <w:color w:val="000000"/>
          <w:sz w:val="20"/>
        </w:rPr>
        <w:t>Item 9B. Other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time to time, our officers (as defined in Rule 16a–1(f) of the Exchange Act) and directors may enter into Rule 10b5-1 or non-Rule 10b5-1 trading arrangements (as each such term is defined in Item 408 of Regulation S-K). During the three months ended December 31, 2025, none of our officers or directors adopted, materially modified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any such trading arrangements.</w:t>
      </w:r>
    </w:p>
    <w:p>
      <w:pPr>
        <w:pStyle w:val="TextBody"/>
        <w:bidi w:val="0"/>
        <w:spacing w:before="360" w:after="283"/>
        <w:jc w:val="left"/>
        <w:rPr>
          <w:rFonts w:ascii="Arial" w:hAnsi="Arial"/>
          <w:b/>
          <w:color w:val="000000"/>
          <w:sz w:val="20"/>
        </w:rPr>
      </w:pPr>
      <w:bookmarkStart w:id="20" w:name="item_9c"/>
      <w:bookmarkEnd w:id="20"/>
      <w:r>
        <w:rPr>
          <w:rFonts w:ascii="Arial" w:hAnsi="Arial"/>
          <w:b/>
          <w:color w:val="000000"/>
          <w:sz w:val="20"/>
        </w:rPr>
        <w:t>Item 9C. Disclosure Regarding Foreign Jurisdictions that Prevent Inspections.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200" w:after="283"/>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21" w:name="part_iii"/>
      <w:bookmarkEnd w:id="21"/>
      <w:r>
        <w:rPr>
          <w:rFonts w:ascii="Arial" w:hAnsi="Arial"/>
          <w:b/>
          <w:color w:val="000000"/>
          <w:sz w:val="20"/>
        </w:rPr>
        <w:t>PART III</w:t>
      </w:r>
    </w:p>
    <w:p>
      <w:pPr>
        <w:pStyle w:val="TextBody"/>
        <w:bidi w:val="0"/>
        <w:jc w:val="left"/>
        <w:rPr/>
      </w:pPr>
      <w:r>
        <w:rPr/>
        <w:t> </w:t>
      </w:r>
    </w:p>
    <w:p>
      <w:pPr>
        <w:pStyle w:val="TextBody"/>
        <w:bidi w:val="0"/>
        <w:jc w:val="left"/>
        <w:rPr>
          <w:rFonts w:ascii="Arial" w:hAnsi="Arial"/>
          <w:b/>
          <w:color w:val="000000"/>
          <w:sz w:val="20"/>
        </w:rPr>
      </w:pPr>
      <w:bookmarkStart w:id="22" w:name="directors_executive_officers_"/>
      <w:bookmarkEnd w:id="22"/>
      <w:r>
        <w:rPr>
          <w:rFonts w:ascii="Arial" w:hAnsi="Arial"/>
          <w:b/>
          <w:color w:val="000000"/>
          <w:sz w:val="20"/>
        </w:rPr>
        <w:t>Item 10. Directors, Executive Officers and Corporate Governance.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information required by this Item 10 will be included in our Definitive Proxy Statement to be filed with the SEC, with respect to our 2026 Annual Meeting of Stockholders within 120 days of the end of our fiscal year (Definitive Proxy Statement),</w:t>
      </w:r>
      <w:r>
        <w:rPr>
          <w:rFonts w:ascii="Times New Roman" w:hAnsi="Times New Roman"/>
          <w:color w:val="000000"/>
          <w:sz w:val="20"/>
        </w:rPr>
        <w:t xml:space="preserve"> </w:t>
      </w:r>
      <w:r>
        <w:rPr>
          <w:rFonts w:ascii="Arial" w:hAnsi="Arial"/>
          <w:color w:val="000000"/>
          <w:sz w:val="20"/>
        </w:rPr>
        <w:t>under the headings “Election of Directors,” “Corporate Governance,” “Executive Officers,” and “Section 16(a) Beneficial Ownership Reporting Compliance,” and is incorporated herein by reference.</w:t>
      </w:r>
    </w:p>
    <w:p>
      <w:pPr>
        <w:pStyle w:val="TextBody"/>
        <w:bidi w:val="0"/>
        <w:spacing w:before="360" w:after="283"/>
        <w:jc w:val="left"/>
        <w:rPr>
          <w:rFonts w:ascii="Times New Roman" w:hAnsi="Times New Roman"/>
          <w:sz w:val="20"/>
        </w:rPr>
      </w:pPr>
      <w:r>
        <w:rPr>
          <w:rFonts w:ascii="Arial" w:hAnsi="Arial"/>
          <w:b/>
          <w:color w:val="000000"/>
          <w:sz w:val="20"/>
        </w:rPr>
        <w:t>Code of Business Conduct and Ethics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adopted a Code of Business Conduct and Ethics that applies to our officers, directors and employees, which is available on our website at https://investors.erasca.com/corporate-governance/documents-charters. The Code of Business Conduct and Ethics contains general guidelines for conducting the business of our company consistent with the highest standards of business ethics and is intended to qualify as a “code of ethics” within the meaning of Section 406 of Sarbanes-Oxley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pStyle w:val="TextBody"/>
        <w:bidi w:val="0"/>
        <w:spacing w:before="360" w:after="283"/>
        <w:jc w:val="left"/>
        <w:rPr>
          <w:rFonts w:ascii="Arial" w:hAnsi="Arial"/>
          <w:b/>
          <w:color w:val="000000"/>
          <w:sz w:val="20"/>
        </w:rPr>
      </w:pPr>
      <w:r>
        <w:rPr>
          <w:rFonts w:ascii="Arial" w:hAnsi="Arial"/>
          <w:b/>
          <w:color w:val="000000"/>
          <w:sz w:val="20"/>
        </w:rPr>
        <w:t>Insider Trading Policy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have adopted</w:t>
      </w:r>
      <w:r>
        <w:rPr>
          <w:rFonts w:ascii="Times New Roman" w:hAnsi="Times New Roman"/>
          <w:color w:val="000000"/>
          <w:sz w:val="20"/>
        </w:rPr>
        <w:t xml:space="preserve"> </w:t>
      </w:r>
      <w:r>
        <w:rPr>
          <w:rFonts w:ascii="Arial" w:hAnsi="Arial"/>
          <w:color w:val="000000"/>
          <w:sz w:val="20"/>
        </w:rPr>
        <w:t>an insider trading policy and procedures governing the purchase, sale, and/or other dispositions of our securities by our directors, officers, employees, and other covered persons that are designed to promote compliance with insider trading laws, rules and regulations, and the Nasdaq Stock Market LLC listing rules, as applicable. A copy of our Insider Trading Compliance Policy and Procedures is filed as Exhibit 19.1 to this annual report on Form 10-K. It is our policy to comply with US insider trading laws and regulations, including with respect to transactions in our own securities.</w:t>
      </w:r>
    </w:p>
    <w:p>
      <w:pPr>
        <w:pStyle w:val="TextBody"/>
        <w:bidi w:val="0"/>
        <w:spacing w:before="360" w:after="283"/>
        <w:jc w:val="left"/>
        <w:rPr>
          <w:rFonts w:ascii="Arial" w:hAnsi="Arial"/>
          <w:b/>
          <w:color w:val="000000"/>
          <w:sz w:val="20"/>
        </w:rPr>
      </w:pPr>
      <w:bookmarkStart w:id="23" w:name="executive_compensation_"/>
      <w:bookmarkEnd w:id="23"/>
      <w:r>
        <w:rPr>
          <w:rFonts w:ascii="Arial" w:hAnsi="Arial"/>
          <w:b/>
          <w:color w:val="000000"/>
          <w:sz w:val="20"/>
        </w:rPr>
        <w:t>Item 11. Executive Compensation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information required by this Item 11 will be included in our Definitive Proxy Statement under the heading “Executive Compensation and Other Information,” and is incorporated herein by reference.</w:t>
      </w:r>
    </w:p>
    <w:p>
      <w:pPr>
        <w:pStyle w:val="TextBody"/>
        <w:bidi w:val="0"/>
        <w:spacing w:before="360" w:after="283"/>
        <w:jc w:val="left"/>
        <w:rPr>
          <w:rFonts w:ascii="Arial" w:hAnsi="Arial"/>
          <w:b/>
          <w:color w:val="000000"/>
          <w:sz w:val="20"/>
        </w:rPr>
      </w:pPr>
      <w:bookmarkStart w:id="24" w:name="security_owner_certain_beneficial_owner_"/>
      <w:bookmarkEnd w:id="24"/>
      <w:r>
        <w:rPr>
          <w:rFonts w:ascii="Arial" w:hAnsi="Arial"/>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information required by this Item 12 will be included in our Definitive Proxy Statement under the heading “Security Ownership of Certain Beneficial Owners and Management,” and is incorporated herein by reference.</w:t>
      </w:r>
    </w:p>
    <w:p>
      <w:pPr>
        <w:pStyle w:val="TextBody"/>
        <w:bidi w:val="0"/>
        <w:spacing w:before="360" w:after="283"/>
        <w:jc w:val="left"/>
        <w:rPr>
          <w:rFonts w:ascii="Arial" w:hAnsi="Arial"/>
          <w:b/>
          <w:color w:val="000000"/>
          <w:sz w:val="20"/>
        </w:rPr>
      </w:pPr>
      <w:bookmarkStart w:id="25" w:name="certain_relationship_related_trans_"/>
      <w:bookmarkEnd w:id="25"/>
      <w:r>
        <w:rPr>
          <w:rFonts w:ascii="Arial" w:hAnsi="Arial"/>
          <w:b/>
          <w:color w:val="000000"/>
          <w:sz w:val="20"/>
        </w:rPr>
        <w:t>Item 13. Certain Relationships and Related Transactions, and Director Independence.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information required by this Item 13 will be included in our Definitive Proxy Statement under the headings “Certain Relationships and Related Person Transactions,” “Board Independence” and “Committees of the Board of Directors,” and is incorporated herein by reference.</w:t>
      </w:r>
    </w:p>
    <w:p>
      <w:pPr>
        <w:pStyle w:val="TextBody"/>
        <w:bidi w:val="0"/>
        <w:spacing w:before="360" w:after="283"/>
        <w:jc w:val="left"/>
        <w:rPr>
          <w:rFonts w:ascii="Arial" w:hAnsi="Arial"/>
          <w:b/>
          <w:color w:val="000000"/>
          <w:sz w:val="20"/>
        </w:rPr>
      </w:pPr>
      <w:bookmarkStart w:id="26" w:name="principal_account_fees_and_services_"/>
      <w:bookmarkEnd w:id="26"/>
      <w:r>
        <w:rPr>
          <w:rFonts w:ascii="Arial" w:hAnsi="Arial"/>
          <w:b/>
          <w:color w:val="000000"/>
          <w:sz w:val="20"/>
        </w:rPr>
        <w:t>Item 14. Principal Accountant Fees and Services.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information required by this Item 14 will be included in our Definitive Proxy Statement under the heading “Independent Registered Public Accountants’ Fees,” and is incorporated herein by reference.</w:t>
      </w:r>
    </w:p>
    <w:p>
      <w:pPr>
        <w:pStyle w:val="TextBody"/>
        <w:bidi w:val="0"/>
        <w:spacing w:before="200" w:after="283"/>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bookmarkStart w:id="27" w:name="part_iv_"/>
      <w:bookmarkEnd w:id="27"/>
      <w:r>
        <w:rPr>
          <w:rFonts w:ascii="Arial" w:hAnsi="Arial"/>
          <w:b/>
          <w:color w:val="000000"/>
          <w:sz w:val="20"/>
        </w:rPr>
        <w:t>PART IV</w:t>
      </w:r>
    </w:p>
    <w:p>
      <w:pPr>
        <w:pStyle w:val="TextBody"/>
        <w:bidi w:val="0"/>
        <w:jc w:val="left"/>
        <w:rPr/>
      </w:pPr>
      <w:r>
        <w:rPr/>
        <w:t> </w:t>
      </w:r>
    </w:p>
    <w:p>
      <w:pPr>
        <w:pStyle w:val="TextBody"/>
        <w:bidi w:val="0"/>
        <w:jc w:val="left"/>
        <w:rPr>
          <w:rFonts w:ascii="Arial" w:hAnsi="Arial"/>
          <w:b/>
          <w:color w:val="000000"/>
          <w:sz w:val="20"/>
        </w:rPr>
      </w:pPr>
      <w:bookmarkStart w:id="28" w:name="exhibits_financial_statement_schedules_"/>
      <w:bookmarkEnd w:id="28"/>
      <w:r>
        <w:rPr>
          <w:rFonts w:ascii="Arial" w:hAnsi="Arial"/>
          <w:b/>
          <w:color w:val="000000"/>
          <w:sz w:val="20"/>
        </w:rPr>
        <w:t>Item 15. Exhibits, Financial Statement Schedules.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 For a list of the financial statements included herein, see Index to the Consolidated Financial Statements on page F-1 of this Annual Report on Form 10-K, incorporated into this Item by reference.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(2) Financial statement schedules have been omitted because they are either not required or not applicable or the information is included in the consolidated financial statements or the notes thereto.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(3) The exhibits filed as part of this Annual Report on Form 10-K are set forth on the Exhibit Index immediately preceding the signature page of this Annual Report on Form 10-K. The Exhibit Index is incorporated herein by reference.</w:t>
      </w:r>
    </w:p>
    <w:p>
      <w:pPr>
        <w:pStyle w:val="TextBody"/>
        <w:bidi w:val="0"/>
        <w:spacing w:before="360" w:after="283"/>
        <w:jc w:val="left"/>
        <w:rPr>
          <w:rFonts w:ascii="Arial" w:hAnsi="Arial"/>
          <w:b/>
          <w:color w:val="000000"/>
          <w:sz w:val="20"/>
        </w:rPr>
      </w:pPr>
      <w:bookmarkStart w:id="29" w:name="form_10_summary_"/>
      <w:bookmarkEnd w:id="29"/>
      <w:r>
        <w:rPr>
          <w:rFonts w:ascii="Arial" w:hAnsi="Arial"/>
          <w:b/>
          <w:color w:val="000000"/>
          <w:sz w:val="20"/>
        </w:rPr>
        <w:t>Item 16. Form 10-K Summary.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spacing w:before="200" w:after="283"/>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Index to Consolidated Financial Statements</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6826"/>
        <w:gridCol w:w="616"/>
      </w:tblGrid>
      <w:tr>
        <w:trPr/>
        <w:tc>
          <w:tcPr>
            <w:tcW w:w="68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Page</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Arial" w:hAnsi="Arial"/>
                  <w:color w:val="0000FF"/>
                  <w:sz w:val="20"/>
                  <w:u w:val="single"/>
                </w:rPr>
                <w:t>Report of independent registered public accounting firm</w:t>
              </w:r>
            </w:hyperlink>
            <w:r>
              <w:rPr>
                <w:rFonts w:ascii="Times New Roman" w:hAnsi="Times New Roman"/>
                <w:color w:val="000000"/>
                <w:sz w:val="20"/>
              </w:rPr>
              <w:t> </w:t>
            </w:r>
            <w:r>
              <w:rPr>
                <w:rFonts w:ascii="Arial" w:hAnsi="Arial"/>
                <w:color w:val="000000"/>
                <w:sz w:val="20"/>
              </w:rPr>
              <w:t>(Auditor Firm ID: 185)</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F-2</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F-3</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Arial" w:hAnsi="Arial"/>
                  <w:color w:val="0000FF"/>
                  <w:sz w:val="20"/>
                  <w:u w:val="single"/>
                </w:rPr>
                <w:t>Consolidated statements of operations and comprehensive loss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F-4</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stock_and_stockholders">
              <w:r>
                <w:rPr>
                  <w:rStyle w:val="InternetLink"/>
                  <w:rFonts w:ascii="Arial" w:hAnsi="Arial"/>
                  <w:color w:val="0000FF"/>
                  <w:sz w:val="20"/>
                  <w:u w:val="single"/>
                </w:rPr>
                <w:t>Consolidated statements of stockholders’ equity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F-5</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Arial" w:hAnsi="Arial"/>
                  <w:color w:val="0000FF"/>
                  <w:sz w:val="20"/>
                  <w:u w:val="single"/>
                </w:rPr>
                <w:t>Consolidated statements of cash flows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F-6</w:t>
            </w:r>
          </w:p>
        </w:tc>
      </w:tr>
      <w:tr>
        <w:trPr/>
        <w:tc>
          <w:tcPr>
            <w:tcW w:w="6826"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Arial" w:hAnsi="Arial"/>
                  <w:color w:val="0000FF"/>
                  <w:sz w:val="20"/>
                  <w:u w:val="single"/>
                </w:rPr>
                <w:t>Notes to consolidated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F-7</w:t>
            </w:r>
          </w:p>
        </w:tc>
      </w:tr>
    </w:tbl>
    <w:p>
      <w:pPr>
        <w:pStyle w:val="TextBody"/>
        <w:bidi w:val="0"/>
        <w:jc w:val="left"/>
        <w:rPr/>
      </w:pPr>
      <w:bookmarkStart w:id="30" w:name="statements_of_operations"/>
      <w:bookmarkEnd w:id="30"/>
      <w:r>
        <w:rPr/>
        <w:t> </w:t>
      </w:r>
    </w:p>
    <w:p>
      <w:pPr>
        <w:pStyle w:val="TextBody"/>
        <w:bidi w:val="0"/>
        <w:spacing w:before="200" w:after="283"/>
        <w:jc w:val="center"/>
        <w:rPr>
          <w:rFonts w:ascii="Arial" w:hAnsi="Arial"/>
          <w:color w:val="000000"/>
          <w:sz w:val="20"/>
        </w:rPr>
      </w:pPr>
      <w:r>
        <w:rPr>
          <w:rFonts w:ascii="Arial" w:hAnsi="Arial"/>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report_of_independent"/>
      <w:bookmarkEnd w:id="31"/>
      <w:r>
        <w:rPr>
          <w:rFonts w:ascii="Arial" w:hAnsi="Arial"/>
          <w:b/>
          <w:color w:val="000000"/>
          <w:sz w:val="20"/>
        </w:rPr>
        <w:t>Report of Independent</w:t>
      </w:r>
      <w:r>
        <w:rPr>
          <w:rFonts w:ascii="Times New Roman" w:hAnsi="Times New Roman"/>
          <w:color w:val="000000"/>
          <w:sz w:val="20"/>
        </w:rPr>
        <w:t xml:space="preserve"> </w:t>
      </w:r>
      <w:r>
        <w:rPr>
          <w:rFonts w:ascii="Arial" w:hAnsi="Arial"/>
          <w:b/>
          <w:color w:val="000000"/>
          <w:sz w:val="20"/>
        </w:rPr>
        <w:t>Registered Public Accounting Firm</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To the Stockholders and Board of Directors</w:t>
        <w:br/>
        <w:t>Erasca, Inc.:</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Opinion on the Consolidated Financial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audited the accompanying consolidated balance sheets of Erasca, Inc. and subsidiaries (the Company) as of December 31, 2025 and 2024,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Basis for Opinion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/s/ KPMG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served as the Company’s auditor since 2020.</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San Diego, California</w:t>
        <w:br/>
        <w:t>March 12, 2026</w:t>
      </w:r>
    </w:p>
    <w:p>
      <w:pPr>
        <w:pStyle w:val="TextBody"/>
        <w:bidi w:val="0"/>
        <w:spacing w:before="200" w:after="283"/>
        <w:jc w:val="center"/>
        <w:rPr>
          <w:rFonts w:ascii="Arial" w:hAnsi="Arial"/>
          <w:color w:val="000000"/>
          <w:sz w:val="20"/>
        </w:rPr>
      </w:pPr>
      <w:r>
        <w:rPr>
          <w:rFonts w:ascii="Arial" w:hAnsi="Arial"/>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Erasca, Inc.</w:t>
      </w:r>
    </w:p>
    <w:p>
      <w:pPr>
        <w:pStyle w:val="TextBody"/>
        <w:bidi w:val="0"/>
        <w:jc w:val="center"/>
        <w:rPr>
          <w:rFonts w:ascii="Arial" w:hAnsi="Arial"/>
          <w:b/>
          <w:color w:val="000000"/>
          <w:sz w:val="20"/>
        </w:rPr>
      </w:pPr>
      <w:bookmarkStart w:id="32" w:name="consolidated_balance_sheets"/>
      <w:bookmarkEnd w:id="32"/>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par value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46"/>
        <w:gridCol w:w="426"/>
        <w:gridCol w:w="220"/>
        <w:gridCol w:w="1004"/>
        <w:gridCol w:w="166"/>
        <w:gridCol w:w="146"/>
        <w:gridCol w:w="220"/>
        <w:gridCol w:w="1004"/>
        <w:gridCol w:w="473"/>
      </w:tblGrid>
      <w:tr>
        <w:trPr/>
        <w:tc>
          <w:tcPr>
            <w:tcW w:w="65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67,739</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230,570</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10,484</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308,793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marketable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142,164</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32,218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502,526</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26,308</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4,619</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31,395</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net of current portion</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47,270</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79,027</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80,000,000</w:t>
            </w:r>
            <w:r>
              <w:rPr>
                <w:rFonts w:ascii="Times New Roman" w:hAnsi="Times New Roman"/>
                <w:color w:val="000000"/>
                <w:sz w:val="20"/>
              </w:rPr>
              <w:t> </w:t>
            </w:r>
            <w:r>
              <w:rPr>
                <w:rFonts w:ascii="Arial" w:hAnsi="Arial"/>
                <w:color w:val="000000"/>
                <w:sz w:val="20"/>
              </w:rPr>
              <w:t>shares authorized at December 31, 2025 and 2024; no</w:t>
            </w:r>
            <w:r>
              <w:rPr>
                <w:rFonts w:ascii="Times New Roman" w:hAnsi="Times New Roman"/>
                <w:color w:val="000000"/>
                <w:sz w:val="20"/>
              </w:rPr>
              <w:t> </w:t>
            </w:r>
            <w:r>
              <w:rPr>
                <w:rFonts w:ascii="Arial" w:hAnsi="Arial"/>
                <w:color w:val="000000"/>
                <w:sz w:val="20"/>
              </w:rPr>
              <w:t>shares issued and outstanding at December 31, 2025 and 2024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800,000,000</w:t>
            </w:r>
            <w:r>
              <w:rPr>
                <w:rFonts w:ascii="Times New Roman" w:hAnsi="Times New Roman"/>
                <w:color w:val="000000"/>
                <w:sz w:val="20"/>
              </w:rPr>
              <w:t> </w:t>
            </w:r>
            <w:r>
              <w:rPr>
                <w:rFonts w:ascii="Arial" w:hAnsi="Arial"/>
                <w:color w:val="000000"/>
                <w:sz w:val="20"/>
              </w:rPr>
              <w:t>shares authorized at December 31, 2025 and 2024; 284,159,076</w:t>
            </w:r>
            <w:r>
              <w:rPr>
                <w:rFonts w:ascii="Times New Roman" w:hAnsi="Times New Roman"/>
                <w:color w:val="000000"/>
                <w:sz w:val="20"/>
              </w:rPr>
              <w:t> </w:t>
            </w:r>
            <w:r>
              <w:rPr>
                <w:rFonts w:ascii="Arial" w:hAnsi="Arial"/>
                <w:color w:val="000000"/>
                <w:sz w:val="20"/>
              </w:rPr>
              <w:t>and 283,218,344</w:t>
            </w:r>
            <w:r>
              <w:rPr>
                <w:rFonts w:ascii="Times New Roman" w:hAnsi="Times New Roman"/>
                <w:color w:val="000000"/>
                <w:sz w:val="20"/>
              </w:rPr>
              <w:t> </w:t>
            </w:r>
            <w:r>
              <w:rPr>
                <w:rFonts w:ascii="Arial" w:hAnsi="Arial"/>
                <w:color w:val="000000"/>
                <w:sz w:val="20"/>
              </w:rPr>
              <w:t>shares issued and outstanding at December 31, 2025 and 2024, respectively</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1,190,729</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(767,663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423,499</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502,526</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33" w:name="statement_of_operations"/>
      <w:bookmarkEnd w:id="33"/>
      <w:r>
        <w:rPr>
          <w:rFonts w:ascii="Arial" w:hAnsi="Arial"/>
          <w:b/>
          <w:color w:val="000000"/>
          <w:sz w:val="20"/>
        </w:rPr>
        <w:t xml:space="preserve">Consolidated Statements of Operations and </w:t>
      </w:r>
      <w:bookmarkStart w:id="34" w:name="comprehensive_loss"/>
      <w:bookmarkEnd w:id="34"/>
      <w:r>
        <w:rPr>
          <w:rFonts w:ascii="Arial" w:hAnsi="Arial"/>
          <w:b/>
          <w:color w:val="000000"/>
          <w:sz w:val="20"/>
        </w:rPr>
        <w:t>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2"/>
        <w:gridCol w:w="706"/>
        <w:gridCol w:w="211"/>
        <w:gridCol w:w="1171"/>
        <w:gridCol w:w="166"/>
        <w:gridCol w:w="146"/>
        <w:gridCol w:w="211"/>
        <w:gridCol w:w="1171"/>
        <w:gridCol w:w="471"/>
      </w:tblGrid>
      <w:tr>
        <w:trPr/>
        <w:tc>
          <w:tcPr>
            <w:tcW w:w="595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gridSpan w:val="4"/>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115,359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41,728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179,587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(179,587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(expense), net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(161,650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283,533,696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233,817,916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95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gain on marketable securities, net</w:t>
            </w:r>
          </w:p>
        </w:tc>
        <w:tc>
          <w:tcPr>
            <w:tcW w:w="7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(161,322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35" w:name="stock_and_stockholders"/>
      <w:bookmarkEnd w:id="35"/>
      <w:r>
        <w:rPr>
          <w:rFonts w:ascii="Arial" w:hAnsi="Arial"/>
          <w:b/>
          <w:color w:val="000000"/>
          <w:sz w:val="20"/>
        </w:rPr>
        <w:t>Consolidated Statements of Stock</w:t>
      </w:r>
      <w:bookmarkStart w:id="36" w:name="stock_and_stockholders_deficit"/>
      <w:bookmarkEnd w:id="36"/>
      <w:r>
        <w:rPr>
          <w:rFonts w:ascii="Arial" w:hAnsi="Arial"/>
          <w:b/>
          <w:color w:val="000000"/>
          <w:sz w:val="20"/>
        </w:rPr>
        <w:t>holders</w:t>
      </w:r>
      <w:r>
        <w:rPr>
          <w:rFonts w:ascii="Times New Roman" w:hAnsi="Times New Roman"/>
          <w:color w:val="000000"/>
          <w:sz w:val="20"/>
        </w:rPr>
        <w:t xml:space="preserve">’ </w:t>
      </w:r>
      <w:r>
        <w:rPr>
          <w:rFonts w:ascii="Arial" w:hAnsi="Arial"/>
          <w:b/>
          <w:color w:val="000000"/>
          <w:sz w:val="20"/>
        </w:rPr>
        <w:t>Equity</w:t>
      </w:r>
    </w:p>
    <w:p>
      <w:pPr>
        <w:pStyle w:val="TextBody"/>
        <w:bidi w:val="0"/>
        <w:jc w:val="center"/>
        <w:rPr>
          <w:rFonts w:ascii="Arial" w:hAnsi="Arial"/>
          <w:b/>
          <w:color w:val="000000"/>
          <w:sz w:val="20"/>
        </w:rPr>
      </w:pPr>
      <w:r>
        <w:rPr>
          <w:rFonts w:ascii="Arial" w:hAnsi="Arial"/>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578"/>
        <w:gridCol w:w="146"/>
        <w:gridCol w:w="146"/>
        <w:gridCol w:w="1006"/>
        <w:gridCol w:w="146"/>
        <w:gridCol w:w="146"/>
        <w:gridCol w:w="271"/>
        <w:gridCol w:w="480"/>
        <w:gridCol w:w="146"/>
        <w:gridCol w:w="146"/>
        <w:gridCol w:w="196"/>
        <w:gridCol w:w="826"/>
        <w:gridCol w:w="146"/>
        <w:gridCol w:w="146"/>
        <w:gridCol w:w="462"/>
        <w:gridCol w:w="889"/>
        <w:gridCol w:w="146"/>
        <w:gridCol w:w="146"/>
        <w:gridCol w:w="239"/>
        <w:gridCol w:w="917"/>
        <w:gridCol w:w="166"/>
        <w:gridCol w:w="146"/>
        <w:gridCol w:w="239"/>
        <w:gridCol w:w="918"/>
        <w:gridCol w:w="412"/>
      </w:tblGrid>
      <w:tr>
        <w:trPr/>
        <w:tc>
          <w:tcPr>
            <w:tcW w:w="1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151,462,103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316,686</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private placement, net of $1,396</w:t>
            </w:r>
            <w:r>
              <w:rPr>
                <w:rFonts w:ascii="Times New Roman" w:hAnsi="Times New Roman"/>
                <w:color w:val="000000"/>
                <w:sz w:val="20"/>
              </w:rPr>
              <w:t> </w:t>
            </w:r>
            <w:r>
              <w:rPr>
                <w:rFonts w:ascii="Arial" w:hAnsi="Arial"/>
                <w:color w:val="000000"/>
                <w:sz w:val="16"/>
              </w:rPr>
              <w:t>in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21,844,660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43,604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underwritten offering, net of $9,574</w:t>
            </w:r>
            <w:r>
              <w:rPr>
                <w:rFonts w:ascii="Times New Roman" w:hAnsi="Times New Roman"/>
                <w:color w:val="000000"/>
                <w:sz w:val="20"/>
              </w:rPr>
              <w:t> </w:t>
            </w:r>
            <w:r>
              <w:rPr>
                <w:rFonts w:ascii="Arial" w:hAnsi="Arial"/>
                <w:color w:val="000000"/>
                <w:sz w:val="16"/>
              </w:rPr>
              <w:t>in discounts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99,459,458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174,426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6"/>
              </w:rPr>
              <w:t>Issuance of common stock in ATM offering, net of $847</w:t>
            </w:r>
            <w:r>
              <w:rPr>
                <w:rFonts w:ascii="Times New Roman" w:hAnsi="Times New Roman"/>
                <w:color w:val="000000"/>
                <w:sz w:val="20"/>
              </w:rPr>
              <w:t> </w:t>
            </w:r>
            <w:r>
              <w:rPr>
                <w:rFonts w:ascii="Arial" w:hAnsi="Arial"/>
                <w:color w:val="000000"/>
                <w:sz w:val="16"/>
              </w:rPr>
              <w:t>in commissions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9,231,114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710,280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510,729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Vesting of early 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26,973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(161,650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283,218,344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(767,663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423,499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24,899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(124,546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284,159,076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(892,209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325,171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37" w:name="cash_flows"/>
      <w:bookmarkEnd w:id="37"/>
      <w:r>
        <w:rPr>
          <w:rFonts w:ascii="Arial" w:hAnsi="Arial"/>
          <w:b/>
          <w:color w:val="000000"/>
          <w:sz w:val="20"/>
        </w:rPr>
        <w:t>Consolidated Statements of Cash</w:t>
      </w:r>
      <w:bookmarkStart w:id="38" w:name="statement_of_cash_flows"/>
      <w:bookmarkEnd w:id="38"/>
      <w:r>
        <w:rPr>
          <w:rFonts w:ascii="Times New Roman" w:hAnsi="Times New Roman"/>
          <w:color w:val="000000"/>
          <w:sz w:val="20"/>
        </w:rPr>
        <w:t xml:space="preserve"> </w:t>
      </w:r>
      <w:r>
        <w:rPr>
          <w:rFonts w:ascii="Arial" w:hAnsi="Arial"/>
          <w:b/>
          <w:color w:val="000000"/>
          <w:sz w:val="20"/>
        </w:rPr>
        <w:t>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41"/>
        <w:gridCol w:w="146"/>
        <w:gridCol w:w="214"/>
        <w:gridCol w:w="870"/>
        <w:gridCol w:w="168"/>
        <w:gridCol w:w="148"/>
        <w:gridCol w:w="214"/>
        <w:gridCol w:w="870"/>
        <w:gridCol w:w="634"/>
      </w:tblGrid>
      <w:tr>
        <w:trPr/>
        <w:tc>
          <w:tcPr>
            <w:tcW w:w="6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(161,650</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3,805</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26,973</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Accretion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(9,590</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Impairment charge on operating lease assets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4,653</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Impairment charge on investment in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2,157</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Prepaid expenses and other current and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(2,397</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(1,532</w:t>
            </w:r>
          </w:p>
        </w:tc>
        <w:tc>
          <w:tcPr>
            <w:tcW w:w="634"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Accrued expenses and other current and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6,396</w:t>
            </w:r>
          </w:p>
        </w:tc>
        <w:tc>
          <w:tcPr>
            <w:tcW w:w="634"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color w:val="000000"/>
              </w:rPr>
            </w:pPr>
            <w:r>
              <w:rPr>
                <w:color w:val="000000"/>
              </w:rPr>
              <w:t>      </w:t>
            </w:r>
            <w:r>
              <w:rPr>
                <w:rFonts w:ascii="Arial" w:hAnsi="Arial"/>
                <w:color w:val="000000"/>
                <w:sz w:val="20"/>
              </w:rPr>
              <w:t>Operating lease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(95,455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(109,417</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(150,974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(403,224</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261,027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269,325</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(22,500</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made for investment in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(156,616</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private placement, net of fees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43,604</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underwritten offering, net of discounts and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174,426</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in ATM offering, net of commissions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21,031</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240,697</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(25,336</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68,147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93,483</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74,213</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68,147</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Vesting of early exercised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Erasca, Inc.</w:t>
      </w:r>
    </w:p>
    <w:p>
      <w:pPr>
        <w:pStyle w:val="TextBody"/>
        <w:bidi w:val="0"/>
        <w:jc w:val="center"/>
        <w:rPr>
          <w:rFonts w:ascii="Times New Roman" w:hAnsi="Times New Roman"/>
          <w:sz w:val="20"/>
        </w:rPr>
      </w:pPr>
      <w:bookmarkStart w:id="39" w:name="notes_to_condensed"/>
      <w:bookmarkEnd w:id="39"/>
      <w:r>
        <w:rPr>
          <w:rFonts w:ascii="Arial" w:hAnsi="Arial"/>
          <w:b/>
          <w:color w:val="000000"/>
          <w:sz w:val="20"/>
        </w:rPr>
        <w:t xml:space="preserve">Notes to </w:t>
      </w:r>
      <w:bookmarkStart w:id="40" w:name="notes_financial_statements"/>
      <w:bookmarkEnd w:id="40"/>
      <w:r>
        <w:rPr>
          <w:rFonts w:ascii="Arial" w:hAnsi="Arial"/>
          <w:b/>
          <w:color w:val="000000"/>
          <w:sz w:val="20"/>
        </w:rPr>
        <w:t>Consolidated Financial Statements</w:t>
      </w:r>
    </w:p>
    <w:p>
      <w:pPr>
        <w:pStyle w:val="TextBody"/>
        <w:bidi w:val="0"/>
        <w:jc w:val="center"/>
        <w:rPr/>
      </w:pPr>
      <w:r>
        <w:rPr/>
        <w:t> </w:t>
      </w:r>
    </w:p>
    <w:p>
      <w:pPr>
        <w:pStyle w:val="TextBody"/>
        <w:bidi w:val="0"/>
        <w:spacing w:before="360" w:after="283"/>
        <w:jc w:val="left"/>
        <w:rPr>
          <w:rFonts w:ascii="Times New Roman" w:hAnsi="Times New Roman"/>
          <w:sz w:val="20"/>
        </w:rPr>
      </w:pPr>
      <w:r>
        <w:rPr>
          <w:rFonts w:ascii="Arial" w:hAnsi="Arial"/>
          <w:b/>
          <w:color w:val="000000"/>
          <w:sz w:val="20"/>
        </w:rPr>
        <w:t>Note 1. Organization and 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Organization and nature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December 31, 2025, the Company had $341.8</w:t>
      </w:r>
      <w:r>
        <w:rPr>
          <w:rFonts w:ascii="Times New Roman" w:hAnsi="Times New Roman"/>
          <w:color w:val="000000"/>
          <w:sz w:val="20"/>
        </w:rPr>
        <w:t xml:space="preserve"> </w:t>
      </w:r>
      <w:r>
        <w:rPr>
          <w:rFonts w:ascii="Arial" w:hAnsi="Arial"/>
          <w:color w:val="000000"/>
          <w:sz w:val="20"/>
        </w:rPr>
        <w:t>million in cash, cash equivalents, and marketable securities. As of December 31, 2025, the Company had an accumulated deficit of $892.2</w:t>
      </w:r>
      <w:r>
        <w:rPr>
          <w:rFonts w:ascii="Times New Roman" w:hAnsi="Times New Roman"/>
          <w:color w:val="000000"/>
          <w:sz w:val="20"/>
        </w:rPr>
        <w:t xml:space="preserve"> </w:t>
      </w:r>
      <w:r>
        <w:rPr>
          <w:rFonts w:ascii="Arial" w:hAnsi="Arial"/>
          <w:color w:val="000000"/>
          <w:sz w:val="20"/>
        </w:rPr>
        <w:t>million. The Company has incurred significant operating losses and negative cash flows from operations. From its inception through December 31, 2025, the Company’s financial support has primarily been provided from the sale of its convertible preferred stock and the sale of its common stock in its initial public offering (IPO), underwritten offerings, a private placement of common stock, and "at the market" offerings.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December 31, 2025, together with the net proceeds of $242.7</w:t>
      </w:r>
      <w:r>
        <w:rPr>
          <w:rFonts w:ascii="Times New Roman" w:hAnsi="Times New Roman"/>
          <w:color w:val="000000"/>
          <w:sz w:val="20"/>
        </w:rPr>
        <w:t xml:space="preserve"> </w:t>
      </w:r>
      <w:r>
        <w:rPr>
          <w:rFonts w:ascii="Arial" w:hAnsi="Arial"/>
          <w:color w:val="000000"/>
          <w:sz w:val="20"/>
        </w:rPr>
        <w:t>million received from the Company's underwritten offering, which closed in January 2026, will be sufficient for the Company to fund operations for at least one year from the issuance date of these consolidated financial statements.</w:t>
      </w:r>
    </w:p>
    <w:p>
      <w:pPr>
        <w:pStyle w:val="TextBody"/>
        <w:bidi w:val="0"/>
        <w:spacing w:before="360" w:after="283"/>
        <w:jc w:val="left"/>
        <w:rPr>
          <w:rFonts w:ascii="Arial" w:hAnsi="Arial"/>
          <w:b/>
          <w:color w:val="000000"/>
          <w:sz w:val="20"/>
        </w:rPr>
      </w:pPr>
      <w:r>
        <w:rPr>
          <w:rFonts w:ascii="Arial" w:hAnsi="Arial"/>
          <w:b/>
          <w:color w:val="000000"/>
          <w:sz w:val="20"/>
        </w:rPr>
        <w:t>2026 underwritten offering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2026, the Company completed the sale and issuance of 25,875,000</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3,375,000</w:t>
      </w:r>
      <w:r>
        <w:rPr>
          <w:rFonts w:ascii="Times New Roman" w:hAnsi="Times New Roman"/>
          <w:color w:val="000000"/>
          <w:sz w:val="20"/>
        </w:rPr>
        <w:t xml:space="preserve"> </w:t>
      </w:r>
      <w:r>
        <w:rPr>
          <w:rFonts w:ascii="Arial" w:hAnsi="Arial"/>
          <w:color w:val="000000"/>
          <w:sz w:val="20"/>
        </w:rPr>
        <w:t>shares of its common stock, at a price to the public of $10.00</w:t>
      </w:r>
      <w:r>
        <w:rPr>
          <w:rFonts w:ascii="Times New Roman" w:hAnsi="Times New Roman"/>
          <w:color w:val="000000"/>
          <w:sz w:val="20"/>
        </w:rPr>
        <w:t xml:space="preserve"> </w:t>
      </w:r>
      <w:r>
        <w:rPr>
          <w:rFonts w:ascii="Arial" w:hAnsi="Arial"/>
          <w:color w:val="000000"/>
          <w:sz w:val="20"/>
        </w:rPr>
        <w:t>per share (the 2026 Offering). The aggregate net proceeds from the 2026 Offering were $242.7</w:t>
      </w:r>
      <w:r>
        <w:rPr>
          <w:rFonts w:ascii="Times New Roman" w:hAnsi="Times New Roman"/>
          <w:color w:val="000000"/>
          <w:sz w:val="20"/>
        </w:rPr>
        <w:t xml:space="preserve"> </w:t>
      </w:r>
      <w:r>
        <w:rPr>
          <w:rFonts w:ascii="Arial" w:hAnsi="Arial"/>
          <w:color w:val="000000"/>
          <w:sz w:val="20"/>
        </w:rPr>
        <w:t>million, net of underwriting discounts and commissions and offering costs of $16.1</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Basis of presentation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consolidated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w:t>
      </w:r>
    </w:p>
    <w:p>
      <w:pPr>
        <w:pStyle w:val="TextBody"/>
        <w:bidi w:val="0"/>
        <w:spacing w:before="360" w:after="283"/>
        <w:jc w:val="left"/>
        <w:rPr>
          <w:rFonts w:ascii="Arial" w:hAnsi="Arial"/>
          <w:b/>
          <w:color w:val="000000"/>
          <w:sz w:val="20"/>
        </w:rPr>
      </w:pPr>
      <w:r>
        <w:rPr>
          <w:rFonts w:ascii="Arial" w:hAnsi="Arial"/>
          <w:b/>
          <w:color w:val="000000"/>
          <w:sz w:val="20"/>
        </w:rPr>
        <w:t>Principles of consolidation and foreign currency transactions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consolidated financial statements include the accounts of the Company and its wholly-owned subsidiaries, Erasca Australia, ASN, and Erasca Ventures. Erasca Australia was registered under the laws of Australia on September 1, 2020, ASN was incorporated under the laws of the State of Delaware on November 23, 2020, and Erasca Ventures was formed under the laws of the State of Delaware on March 30, 2021. All intercompany balances and transactions have been eliminated. The functional currency of the Company and its wholly-owned subsidiaries is the US dollar. Assets and liabilities that are not denominated in the functional currency are remeasured into US dollars at foreign currency exchange rates in effect at the balance sheet date except for nonmonetary assets, which are remeasured at historical foreign currency exchange rates in effect at the date of transaction. Net realized and unrealized gains and losses from foreign currency transactions and remeasurement are reported in other income (expense), in the consolidated statements of operations and comprehensive loss and were not material for all periods presented.</w:t>
      </w:r>
    </w:p>
    <w:p>
      <w:pPr>
        <w:pStyle w:val="TextBody"/>
        <w:bidi w:val="0"/>
        <w:spacing w:before="360" w:after="283"/>
        <w:jc w:val="left"/>
        <w:rPr>
          <w:rFonts w:ascii="Times New Roman" w:hAnsi="Times New Roman"/>
          <w:sz w:val="20"/>
        </w:rPr>
      </w:pPr>
      <w:r>
        <w:rPr>
          <w:rFonts w:ascii="Arial" w:hAnsi="Arial"/>
          <w:b/>
          <w:color w:val="000000"/>
          <w:sz w:val="20"/>
        </w:rPr>
        <w:t>Note 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Use of estimates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preparation of the Company’s consolidated financial statements in conformity with US GAAP requires the Company to make estimates and assumptions that impact the reported amounts of assets, liabilities, expenses, and the disclosure of contingent assets and liabilities in the consolidated financial statements and accompanying notes. Accounting estimates and management judgments reflected in the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pStyle w:val="TextBody"/>
        <w:bidi w:val="0"/>
        <w:spacing w:before="360" w:after="283"/>
        <w:jc w:val="left"/>
        <w:rPr>
          <w:rFonts w:ascii="Arial" w:hAnsi="Arial"/>
          <w:b/>
          <w:color w:val="000000"/>
          <w:sz w:val="20"/>
        </w:rPr>
      </w:pPr>
      <w:r>
        <w:rPr>
          <w:rFonts w:ascii="Arial" w:hAnsi="Arial"/>
          <w:b/>
          <w:color w:val="000000"/>
          <w:sz w:val="20"/>
        </w:rPr>
        <w:t>Concentration of credit risk and off-balance sheet risk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pStyle w:val="TextBody"/>
        <w:bidi w:val="0"/>
        <w:spacing w:before="360" w:after="283"/>
        <w:jc w:val="left"/>
        <w:rPr>
          <w:rFonts w:ascii="Arial" w:hAnsi="Arial"/>
          <w:b/>
          <w:color w:val="000000"/>
          <w:sz w:val="20"/>
        </w:rPr>
      </w:pPr>
      <w:r>
        <w:rPr>
          <w:rFonts w:ascii="Arial" w:hAnsi="Arial"/>
          <w:b/>
          <w:color w:val="000000"/>
          <w:sz w:val="20"/>
        </w:rPr>
        <w:t>Cash, cash equivalents, and restricted cash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and cash equivalents include cash in readily available checking and savings accounts, money market funds and commercial paper. The Company considers all highly liquid investments with an original maturity of three months or less from the date of purchase to be cash equivalents.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had deposited cash of</w:t>
      </w:r>
      <w:r>
        <w:rPr>
          <w:rFonts w:ascii="Times New Roman" w:hAnsi="Times New Roman"/>
          <w:color w:val="000000"/>
          <w:sz w:val="20"/>
        </w:rPr>
        <w:t xml:space="preserve"> </w:t>
      </w:r>
      <w:r>
        <w:rPr>
          <w:rFonts w:ascii="Arial" w:hAnsi="Arial"/>
          <w:color w:val="000000"/>
          <w:sz w:val="20"/>
        </w:rPr>
        <w:t>$408,000</w:t>
      </w:r>
      <w:r>
        <w:rPr>
          <w:rFonts w:ascii="Times New Roman" w:hAnsi="Times New Roman"/>
          <w:color w:val="000000"/>
          <w:sz w:val="20"/>
        </w:rPr>
        <w:t xml:space="preserve"> </w:t>
      </w:r>
      <w:r>
        <w:rPr>
          <w:rFonts w:ascii="Arial" w:hAnsi="Arial"/>
          <w:color w:val="000000"/>
          <w:sz w:val="20"/>
        </w:rPr>
        <w:t>as of December 31, 2025 and 2024 to secure a letter of credit in connection with the lease of the Company’s facilities (see Note 11). The Company has classified the restricted cash as a noncurrent asset on its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provides a reconciliation of cash, cash equivalents, and restricted cash reported within the consolidated balance sheets that sum to the total of the same amounts shown in the consolidated statements of cash flows (in thousands):</w:t>
      </w:r>
    </w:p>
    <w:tbl>
      <w:tblPr>
        <w:tblW w:w="6698" w:type="dxa"/>
        <w:jc w:val="left"/>
        <w:tblInd w:w="0" w:type="dxa"/>
        <w:tblLayout w:type="fixed"/>
        <w:tblCellMar>
          <w:top w:w="28" w:type="dxa"/>
          <w:left w:w="28" w:type="dxa"/>
          <w:bottom w:w="28" w:type="dxa"/>
          <w:right w:w="28" w:type="dxa"/>
        </w:tblCellMar>
      </w:tblPr>
      <w:tblGrid>
        <w:gridCol w:w="4411"/>
        <w:gridCol w:w="211"/>
        <w:gridCol w:w="691"/>
        <w:gridCol w:w="146"/>
        <w:gridCol w:w="146"/>
        <w:gridCol w:w="211"/>
        <w:gridCol w:w="69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Marketable securities and investments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(expense). The cost of securities sold is based on the specific identification method. Interest and dividends on securities classified as available-for-sale are included in 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interest related to the Company's available-for-sale securities is presented within prepaid expenses and other current assets on the Company's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Through its wholly-owned subsidiary, Erasca Ventures, the Company has also invested in equity securities of companies whose securities are not publicly traded and whose fair value is not readily available (see Notes 3 and 16).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consolidated balance sheets.</w:t>
      </w:r>
    </w:p>
    <w:p>
      <w:pPr>
        <w:pStyle w:val="TextBody"/>
        <w:bidi w:val="0"/>
        <w:spacing w:before="360" w:after="283"/>
        <w:jc w:val="left"/>
        <w:rPr>
          <w:rFonts w:ascii="Arial" w:hAnsi="Arial"/>
          <w:b/>
          <w:color w:val="000000"/>
          <w:sz w:val="20"/>
        </w:rPr>
      </w:pPr>
      <w:r>
        <w:rPr>
          <w:rFonts w:ascii="Arial" w:hAnsi="Arial"/>
          <w:b/>
          <w:color w:val="000000"/>
          <w:sz w:val="20"/>
        </w:rPr>
        <w:t>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1—Unadjusted quoted prices in active markets that are accessible at the measurement date for identical, unrestricted assets or liabilities.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2—Quoted prices for similar assets and liabilities in active markets, quoted prices in markets that are not active, or inputs which are observable, either directly or indirectly, for substantially the full term of the asset or liability.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Level 3—Prices or valuation techniques that require inputs that are both significant to the fair value measurement and unobservable (i.e., supported by little or no market activity).</w:t>
      </w:r>
    </w:p>
    <w:p>
      <w:pPr>
        <w:pStyle w:val="TextBody"/>
        <w:bidi w:val="0"/>
        <w:spacing w:before="360" w:after="283"/>
        <w:jc w:val="left"/>
        <w:rPr>
          <w:rFonts w:ascii="Arial" w:hAnsi="Arial"/>
          <w:b/>
          <w:color w:val="000000"/>
          <w:sz w:val="20"/>
        </w:rPr>
      </w:pPr>
      <w:r>
        <w:rPr>
          <w:rFonts w:ascii="Arial" w:hAnsi="Arial"/>
          <w:b/>
          <w:color w:val="000000"/>
          <w:sz w:val="20"/>
        </w:rPr>
        <w:t>Property and equipment,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are stated at cost less accumulated depreciation. Depreciation and amortization are calculated using the straight-line method over the estimated useful lives of the respective assets, generally three</w:t>
      </w:r>
      <w:r>
        <w:rPr>
          <w:rFonts w:ascii="Times New Roman" w:hAnsi="Times New Roman"/>
          <w:color w:val="000000"/>
          <w:sz w:val="20"/>
        </w:rPr>
        <w:t xml:space="preserve"> </w:t>
      </w:r>
      <w:r>
        <w:rPr>
          <w:rFonts w:ascii="Arial" w:hAnsi="Arial"/>
          <w:color w:val="000000"/>
          <w:sz w:val="20"/>
        </w:rPr>
        <w:t>to seven years. Leasehold improvements are amortized over the shorter of the estimated useful lives of the assets or the remaining lease term.</w:t>
      </w:r>
    </w:p>
    <w:p>
      <w:pPr>
        <w:pStyle w:val="TextBody"/>
        <w:bidi w:val="0"/>
        <w:spacing w:before="360" w:after="283"/>
        <w:jc w:val="left"/>
        <w:rPr>
          <w:rFonts w:ascii="Arial" w:hAnsi="Arial"/>
          <w:b/>
          <w:color w:val="000000"/>
          <w:sz w:val="20"/>
        </w:rPr>
      </w:pPr>
      <w:r>
        <w:rPr>
          <w:rFonts w:ascii="Arial" w:hAnsi="Arial"/>
          <w:b/>
          <w:color w:val="000000"/>
          <w:sz w:val="20"/>
        </w:rPr>
        <w:t>Impairment of long-lived assets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There were no</w:t>
      </w:r>
      <w:r>
        <w:rPr>
          <w:rFonts w:ascii="Times New Roman" w:hAnsi="Times New Roman"/>
          <w:color w:val="000000"/>
          <w:sz w:val="20"/>
        </w:rPr>
        <w:t xml:space="preserve"> </w:t>
      </w:r>
      <w:r>
        <w:rPr>
          <w:rFonts w:ascii="Arial" w:hAnsi="Arial"/>
          <w:color w:val="000000"/>
          <w:sz w:val="20"/>
        </w:rPr>
        <w:t>impairment losses recognized during the year ended December 31, 2025. The Company recognized a $4.7</w:t>
      </w:r>
      <w:r>
        <w:rPr>
          <w:rFonts w:ascii="Times New Roman" w:hAnsi="Times New Roman"/>
          <w:color w:val="000000"/>
          <w:sz w:val="20"/>
        </w:rPr>
        <w:t xml:space="preserve"> </w:t>
      </w:r>
      <w:r>
        <w:rPr>
          <w:rFonts w:ascii="Arial" w:hAnsi="Arial"/>
          <w:color w:val="000000"/>
          <w:sz w:val="20"/>
        </w:rPr>
        <w:t>million impairment loss during the year ended December 31, 2024 related to its leased office space in San Diego, California (see Note 11).</w:t>
      </w:r>
    </w:p>
    <w:p>
      <w:pPr>
        <w:pStyle w:val="TextBody"/>
        <w:bidi w:val="0"/>
        <w:spacing w:before="360" w:after="283"/>
        <w:jc w:val="left"/>
        <w:rPr>
          <w:rFonts w:ascii="Arial" w:hAnsi="Arial"/>
          <w:b/>
          <w:color w:val="000000"/>
          <w:sz w:val="20"/>
        </w:rPr>
      </w:pPr>
      <w:r>
        <w:rPr>
          <w:rFonts w:ascii="Arial" w:hAnsi="Arial"/>
          <w:b/>
          <w:color w:val="000000"/>
          <w:sz w:val="20"/>
        </w:rPr>
        <w:t>Leases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leases real estate facilities under non-cancellable and cancellable operating leases with various expiration dates through fiscal year 2032. At the inception of an arrangement, the Company determines whether the arrangement is or contains a lease based on the unique facts and circumstances present, the existence of an identified asset(s), if any, and the Company’s control over the use of the identified asset(s), if applicable.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Operating leases are included in operating lease assets and in operating lease liabilities in the accompanying consolidated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for all asset classes. Operating lease expense is recognized on a straight-line basis over the lease term. Certain of the Company's real estate leases include tenant improvement allowances, which are recognized as lease incentives and amortized on a straight-line basis over the lease term as an offset to rent expense.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Research and development expense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Research and development expenses consist of external and internal costs associated with the Company’s research and development activities, including its discovery and research efforts and the preclinical and clinical development of its product candidates. Research and development costs are expensed as incurred. The Company’s research and development expenses include external costs, consisting of expenses incurred under arrangements with third parties, such as contract research organizations (CROs), contract manufacturing organizations (CMOs), consultants, and its scientific advisors; and internal costs, consisting of employee-related expenses, including salaries, benefits, and stock-based compensation for those individuals involved in research and development efforts, the costs of laboratory supplies and acquiring, developing, and manufacturing preclinical study materials, and facilities and depreciation, which include direct and allocated expenses for rent of facilities and depreciation.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records accruals for estimated research and development costs, comprising payments for work performed by third party contractors, laboratories,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research and development activities are deferred and capitalized as prepaid expenses until the related goods are delivered or services are performed.</w:t>
      </w:r>
    </w:p>
    <w:p>
      <w:pPr>
        <w:pStyle w:val="TextBody"/>
        <w:bidi w:val="0"/>
        <w:spacing w:before="360" w:after="283"/>
        <w:jc w:val="left"/>
        <w:rPr>
          <w:rFonts w:ascii="Arial" w:hAnsi="Arial"/>
          <w:b/>
          <w:color w:val="000000"/>
          <w:sz w:val="20"/>
        </w:rPr>
      </w:pPr>
      <w:r>
        <w:rPr>
          <w:rFonts w:ascii="Arial" w:hAnsi="Arial"/>
          <w:b/>
          <w:color w:val="000000"/>
          <w:sz w:val="20"/>
        </w:rPr>
        <w:t>In-process research and development expense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has acquired rights as part of asset acquisitions or in-licenses to develop and commercialize product candidates. Upfront payments that relate to the acquisition of a new product candidate, as well as pre-commercial milestone payments, are immediately expensed as in-process research and development (IPR&amp;D) in the period in which they are incurred, provided that the new product candidate did not also include processes or activities that would constitute a “business” as defined under US GAAP, the product candidate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before="360" w:after="283"/>
        <w:jc w:val="left"/>
        <w:rPr>
          <w:rFonts w:ascii="Arial" w:hAnsi="Arial"/>
          <w:b/>
          <w:color w:val="000000"/>
          <w:sz w:val="20"/>
        </w:rPr>
      </w:pPr>
      <w:r>
        <w:rPr>
          <w:rFonts w:ascii="Arial" w:hAnsi="Arial"/>
          <w:b/>
          <w:color w:val="000000"/>
          <w:sz w:val="20"/>
        </w:rPr>
        <w:t>Patent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expenses all costs as incurred in connection with patent applications (including direct application fees and the legal and consulting expenses related to making such applications) and such costs are included in general and administrative expenses in the consolidated statements of operations and comprehensive loss.</w:t>
      </w:r>
    </w:p>
    <w:p>
      <w:pPr>
        <w:pStyle w:val="TextBody"/>
        <w:bidi w:val="0"/>
        <w:spacing w:before="360" w:after="283"/>
        <w:jc w:val="left"/>
        <w:rPr>
          <w:rFonts w:ascii="Arial" w:hAnsi="Arial"/>
          <w:b/>
          <w:color w:val="000000"/>
          <w:sz w:val="20"/>
        </w:rPr>
      </w:pPr>
      <w:r>
        <w:rPr>
          <w:rFonts w:ascii="Arial" w:hAnsi="Arial"/>
          <w:b/>
          <w:color w:val="000000"/>
          <w:sz w:val="20"/>
        </w:rPr>
        <w:t>Stock-based compensation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measures employee and nonemployee stock-based awards based on the fair value on the date of grant and records compensation expense on a straight-line basis over the requisite service period of the award. All stock-based compensation costs are recorded in the consolidated statements of operations and comprehensive loss based upon the underlying employees' or nonemployees' roles within the Company. Forfeitures are accounted for as they occur.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fair value of stock option grants and shares purchasable under the Company's 2021 Employee Stock Purchase Plan (ESPP) is estimated on the date of grant using the Black-Scholes options-pricing model, which requires inputs based on certain subjective assumptions, including the: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Risk-free interest rate. The risk-free interest rate is based on the US Treasury zero-coupon issues in effect at the time of grant for periods corresponding with the expected term of the stock-based awards.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Expected volatility. Given that the Company does not have sufficient trading history for its common stock, the expected volatility is estimated based on the average volatility of the Company and comparable publicly traded companies within its peer group over a period approximately equal to the expected term of the stock-based awards. The Company will continue to apply this process until a sufficient amount of historical information regarding the volatility of its own stock price becomes available.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Expected term. The expected term represents the period that the stock-based awards are expected to be outstanding. The expected term of stock options issued is generally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Expected dividend yield. The Company has never paid dividends on its common stock and does not anticipate paying any dividends in the foreseeable future. Therefore, the Company used an expected dividend yield of zero.</w:t>
      </w:r>
    </w:p>
    <w:p>
      <w:pPr>
        <w:pStyle w:val="TextBody"/>
        <w:bidi w:val="0"/>
        <w:spacing w:before="360" w:after="283"/>
        <w:jc w:val="left"/>
        <w:rPr>
          <w:rFonts w:ascii="Arial" w:hAnsi="Arial"/>
          <w:b/>
          <w:color w:val="000000"/>
          <w:sz w:val="20"/>
        </w:rPr>
      </w:pPr>
      <w:r>
        <w:rPr>
          <w:rFonts w:ascii="Arial" w:hAnsi="Arial"/>
          <w:b/>
          <w:color w:val="000000"/>
          <w:sz w:val="20"/>
        </w:rPr>
        <w:t>Income taxes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2025, the Company’s tax years since inception are subject to examination by taxing authorities due to the Company’s unutilized net operating losses and tax credits.</w:t>
      </w:r>
    </w:p>
    <w:p>
      <w:pPr>
        <w:pStyle w:val="TextBody"/>
        <w:bidi w:val="0"/>
        <w:spacing w:before="360" w:after="283"/>
        <w:jc w:val="left"/>
        <w:rPr>
          <w:rFonts w:ascii="Arial" w:hAnsi="Arial"/>
          <w:b/>
          <w:color w:val="000000"/>
          <w:sz w:val="20"/>
        </w:rPr>
      </w:pPr>
      <w:r>
        <w:rPr>
          <w:rFonts w:ascii="Arial" w:hAnsi="Arial"/>
          <w:b/>
          <w:color w:val="000000"/>
          <w:sz w:val="20"/>
        </w:rPr>
        <w:t>Comprehensive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reports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marketable securities. Other comprehensive income (loss) includes unrealized gains and losses on marketable securities, which was the only difference between net loss and comprehensive loss for the applicable periods.</w:t>
      </w:r>
    </w:p>
    <w:p>
      <w:pPr>
        <w:pStyle w:val="TextBody"/>
        <w:bidi w:val="0"/>
        <w:spacing w:before="360" w:after="283"/>
        <w:jc w:val="left"/>
        <w:rPr>
          <w:rFonts w:ascii="Arial" w:hAnsi="Arial"/>
          <w:b/>
          <w:color w:val="000000"/>
          <w:sz w:val="20"/>
        </w:rPr>
      </w:pPr>
      <w:r>
        <w:rPr>
          <w:rFonts w:ascii="Arial" w:hAnsi="Arial"/>
          <w:b/>
          <w:color w:val="000000"/>
          <w:sz w:val="20"/>
        </w:rPr>
        <w:t>Net loss per share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net loss is equivalent to net loss attributable to common stockholders for all periods presented. Basic net loss per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For purposes of the diluted net loss per share calculation, options to purchase common stock and shares purchasable under the ESPP are considered to be potentially dilutive securities. As the Company has reported a net loss for all periods presented, diluted net loss per common share is the same as basic net loss per common share for those periods, since dilutive common shares are not assumed to have been issued if their effect is anti-dilutive.</w:t>
      </w:r>
    </w:p>
    <w:p>
      <w:pPr>
        <w:pStyle w:val="TextBody"/>
        <w:bidi w:val="0"/>
        <w:spacing w:before="360" w:after="283"/>
        <w:jc w:val="left"/>
        <w:rPr>
          <w:rFonts w:ascii="Arial" w:hAnsi="Arial"/>
          <w:b/>
          <w:color w:val="000000"/>
          <w:sz w:val="20"/>
        </w:rPr>
      </w:pPr>
      <w:r>
        <w:rPr>
          <w:rFonts w:ascii="Arial" w:hAnsi="Arial"/>
          <w:b/>
          <w:color w:val="000000"/>
          <w:sz w:val="20"/>
        </w:rPr>
        <w:t>Segments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Operating segments are defined as components of an entity in which it engages in business activities, and where separate discrete information is available for evaluation by the chief operating decision maker (CODM) in deciding how to allocate resources in assessing performance. The Company operates and manages its business as a single</w:t>
      </w:r>
      <w:r>
        <w:rPr>
          <w:rFonts w:ascii="Times New Roman" w:hAnsi="Times New Roman"/>
          <w:color w:val="000000"/>
          <w:sz w:val="20"/>
        </w:rPr>
        <w:t xml:space="preserve"> </w:t>
      </w:r>
      <w:r>
        <w:rPr>
          <w:rFonts w:ascii="Arial" w:hAnsi="Arial"/>
          <w:color w:val="000000"/>
          <w:sz w:val="20"/>
        </w:rPr>
        <w:t>operating and reportable segment focused on the discovery and development of precision medicines for the benefit of patients with cancer. The Company’s CODM is its</w:t>
      </w:r>
      <w:r>
        <w:rPr>
          <w:rFonts w:ascii="Times New Roman" w:hAnsi="Times New Roman"/>
          <w:color w:val="000000"/>
          <w:sz w:val="20"/>
        </w:rPr>
        <w:t xml:space="preserve"> </w:t>
      </w:r>
      <w:r>
        <w:rPr>
          <w:rFonts w:ascii="Arial" w:hAnsi="Arial"/>
          <w:color w:val="000000"/>
          <w:sz w:val="20"/>
        </w:rPr>
        <w:t>chief executive officer</w:t>
      </w:r>
      <w:r>
        <w:rPr>
          <w:rFonts w:ascii="Times New Roman" w:hAnsi="Times New Roman"/>
          <w:color w:val="000000"/>
          <w:sz w:val="20"/>
        </w:rPr>
        <w:t xml:space="preserve"> </w:t>
      </w:r>
      <w:r>
        <w:rPr>
          <w:rFonts w:ascii="Arial" w:hAnsi="Arial"/>
          <w:color w:val="000000"/>
          <w:sz w:val="20"/>
        </w:rPr>
        <w:t>and the CODM reviews financial information on a consolidated basis for purposes of allocating resources and evaluating financial performance. All of the Company’s assets are located in the United States. See Note 17 for additional information.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Recently adopted accounting pronouncements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December 2023, the FASB issued ASU 2023-09, Income Taxes (Topic 740): Improvements to Income Tax Disclosures (ASU 2023-09), which is intended to provide enhancements to annual income tax disclosures. In particular, the standard requires more detailed information in the income tax rate reconciliation, as well as the disclosure of income taxes paid disaggregated by jurisdiction, among other enhancements. The standard is effective for the Company in its annual period beginning after December 15, 2025, with early adoption permitted. The standard allows for adoption on a prospective basis, with a retrospective option. The Company adopted ASU 2023-09 for the annual period ended December 31, 2025</w:t>
      </w:r>
      <w:r>
        <w:rPr>
          <w:rFonts w:ascii="Times New Roman" w:hAnsi="Times New Roman"/>
          <w:color w:val="000000"/>
          <w:sz w:val="20"/>
        </w:rPr>
        <w:t xml:space="preserve"> </w:t>
      </w:r>
      <w:r>
        <w:rPr>
          <w:rFonts w:ascii="Arial" w:hAnsi="Arial"/>
          <w:color w:val="000000"/>
          <w:sz w:val="20"/>
        </w:rPr>
        <w:t>on a retrospective basis, and the adoption did not have a material impact on its consolidated financial statements and related disclosures. See Note 13 for additional information.</w:t>
      </w:r>
    </w:p>
    <w:p>
      <w:pPr>
        <w:pStyle w:val="TextBody"/>
        <w:bidi w:val="0"/>
        <w:spacing w:before="360" w:after="283"/>
        <w:jc w:val="left"/>
        <w:rPr>
          <w:rFonts w:ascii="Arial" w:hAnsi="Arial"/>
          <w:b/>
          <w:color w:val="000000"/>
          <w:sz w:val="20"/>
        </w:rPr>
      </w:pPr>
      <w:r>
        <w:rPr>
          <w:rFonts w:ascii="Arial" w:hAnsi="Arial"/>
          <w:b/>
          <w:color w:val="000000"/>
          <w:sz w:val="20"/>
        </w:rPr>
        <w:t>Recently issued accounting pronouncements not yet adopted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pStyle w:val="TextBody"/>
        <w:bidi w:val="0"/>
        <w:jc w:val="left"/>
        <w:rPr>
          <w:rFonts w:ascii="Arial" w:hAnsi="Arial"/>
          <w:color w:val="000000"/>
          <w:sz w:val="20"/>
        </w:rPr>
      </w:pPr>
      <w:r>
        <w:rPr>
          <w:rFonts w:ascii="Arial" w:hAnsi="Arial"/>
          <w:color w:val="000000"/>
          <w:sz w:val="20"/>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pStyle w:val="TextBody"/>
        <w:bidi w:val="0"/>
        <w:spacing w:before="360" w:after="283"/>
        <w:jc w:val="left"/>
        <w:rPr>
          <w:rFonts w:ascii="Arial" w:hAnsi="Arial"/>
          <w:b/>
          <w:color w:val="000000"/>
          <w:sz w:val="20"/>
        </w:rPr>
      </w:pPr>
      <w:r>
        <w:rPr>
          <w:rFonts w:ascii="Arial" w:hAnsi="Arial"/>
          <w:b/>
          <w:color w:val="000000"/>
          <w:sz w:val="20"/>
        </w:rPr>
        <w:t>Note 3. Fair value measurements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financial assets measured at fair value on a recurring basis and their respective input levels based on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146"/>
        <w:gridCol w:w="258"/>
        <w:gridCol w:w="976"/>
        <w:gridCol w:w="146"/>
        <w:gridCol w:w="146"/>
        <w:gridCol w:w="304"/>
        <w:gridCol w:w="1148"/>
        <w:gridCol w:w="210"/>
        <w:gridCol w:w="210"/>
        <w:gridCol w:w="318"/>
        <w:gridCol w:w="1148"/>
        <w:gridCol w:w="210"/>
        <w:gridCol w:w="210"/>
        <w:gridCol w:w="483"/>
        <w:gridCol w:w="793"/>
        <w:gridCol w:w="477"/>
      </w:tblGrid>
      <w:tr>
        <w:trPr/>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December 31, 2025 using</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335,206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209,923</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125,283</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consolidated balance sheets.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146"/>
        <w:gridCol w:w="258"/>
        <w:gridCol w:w="976"/>
        <w:gridCol w:w="146"/>
        <w:gridCol w:w="146"/>
        <w:gridCol w:w="304"/>
        <w:gridCol w:w="1148"/>
        <w:gridCol w:w="210"/>
        <w:gridCol w:w="210"/>
        <w:gridCol w:w="318"/>
        <w:gridCol w:w="1148"/>
        <w:gridCol w:w="210"/>
        <w:gridCol w:w="210"/>
        <w:gridCol w:w="483"/>
        <w:gridCol w:w="793"/>
        <w:gridCol w:w="477"/>
      </w:tblGrid>
      <w:tr>
        <w:trPr/>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 measurements as of December 31, 2024 using</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Quoted prices in</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Significant</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active markets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other</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unobservable</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 identical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observable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assets (level 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inputs (level 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3)</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Money market funds</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63,101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Corporate debt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Commercial paper</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Yankee debt securities</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treasury securities</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US government agency securities</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177,734</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258,101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(1)</w:t>
      </w:r>
    </w:p>
    <w:p>
      <w:pPr>
        <w:pStyle w:val="TextBody"/>
        <w:bidi w:val="0"/>
        <w:spacing w:before="0" w:after="0"/>
        <w:jc w:val="left"/>
        <w:rPr>
          <w:rFonts w:ascii="Arial" w:hAnsi="Arial"/>
          <w:color w:val="000000"/>
          <w:sz w:val="16"/>
        </w:rPr>
      </w:pPr>
      <w:r>
        <w:rPr>
          <w:rFonts w:ascii="Arial" w:hAnsi="Arial"/>
          <w:color w:val="000000"/>
          <w:sz w:val="16"/>
        </w:rPr>
        <w:t>Included as cash and cash equivalents on the consolidated balance sheets.</w:t>
      </w:r>
    </w:p>
    <w:p>
      <w:pPr>
        <w:pStyle w:val="TextBody"/>
        <w:bidi w:val="0"/>
        <w:spacing w:before="0" w:after="0"/>
        <w:jc w:val="left"/>
        <w:rPr>
          <w:rFonts w:ascii="Arial" w:hAnsi="Arial"/>
          <w:color w:val="000000"/>
          <w:sz w:val="16"/>
        </w:rPr>
      </w:pPr>
      <w:r>
        <w:rPr>
          <w:rFonts w:ascii="Arial" w:hAnsi="Arial"/>
          <w:color w:val="000000"/>
          <w:sz w:val="16"/>
        </w:rPr>
        <w:t>(2)</w:t>
      </w:r>
    </w:p>
    <w:p>
      <w:pPr>
        <w:pStyle w:val="TextBody"/>
        <w:bidi w:val="0"/>
        <w:spacing w:before="0" w:after="0"/>
        <w:jc w:val="left"/>
        <w:rPr>
          <w:rFonts w:ascii="Arial" w:hAnsi="Arial"/>
          <w:color w:val="000000"/>
          <w:sz w:val="16"/>
        </w:rPr>
      </w:pPr>
      <w:r>
        <w:rPr>
          <w:rFonts w:ascii="Arial" w:hAnsi="Arial"/>
          <w:color w:val="000000"/>
          <w:sz w:val="16"/>
        </w:rPr>
        <w:t>Included as short-term marketable securities on the consolidated balance sheets.</w:t>
      </w:r>
    </w:p>
    <w:p>
      <w:pPr>
        <w:pStyle w:val="TextBody"/>
        <w:bidi w:val="0"/>
        <w:spacing w:before="0" w:after="0"/>
        <w:jc w:val="left"/>
        <w:rPr>
          <w:rFonts w:ascii="Arial" w:hAnsi="Arial"/>
          <w:color w:val="000000"/>
          <w:sz w:val="16"/>
        </w:rPr>
      </w:pPr>
      <w:r>
        <w:rPr>
          <w:rFonts w:ascii="Arial" w:hAnsi="Arial"/>
          <w:color w:val="000000"/>
          <w:sz w:val="16"/>
        </w:rPr>
        <w:t>(3)</w:t>
      </w:r>
    </w:p>
    <w:p>
      <w:pPr>
        <w:pStyle w:val="TextBody"/>
        <w:bidi w:val="0"/>
        <w:jc w:val="left"/>
        <w:rPr>
          <w:rFonts w:ascii="Arial" w:hAnsi="Arial"/>
          <w:color w:val="000000"/>
          <w:sz w:val="16"/>
        </w:rPr>
      </w:pPr>
      <w:r>
        <w:rPr>
          <w:rFonts w:ascii="Arial" w:hAnsi="Arial"/>
          <w:color w:val="000000"/>
          <w:sz w:val="16"/>
        </w:rPr>
        <w:t>Included as long-term marketable securities on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the Company’s financial instruments, including cash, prepaid expenses and other current assets, accounts payable, and accrued expenses and other current liabilities, approximate fair value due to their short maturities. As of December 31, 2025 and 2024, the Company's equity investment in Affini-T Therapeutics, Inc. (Affini-T) was fair valued at $0, which represents cost, less impairment. No</w:t>
      </w:r>
      <w:r>
        <w:rPr>
          <w:rFonts w:ascii="Times New Roman" w:hAnsi="Times New Roman"/>
          <w:color w:val="000000"/>
          <w:sz w:val="20"/>
        </w:rPr>
        <w:t xml:space="preserve"> </w:t>
      </w:r>
      <w:r>
        <w:rPr>
          <w:rFonts w:ascii="Arial" w:hAnsi="Arial"/>
          <w:color w:val="000000"/>
          <w:sz w:val="20"/>
        </w:rPr>
        <w:t>adjustment was made to the value of the Company’s equity investment in Affini-T during the year ended December 31, 2025. Impairment adjustments of $2.2</w:t>
      </w:r>
      <w:r>
        <w:rPr>
          <w:rFonts w:ascii="Times New Roman" w:hAnsi="Times New Roman"/>
          <w:color w:val="000000"/>
          <w:sz w:val="20"/>
        </w:rPr>
        <w:t xml:space="preserve"> </w:t>
      </w:r>
      <w:r>
        <w:rPr>
          <w:rFonts w:ascii="Arial" w:hAnsi="Arial"/>
          <w:color w:val="000000"/>
          <w:sz w:val="20"/>
        </w:rPr>
        <w:t>million were recorded to date and during the year ended December 31, 2024 to other expense, net in the consolidated statements of operations and comprehensive loss related to the value of the Company's equity investment in Affini-T. As of December 31, 2024, the Company had reassessed the fair value of its equity investment in Affini-T using a market approach which represented a Level 3 nonrecurring fair value measurement. Calculating the fair value of the equity investment involved unobservable inputs, including the terms and preferences of Affini-T's financings, cash flow projections, and significant estimates and assumptions. Changes in the estimates and assumptions used could materially affect the amount of impairment losses recognized in the periods the equity investment is considered impaired. No</w:t>
      </w:r>
      <w:r>
        <w:rPr>
          <w:rFonts w:ascii="Times New Roman" w:hAnsi="Times New Roman"/>
          <w:color w:val="000000"/>
          <w:sz w:val="20"/>
        </w:rPr>
        <w:t xml:space="preserve"> </w:t>
      </w:r>
      <w:r>
        <w:rPr>
          <w:rFonts w:ascii="Arial" w:hAnsi="Arial"/>
          <w:color w:val="000000"/>
          <w:sz w:val="20"/>
        </w:rPr>
        <w:t>transfers between levels have occurred during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equivalents consist of money market funds and commercial paper, short-term marketable securities consist of US treasury securities, US government agency securities, corporate debt securities, commercial paper, and Yankee debt securities,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4. Marketable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tables summarize the Company’s marketable securities accounted for as available-for-sale securities (in thousands, except years):</w:t>
      </w:r>
    </w:p>
    <w:p>
      <w:pPr>
        <w:pStyle w:val="TextBody"/>
        <w:bidi w:val="0"/>
        <w:jc w:val="left"/>
        <w:rPr/>
      </w:pPr>
      <w:r>
        <w:rPr/>
        <w:t> </w:t>
      </w:r>
    </w:p>
    <w:tbl>
      <w:tblPr>
        <w:tblW w:w="939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40"/>
        <w:gridCol w:w="681"/>
        <w:gridCol w:w="146"/>
        <w:gridCol w:w="146"/>
        <w:gridCol w:w="386"/>
        <w:gridCol w:w="635"/>
        <w:gridCol w:w="14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267,363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267,991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12" w:type="dxa"/>
        <w:jc w:val="left"/>
        <w:tblInd w:w="0" w:type="dxa"/>
        <w:tblLayout w:type="fixed"/>
        <w:tblCellMar>
          <w:top w:w="28" w:type="dxa"/>
          <w:left w:w="28" w:type="dxa"/>
          <w:bottom w:w="28" w:type="dxa"/>
          <w:right w:w="28" w:type="dxa"/>
        </w:tblCellMar>
      </w:tblPr>
      <w:tblGrid>
        <w:gridCol w:w="3061"/>
        <w:gridCol w:w="146"/>
        <w:gridCol w:w="916"/>
        <w:gridCol w:w="146"/>
        <w:gridCol w:w="211"/>
        <w:gridCol w:w="796"/>
        <w:gridCol w:w="146"/>
        <w:gridCol w:w="146"/>
        <w:gridCol w:w="340"/>
        <w:gridCol w:w="681"/>
        <w:gridCol w:w="146"/>
        <w:gridCol w:w="146"/>
        <w:gridCol w:w="311"/>
        <w:gridCol w:w="710"/>
        <w:gridCol w:w="166"/>
        <w:gridCol w:w="146"/>
        <w:gridCol w:w="211"/>
        <w:gridCol w:w="79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Yankee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31, 2025, there were</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available-for-sale securities that were in an unrealized loss position.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fair values and gross unrealized losses for those available-for-sale securities that were in an unrealized loss position as of December 31, 2024, aggregated by category and the length of time that the securities have been in a continuous loss position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0"/>
        <w:gridCol w:w="146"/>
        <w:gridCol w:w="250"/>
        <w:gridCol w:w="945"/>
        <w:gridCol w:w="173"/>
        <w:gridCol w:w="173"/>
        <w:gridCol w:w="396"/>
        <w:gridCol w:w="787"/>
        <w:gridCol w:w="166"/>
        <w:gridCol w:w="146"/>
        <w:gridCol w:w="303"/>
        <w:gridCol w:w="481"/>
        <w:gridCol w:w="202"/>
        <w:gridCol w:w="202"/>
        <w:gridCol w:w="547"/>
        <w:gridCol w:w="635"/>
        <w:gridCol w:w="146"/>
        <w:gridCol w:w="146"/>
        <w:gridCol w:w="211"/>
        <w:gridCol w:w="796"/>
        <w:gridCol w:w="146"/>
        <w:gridCol w:w="146"/>
        <w:gridCol w:w="360"/>
        <w:gridCol w:w="823"/>
        <w:gridCol w:w="219"/>
      </w:tblGrid>
      <w:tr>
        <w:trPr/>
        <w:tc>
          <w:tcPr>
            <w:tcW w:w="1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 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Unrealized losses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41,041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Yankee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34,101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6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135,017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As of December 31, 2024, there were 22</w:t>
      </w:r>
      <w:r>
        <w:rPr>
          <w:rFonts w:ascii="Times New Roman" w:hAnsi="Times New Roman"/>
          <w:color w:val="000000"/>
          <w:sz w:val="20"/>
        </w:rPr>
        <w:t xml:space="preserve"> </w:t>
      </w:r>
      <w:r>
        <w:rPr>
          <w:rFonts w:ascii="Arial" w:hAnsi="Arial"/>
          <w:color w:val="000000"/>
          <w:sz w:val="20"/>
        </w:rPr>
        <w:t>available-for-sale securities with an estimated fair value of $135.0</w:t>
      </w:r>
      <w:r>
        <w:rPr>
          <w:rFonts w:ascii="Times New Roman" w:hAnsi="Times New Roman"/>
          <w:color w:val="000000"/>
          <w:sz w:val="20"/>
        </w:rPr>
        <w:t xml:space="preserve"> </w:t>
      </w:r>
      <w:r>
        <w:rPr>
          <w:rFonts w:ascii="Arial" w:hAnsi="Arial"/>
          <w:color w:val="000000"/>
          <w:sz w:val="20"/>
        </w:rPr>
        <w:t>million in gross unrealized loss positions, none</w:t>
      </w:r>
      <w:r>
        <w:rPr>
          <w:rFonts w:ascii="Times New Roman" w:hAnsi="Times New Roman"/>
          <w:color w:val="000000"/>
          <w:sz w:val="20"/>
        </w:rPr>
        <w:t xml:space="preserve"> </w:t>
      </w:r>
      <w:r>
        <w:rPr>
          <w:rFonts w:ascii="Arial" w:hAnsi="Arial"/>
          <w:color w:val="000000"/>
          <w:sz w:val="20"/>
        </w:rPr>
        <w:t>of which were in an unrealized loss position for more than 12 months.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December 31, 2025 and 2024,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Accrued interest on the Company’s available-for-sale securities was $2.5</w:t>
      </w:r>
      <w:r>
        <w:rPr>
          <w:rFonts w:ascii="Times New Roman" w:hAnsi="Times New Roman"/>
          <w:color w:val="000000"/>
          <w:sz w:val="20"/>
        </w:rPr>
        <w:t xml:space="preserve"> </w:t>
      </w:r>
      <w:r>
        <w:rPr>
          <w:rFonts w:ascii="Arial" w:hAnsi="Arial"/>
          <w:color w:val="000000"/>
          <w:sz w:val="20"/>
        </w:rPr>
        <w:t>million and $2.3</w:t>
      </w:r>
      <w:r>
        <w:rPr>
          <w:rFonts w:ascii="Times New Roman" w:hAnsi="Times New Roman"/>
          <w:color w:val="000000"/>
          <w:sz w:val="20"/>
        </w:rPr>
        <w:t xml:space="preserve"> </w:t>
      </w:r>
      <w:r>
        <w:rPr>
          <w:rFonts w:ascii="Arial" w:hAnsi="Arial"/>
          <w:color w:val="000000"/>
          <w:sz w:val="20"/>
        </w:rPr>
        <w:t>million as of December 31, 2025 and 2024, respectively, and is included in prepaid expenses and other current assets</w:t>
      </w:r>
      <w:r>
        <w:rPr>
          <w:rFonts w:ascii="Times New Roman" w:hAnsi="Times New Roman"/>
          <w:color w:val="000000"/>
          <w:sz w:val="20"/>
        </w:rPr>
        <w:t xml:space="preserve"> </w:t>
      </w:r>
      <w:r>
        <w:rPr>
          <w:rFonts w:ascii="Arial" w:hAnsi="Arial"/>
          <w:color w:val="000000"/>
          <w:sz w:val="20"/>
        </w:rPr>
        <w:t>on the consolidated balance sheets.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Note 5.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Property and equipment, net consisted of the following (in thousands):</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4321"/>
        <w:gridCol w:w="146"/>
        <w:gridCol w:w="285"/>
        <w:gridCol w:w="1020"/>
        <w:gridCol w:w="166"/>
        <w:gridCol w:w="146"/>
        <w:gridCol w:w="285"/>
        <w:gridCol w:w="1020"/>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Property and equipment, net</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related to property and equipment was $3.1</w:t>
      </w:r>
      <w:r>
        <w:rPr>
          <w:rFonts w:ascii="Times New Roman" w:hAnsi="Times New Roman"/>
          <w:color w:val="000000"/>
          <w:sz w:val="20"/>
        </w:rPr>
        <w:t xml:space="preserve"> </w:t>
      </w:r>
      <w:r>
        <w:rPr>
          <w:rFonts w:ascii="Arial" w:hAnsi="Arial"/>
          <w:color w:val="000000"/>
          <w:sz w:val="20"/>
        </w:rPr>
        <w:t>million and $3.8</w:t>
      </w:r>
      <w:r>
        <w:rPr>
          <w:rFonts w:ascii="Times New Roman" w:hAnsi="Times New Roman"/>
          <w:color w:val="000000"/>
          <w:sz w:val="20"/>
        </w:rPr>
        <w:t xml:space="preserve"> </w:t>
      </w:r>
      <w:r>
        <w:rPr>
          <w:rFonts w:ascii="Arial" w:hAnsi="Arial"/>
          <w:color w:val="000000"/>
          <w:sz w:val="20"/>
        </w:rPr>
        <w:t>million for the years ended December 31, 2025 and 2024, respectively.</w:t>
      </w:r>
    </w:p>
    <w:p>
      <w:pPr>
        <w:pStyle w:val="TextBody"/>
        <w:bidi w:val="0"/>
        <w:spacing w:before="360" w:after="283"/>
        <w:jc w:val="left"/>
        <w:rPr>
          <w:rFonts w:ascii="Times New Roman" w:hAnsi="Times New Roman"/>
          <w:sz w:val="20"/>
        </w:rPr>
      </w:pPr>
      <w:r>
        <w:rPr>
          <w:rFonts w:ascii="Arial" w:hAnsi="Arial"/>
          <w:b/>
          <w:color w:val="000000"/>
          <w:sz w:val="20"/>
        </w:rPr>
        <w:t>Note 6. Accrued expenses and other current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Accrued expenses and other current liabilities consisted of the following (in thousands):</w:t>
      </w:r>
    </w:p>
    <w:p>
      <w:pPr>
        <w:pStyle w:val="TextBody"/>
        <w:bidi w:val="0"/>
        <w:jc w:val="left"/>
        <w:rPr/>
      </w:pPr>
      <w:r>
        <w:rPr/>
        <w:t> </w:t>
      </w:r>
    </w:p>
    <w:tbl>
      <w:tblPr>
        <w:tblW w:w="7335" w:type="dxa"/>
        <w:jc w:val="left"/>
        <w:tblInd w:w="0" w:type="dxa"/>
        <w:tblLayout w:type="fixed"/>
        <w:tblCellMar>
          <w:top w:w="28" w:type="dxa"/>
          <w:left w:w="28" w:type="dxa"/>
          <w:bottom w:w="28" w:type="dxa"/>
          <w:right w:w="28" w:type="dxa"/>
        </w:tblCellMar>
      </w:tblPr>
      <w:tblGrid>
        <w:gridCol w:w="4096"/>
        <w:gridCol w:w="146"/>
        <w:gridCol w:w="305"/>
        <w:gridCol w:w="1000"/>
        <w:gridCol w:w="146"/>
        <w:gridCol w:w="146"/>
        <w:gridCol w:w="305"/>
        <w:gridCol w:w="1000"/>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accruals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center"/>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Arial" w:hAnsi="Arial"/>
          <w:b/>
          <w:color w:val="000000"/>
          <w:sz w:val="20"/>
        </w:rPr>
        <w:t>Note 7. Asset acquisitions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consolidated statements of operations and comprehensive loss.</w:t>
      </w:r>
    </w:p>
    <w:p>
      <w:pPr>
        <w:pStyle w:val="TextBody"/>
        <w:bidi w:val="0"/>
        <w:spacing w:before="360" w:after="283"/>
        <w:jc w:val="left"/>
        <w:rPr>
          <w:rFonts w:ascii="Arial" w:hAnsi="Arial"/>
          <w:b/>
          <w:color w:val="000000"/>
          <w:sz w:val="20"/>
        </w:rPr>
      </w:pPr>
      <w:r>
        <w:rPr>
          <w:rFonts w:ascii="Arial" w:hAnsi="Arial"/>
          <w:b/>
          <w:color w:val="000000"/>
          <w:sz w:val="20"/>
        </w:rPr>
        <w:t>Asana BioSciences, LLC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pursuant to which ASN acquired an exclusive, worldwide license to certain intellectual property rights relating to inhibitors of ERK1 and ERK2 owned or controlled by Asana to develop and commercialize ERAS-007 and certain other related compounds for all applications.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announced a strategic reprioritization that included deprioritizing the final trial in the HERKULES series of clinical trials that was evaluating ERAS-007. In September 2025, the Company sent a notice to Asana to terminate the Asana License Agreement, with an effective termination date of November 8, 2025. In connection with such termination, the Company and Asana have agreed that the Company shall continue to ensure that the patients currently enrolled in the HERKULES series of trials will be permitted to continue to participate in such trials for the foreseeable future. No</w:t>
      </w:r>
      <w:r>
        <w:rPr>
          <w:rFonts w:ascii="Times New Roman" w:hAnsi="Times New Roman"/>
          <w:color w:val="000000"/>
          <w:sz w:val="20"/>
        </w:rPr>
        <w:t xml:space="preserve"> </w:t>
      </w:r>
      <w:r>
        <w:rPr>
          <w:rFonts w:ascii="Arial" w:hAnsi="Arial"/>
          <w:color w:val="000000"/>
          <w:sz w:val="20"/>
        </w:rPr>
        <w:t>IPR&amp;D expense was recorded during the years ended December 31, 2025 and 2024. As of December 31, 2025 and 2024, no</w:t>
      </w:r>
      <w:r>
        <w:rPr>
          <w:rFonts w:ascii="Times New Roman" w:hAnsi="Times New Roman"/>
          <w:color w:val="000000"/>
          <w:sz w:val="20"/>
        </w:rPr>
        <w:t xml:space="preserve"> </w:t>
      </w:r>
      <w:r>
        <w:rPr>
          <w:rFonts w:ascii="Arial" w:hAnsi="Arial"/>
          <w:color w:val="000000"/>
          <w:sz w:val="20"/>
        </w:rPr>
        <w:t>milestones had been accrued as the underlying contingencies were not probable or estimable.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8. License agreements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Guangzhou Joyo Pharmatech Co., Ltd</w:t>
      </w:r>
    </w:p>
    <w:p>
      <w:pPr>
        <w:pStyle w:val="TextBody"/>
        <w:bidi w:val="0"/>
        <w:jc w:val="left"/>
        <w:rPr>
          <w:rFonts w:ascii="Times New Roman" w:hAnsi="Times New Roman"/>
          <w:sz w:val="20"/>
        </w:rPr>
      </w:pPr>
      <w:r>
        <w:rPr>
          <w:rFonts w:ascii="Arial" w:hAnsi="Arial"/>
          <w:color w:val="000000"/>
          <w:sz w:val="20"/>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Pursuant to the Joyo License Agreement, the Company had an option to expand the territory of the license to include mainland China, Hong Kong, and Macau by making a $50.0</w:t>
      </w:r>
      <w:r>
        <w:rPr>
          <w:rFonts w:ascii="Times New Roman" w:hAnsi="Times New Roman"/>
          <w:color w:val="000000"/>
          <w:sz w:val="20"/>
        </w:rPr>
        <w:t xml:space="preserve"> </w:t>
      </w:r>
      <w:r>
        <w:rPr>
          <w:rFonts w:ascii="Arial" w:hAnsi="Arial"/>
          <w:color w:val="000000"/>
          <w:sz w:val="20"/>
        </w:rPr>
        <w:t>million payment to Joyo on or prior to the first dosing of the first patient in a Phase 2 clinical trial by either the Company or Joyo, or a payment of $150.0</w:t>
      </w:r>
      <w:r>
        <w:rPr>
          <w:rFonts w:ascii="Times New Roman" w:hAnsi="Times New Roman"/>
          <w:color w:val="000000"/>
          <w:sz w:val="20"/>
        </w:rPr>
        <w:t xml:space="preserve"> </w:t>
      </w:r>
      <w:r>
        <w:rPr>
          <w:rFonts w:ascii="Arial" w:hAnsi="Arial"/>
          <w:color w:val="000000"/>
          <w:sz w:val="20"/>
        </w:rPr>
        <w:t>million after the first dosing of the first patient in a Phase 2 clinical trial by either the Company or Joyo and before filing a new drug application (or the foreign equivalent) by either the Company or Joyo. In March 2026, the Company sent Joyo notice that the Company was exercising its option to expand its territory under the Joyo License Agreement to include mainland China, Hong Kong, and Macau, and based upon feedback from Joyo that it had dosed the first patient in the Phase 2 clinical trial, the Company made the corresponding $150.0</w:t>
      </w:r>
      <w:r>
        <w:rPr>
          <w:rFonts w:ascii="Times New Roman" w:hAnsi="Times New Roman"/>
          <w:color w:val="000000"/>
          <w:sz w:val="20"/>
        </w:rPr>
        <w:t xml:space="preserve"> </w:t>
      </w:r>
      <w:r>
        <w:rPr>
          <w:rFonts w:ascii="Arial" w:hAnsi="Arial"/>
          <w:color w:val="000000"/>
          <w:sz w:val="20"/>
        </w:rPr>
        <w:t>million payment (less applicable withholding amounts).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pStyle w:val="TextBody"/>
        <w:bidi w:val="0"/>
        <w:jc w:val="left"/>
        <w:rPr>
          <w:rFonts w:ascii="Times New Roman" w:hAnsi="Times New Roman"/>
          <w:sz w:val="20"/>
        </w:rPr>
      </w:pPr>
      <w:r>
        <w:rPr>
          <w:rFonts w:ascii="Arial" w:hAnsi="Arial"/>
          <w:color w:val="000000"/>
          <w:sz w:val="20"/>
        </w:rPr>
        <w:t>Under the Joyo License Agreement, in 2024, the Company made an upfront cash payment to Joyo of $12.5</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$51.5</w:t>
      </w:r>
      <w:r>
        <w:rPr>
          <w:rFonts w:ascii="Times New Roman" w:hAnsi="Times New Roman"/>
          <w:color w:val="000000"/>
          <w:sz w:val="20"/>
        </w:rPr>
        <w:t xml:space="preserve"> </w:t>
      </w:r>
      <w:r>
        <w:rPr>
          <w:rFonts w:ascii="Arial" w:hAnsi="Arial"/>
          <w:color w:val="000000"/>
          <w:sz w:val="20"/>
        </w:rPr>
        <w:t>million (with such amount increasing to</w:t>
      </w:r>
      <w:r>
        <w:rPr>
          <w:rFonts w:ascii="Times New Roman" w:hAnsi="Times New Roman"/>
          <w:color w:val="000000"/>
          <w:sz w:val="20"/>
        </w:rPr>
        <w:t xml:space="preserve"> </w:t>
      </w:r>
      <w:r>
        <w:rPr>
          <w:rFonts w:ascii="Arial" w:hAnsi="Arial"/>
          <w:color w:val="000000"/>
          <w:sz w:val="20"/>
        </w:rPr>
        <w:t>$57.5</w:t>
      </w:r>
      <w:r>
        <w:rPr>
          <w:rFonts w:ascii="Times New Roman" w:hAnsi="Times New Roman"/>
          <w:color w:val="000000"/>
          <w:sz w:val="20"/>
        </w:rPr>
        <w:t xml:space="preserve"> </w:t>
      </w:r>
      <w:r>
        <w:rPr>
          <w:rFonts w:ascii="Arial" w:hAnsi="Arial"/>
          <w:color w:val="000000"/>
          <w:sz w:val="20"/>
        </w:rPr>
        <w:t>million following the Company’s exercise of the option to expand the Company’s territory</w:t>
      </w:r>
      <w:r>
        <w:rPr>
          <w:rFonts w:ascii="Times New Roman" w:hAnsi="Times New Roman"/>
          <w:color w:val="000000"/>
          <w:sz w:val="20"/>
        </w:rPr>
        <w:t xml:space="preserve"> </w:t>
      </w:r>
      <w:r>
        <w:rPr>
          <w:rFonts w:ascii="Arial" w:hAnsi="Arial"/>
          <w:color w:val="000000"/>
          <w:sz w:val="20"/>
        </w:rPr>
        <w:t>to include mainland China, Hong Kong, and Macau) and commercial milestone payments of up to $125.0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tiered royalties on net sales of all licensed products, in the low- to mid-single digit percentages, subject to certain reductions. The Company recorded IPR&amp;D expense of $7.5</w:t>
      </w:r>
      <w:r>
        <w:rPr>
          <w:rFonts w:ascii="Times New Roman" w:hAnsi="Times New Roman"/>
          <w:color w:val="000000"/>
          <w:sz w:val="20"/>
        </w:rPr>
        <w:t xml:space="preserve"> </w:t>
      </w:r>
      <w:r>
        <w:rPr>
          <w:rFonts w:ascii="Arial" w:hAnsi="Arial"/>
          <w:color w:val="000000"/>
          <w:sz w:val="20"/>
        </w:rPr>
        <w:t>million related to the achievement of milestones during the year ended December 31, 2025</w:t>
      </w:r>
      <w:r>
        <w:rPr>
          <w:rFonts w:ascii="Times New Roman" w:hAnsi="Times New Roman"/>
          <w:color w:val="000000"/>
          <w:sz w:val="20"/>
        </w:rPr>
        <w:t xml:space="preserve"> </w:t>
      </w:r>
      <w:r>
        <w:rPr>
          <w:rFonts w:ascii="Arial" w:hAnsi="Arial"/>
          <w:color w:val="000000"/>
          <w:sz w:val="20"/>
        </w:rPr>
        <w:t>and $12.5</w:t>
      </w:r>
      <w:r>
        <w:rPr>
          <w:rFonts w:ascii="Times New Roman" w:hAnsi="Times New Roman"/>
          <w:color w:val="000000"/>
          <w:sz w:val="20"/>
        </w:rPr>
        <w:t xml:space="preserve"> </w:t>
      </w:r>
      <w:r>
        <w:rPr>
          <w:rFonts w:ascii="Arial" w:hAnsi="Arial"/>
          <w:color w:val="000000"/>
          <w:sz w:val="20"/>
        </w:rPr>
        <w:t>million in connection with the upfront cash payment made during the year ended December 31, 2024 under the Joyo License Agreement.</w:t>
      </w:r>
    </w:p>
    <w:p>
      <w:pPr>
        <w:pStyle w:val="TextBody"/>
        <w:bidi w:val="0"/>
        <w:spacing w:before="360" w:after="283"/>
        <w:jc w:val="left"/>
        <w:rPr>
          <w:rFonts w:ascii="Arial" w:hAnsi="Arial"/>
          <w:b/>
          <w:color w:val="000000"/>
          <w:sz w:val="20"/>
        </w:rPr>
      </w:pPr>
      <w:r>
        <w:rPr>
          <w:rFonts w:ascii="Arial" w:hAnsi="Arial"/>
          <w:b/>
          <w:color w:val="000000"/>
          <w:sz w:val="20"/>
        </w:rPr>
        <w:t>Medshine Discovery Inc.</w:t>
      </w:r>
    </w:p>
    <w:p>
      <w:pPr>
        <w:pStyle w:val="TextBody"/>
        <w:bidi w:val="0"/>
        <w:jc w:val="left"/>
        <w:rPr>
          <w:rFonts w:ascii="Arial" w:hAnsi="Arial"/>
          <w:color w:val="000000"/>
          <w:sz w:val="20"/>
        </w:rPr>
      </w:pPr>
      <w:r>
        <w:rPr>
          <w:rFonts w:ascii="Arial" w:hAnsi="Arial"/>
          <w:color w:val="000000"/>
          <w:sz w:val="20"/>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pStyle w:val="TextBody"/>
        <w:bidi w:val="0"/>
        <w:jc w:val="left"/>
        <w:rPr>
          <w:rFonts w:ascii="Times New Roman" w:hAnsi="Times New Roman"/>
          <w:sz w:val="20"/>
        </w:rPr>
      </w:pPr>
      <w:r>
        <w:rPr>
          <w:rFonts w:ascii="Arial" w:hAnsi="Arial"/>
          <w:color w:val="000000"/>
          <w:sz w:val="20"/>
        </w:rPr>
        <w:t>Under the Medshine License Agreement, in 2024, the Company made an upfront cash payment to Medshine of $10.0</w:t>
      </w:r>
      <w:r>
        <w:rPr>
          <w:rFonts w:ascii="Times New Roman" w:hAnsi="Times New Roman"/>
          <w:color w:val="000000"/>
          <w:sz w:val="20"/>
        </w:rPr>
        <w:t xml:space="preserve"> </w:t>
      </w:r>
      <w:r>
        <w:rPr>
          <w:rFonts w:ascii="Arial" w:hAnsi="Arial"/>
          <w:color w:val="000000"/>
          <w:sz w:val="20"/>
        </w:rPr>
        <w:t>million. The Company is obligated to make development and regulatory milestone payments of up to $30.0</w:t>
      </w:r>
      <w:r>
        <w:rPr>
          <w:rFonts w:ascii="Times New Roman" w:hAnsi="Times New Roman"/>
          <w:color w:val="000000"/>
          <w:sz w:val="20"/>
        </w:rPr>
        <w:t xml:space="preserve"> </w:t>
      </w:r>
      <w:r>
        <w:rPr>
          <w:rFonts w:ascii="Arial" w:hAnsi="Arial"/>
          <w:color w:val="000000"/>
          <w:sz w:val="20"/>
        </w:rPr>
        <w:t>million and commercial milestone payments of up to $130.0</w:t>
      </w:r>
      <w:r>
        <w:rPr>
          <w:rFonts w:ascii="Times New Roman" w:hAnsi="Times New Roman"/>
          <w:color w:val="000000"/>
          <w:sz w:val="20"/>
        </w:rPr>
        <w:t xml:space="preserve"> </w:t>
      </w:r>
      <w:r>
        <w:rPr>
          <w:rFonts w:ascii="Arial" w:hAnsi="Arial"/>
          <w:color w:val="000000"/>
          <w:sz w:val="20"/>
        </w:rPr>
        <w:t>million upon the achievement of the corresponding milestones. The Company is also obligated to pay a low-single digit percentage royalty on net sales of all licensed products, subject to certain reductions. The Company recorded IPR&amp;D expense of $2.0</w:t>
      </w:r>
      <w:r>
        <w:rPr>
          <w:rFonts w:ascii="Times New Roman" w:hAnsi="Times New Roman"/>
          <w:color w:val="000000"/>
          <w:sz w:val="20"/>
        </w:rPr>
        <w:t xml:space="preserve"> </w:t>
      </w:r>
      <w:r>
        <w:rPr>
          <w:rFonts w:ascii="Arial" w:hAnsi="Arial"/>
          <w:color w:val="000000"/>
          <w:sz w:val="20"/>
        </w:rPr>
        <w:t>million related to the achievement of milestones during the year ended December 31, 2025</w:t>
      </w:r>
      <w:r>
        <w:rPr>
          <w:rFonts w:ascii="Times New Roman" w:hAnsi="Times New Roman"/>
          <w:color w:val="000000"/>
          <w:sz w:val="20"/>
        </w:rPr>
        <w:t xml:space="preserve"> </w:t>
      </w:r>
      <w:r>
        <w:rPr>
          <w:rFonts w:ascii="Arial" w:hAnsi="Arial"/>
          <w:color w:val="000000"/>
          <w:sz w:val="20"/>
        </w:rPr>
        <w:t>and $10.0</w:t>
      </w:r>
      <w:r>
        <w:rPr>
          <w:rFonts w:ascii="Times New Roman" w:hAnsi="Times New Roman"/>
          <w:color w:val="000000"/>
          <w:sz w:val="20"/>
        </w:rPr>
        <w:t xml:space="preserve"> </w:t>
      </w:r>
      <w:r>
        <w:rPr>
          <w:rFonts w:ascii="Arial" w:hAnsi="Arial"/>
          <w:color w:val="000000"/>
          <w:sz w:val="20"/>
        </w:rPr>
        <w:t>million in connection with the upfront cash payment made during the year ended December 31, 2024 under the Medshine License Agreement.</w:t>
      </w:r>
    </w:p>
    <w:p>
      <w:pPr>
        <w:pStyle w:val="TextBody"/>
        <w:bidi w:val="0"/>
        <w:spacing w:before="360" w:after="283"/>
        <w:jc w:val="left"/>
        <w:rPr>
          <w:rFonts w:ascii="Arial" w:hAnsi="Arial"/>
          <w:b/>
          <w:color w:val="000000"/>
          <w:sz w:val="20"/>
        </w:rPr>
      </w:pPr>
      <w:r>
        <w:rPr>
          <w:rFonts w:ascii="Arial" w:hAnsi="Arial"/>
          <w:b/>
          <w:color w:val="000000"/>
          <w:sz w:val="20"/>
        </w:rPr>
        <w:t>Novartis Pharma AG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2025, in connection with the Company’s expectation that ERAS-0015 and ERAS-4001 would both become clinical stage programs, the Company conducted a strategic pipeline review. Following this review, in order to prioritize organizational focus and resources to advance its differentiated RAS-targeting franchise, the Company decided to evaluate strategic alternatives for its naporafenib program. After evaluating the clinical progress of the Company’s RAS franchise, the Company made a strategic decision to stop development of naporafenib. In March 2026, the Company sent a notice to Novartis to terminate the Novartis Agreement. The effective date of the termination of the Novartis Agreement is June 3, 2026. In connection with such termination, the Company and Novartis have agreed that the Company shall continue to ensure that the patients currently enrolled in the SEACRAFT-1 and SEACRAFT-2 trials will be permitted to continue to participate in such trials for the foreseeable future. During the years ended December 31, 2025 and 2024, no</w:t>
      </w:r>
      <w:r>
        <w:rPr>
          <w:rFonts w:ascii="Times New Roman" w:hAnsi="Times New Roman"/>
          <w:color w:val="000000"/>
          <w:sz w:val="20"/>
        </w:rPr>
        <w:t xml:space="preserve"> </w:t>
      </w:r>
      <w:r>
        <w:rPr>
          <w:rFonts w:ascii="Arial" w:hAnsi="Arial"/>
          <w:color w:val="000000"/>
          <w:sz w:val="20"/>
        </w:rPr>
        <w:t>IPR&amp;D expense was recorded in connection with the Novartis Agreement.</w:t>
      </w:r>
    </w:p>
    <w:p>
      <w:pPr>
        <w:pStyle w:val="TextBody"/>
        <w:bidi w:val="0"/>
        <w:spacing w:before="360" w:after="283"/>
        <w:jc w:val="left"/>
        <w:rPr>
          <w:rFonts w:ascii="Arial" w:hAnsi="Arial"/>
          <w:b/>
          <w:color w:val="000000"/>
          <w:sz w:val="20"/>
        </w:rPr>
      </w:pPr>
      <w:r>
        <w:rPr>
          <w:rFonts w:ascii="Arial" w:hAnsi="Arial"/>
          <w:b/>
          <w:color w:val="000000"/>
          <w:sz w:val="20"/>
        </w:rPr>
        <w:t>NiKang Therapeutics, Inc.</w:t>
      </w:r>
    </w:p>
    <w:p>
      <w:pPr>
        <w:pStyle w:val="TextBody"/>
        <w:bidi w:val="0"/>
        <w:jc w:val="left"/>
        <w:rPr>
          <w:rFonts w:ascii="Times New Roman" w:hAnsi="Times New Roman"/>
          <w:sz w:val="20"/>
        </w:rPr>
      </w:pPr>
      <w:r>
        <w:rPr>
          <w:rFonts w:ascii="Arial" w:hAnsi="Arial"/>
          <w:color w:val="000000"/>
          <w:sz w:val="20"/>
        </w:rPr>
        <w:t>In February 2020, the Company entered into a license agreement (the NiKang License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November 2023, the Company announced a strategic reprioritization that included deprioritizing the FLAGSHP-1 clinical trial that was evaluating ERAS-601. In September 2025, the Company sent a notice to NiKang to terminate the NiKang License Agreement, with an effective termination date of October 9, 2025. In connection with such termination, the Company and NiKang entered into a termination agreement pursuant to which the Company and NiKang have agreed that the Company shall continue to ensure that the patients currently enrolled in the FLAGSHP-1 trial and an investigator-initiated trial of ERAS-601 will be permitted to continue to participate in such trials for the foreseeable future. During the years ended December 31, 2025 and 2024, no</w:t>
      </w:r>
      <w:r>
        <w:rPr>
          <w:rFonts w:ascii="Times New Roman" w:hAnsi="Times New Roman"/>
          <w:color w:val="000000"/>
          <w:sz w:val="20"/>
        </w:rPr>
        <w:t xml:space="preserve"> </w:t>
      </w:r>
      <w:r>
        <w:rPr>
          <w:rFonts w:ascii="Arial" w:hAnsi="Arial"/>
          <w:color w:val="000000"/>
          <w:sz w:val="20"/>
        </w:rPr>
        <w:t>IPR&amp;D expense was recorded in connection with the NiKang License Agreement.</w:t>
      </w:r>
    </w:p>
    <w:p>
      <w:pPr>
        <w:pStyle w:val="TextBody"/>
        <w:bidi w:val="0"/>
        <w:spacing w:before="360" w:after="283"/>
        <w:jc w:val="left"/>
        <w:rPr>
          <w:rFonts w:ascii="Arial" w:hAnsi="Arial"/>
          <w:b/>
          <w:color w:val="000000"/>
          <w:sz w:val="20"/>
        </w:rPr>
      </w:pPr>
      <w:r>
        <w:rPr>
          <w:rFonts w:ascii="Arial" w:hAnsi="Arial"/>
          <w:b/>
          <w:color w:val="000000"/>
          <w:sz w:val="20"/>
        </w:rPr>
        <w:t>Katmai Pharmaceuticals,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2020, the Company entered into a license agreement (the Katmai License Agreement) with Katmai Pharmaceuticals, Inc. (Katmai) under which the Company was granted an exclusive, worldwide, royalty-bearing license to certain patent rights and know-how controlled by Katmai related to the development of small molecule therapeutic and diagnostic products that modulate EGFR and enable the identification, diagnosis, selection, treatment, and/or monitoring of patients for neuro-oncological applications to develop, manufacture, use, and commercialize ERAS-801 and certain other related compounds in all fields of use.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May 2024, the Company announced a strategic reprioritization which included deprioritizing its THUNDERBBOLT-1 clinical trial evaluating ERAS-801 in patients with recurrent glioblastoma. In April 2025, the Company entered into a termination agreement (the Katmai Termination Agreement) with Katmai. The Katmai Termination Agreement terminated the Katmai License Agreement as of April 1, 2025. Under the Katmai Termination Agreement, the Company has assigned to Katmai certain know-how, intellectual property rights, third-party vendor agreements, regulatory filings, the sponsorship of the THUNDERBBOLT-1 clinical trial, and materials that the Company developed in connection with the development of ERAS-801 under the Katmai License Agreement, and Katmai is obligated to make payments to the Company upon the occurrence of specific events related to Katmai’s future development and commercialization of ERAS-801. In addition, the Company provided certain transition services to Katmai for a 90-day period, for which Katmai reimbursed the Company for its internal costs related to such services. During the years ended December 31, 2025 and 2024, no</w:t>
      </w:r>
      <w:r>
        <w:rPr>
          <w:rFonts w:ascii="Times New Roman" w:hAnsi="Times New Roman"/>
          <w:color w:val="000000"/>
          <w:sz w:val="20"/>
        </w:rPr>
        <w:t xml:space="preserve"> </w:t>
      </w:r>
      <w:r>
        <w:rPr>
          <w:rFonts w:ascii="Arial" w:hAnsi="Arial"/>
          <w:color w:val="000000"/>
          <w:sz w:val="20"/>
        </w:rPr>
        <w:t>IPR&amp;D expense was recorded in connection with the Katmai License Agreement.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31, 2025 and 2024, no</w:t>
      </w:r>
      <w:r>
        <w:rPr>
          <w:rFonts w:ascii="Times New Roman" w:hAnsi="Times New Roman"/>
          <w:color w:val="000000"/>
          <w:sz w:val="20"/>
        </w:rPr>
        <w:t xml:space="preserve"> </w:t>
      </w:r>
      <w:r>
        <w:rPr>
          <w:rFonts w:ascii="Arial" w:hAnsi="Arial"/>
          <w:color w:val="000000"/>
          <w:sz w:val="20"/>
        </w:rPr>
        <w:t>milestones had been accrued for any license agreement as the underlying contingencies were not probable or estimable.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9. Stockholders’ equity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Holders of the Company's common stock are entitled to one vote for each share held</w:t>
      </w:r>
      <w:r>
        <w:rPr>
          <w:rFonts w:ascii="Times New Roman" w:hAnsi="Times New Roman"/>
          <w:color w:val="000000"/>
          <w:sz w:val="20"/>
        </w:rPr>
        <w:t xml:space="preserve"> </w:t>
      </w:r>
      <w:r>
        <w:rPr>
          <w:rFonts w:ascii="Arial" w:hAnsi="Arial"/>
          <w:color w:val="000000"/>
          <w:sz w:val="20"/>
        </w:rPr>
        <w:t>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December 31, 2025, no</w:t>
      </w:r>
      <w:r>
        <w:rPr>
          <w:rFonts w:ascii="Times New Roman" w:hAnsi="Times New Roman"/>
          <w:color w:val="000000"/>
          <w:sz w:val="20"/>
        </w:rPr>
        <w:t xml:space="preserve"> </w:t>
      </w:r>
      <w:r>
        <w:rPr>
          <w:rFonts w:ascii="Arial" w:hAnsi="Arial"/>
          <w:color w:val="000000"/>
          <w:sz w:val="20"/>
        </w:rPr>
        <w:t>dividends had been declared.</w:t>
      </w:r>
    </w:p>
    <w:p>
      <w:pPr>
        <w:pStyle w:val="TextBody"/>
        <w:bidi w:val="0"/>
        <w:spacing w:before="360" w:after="283"/>
        <w:jc w:val="left"/>
        <w:rPr>
          <w:rFonts w:ascii="Arial" w:hAnsi="Arial"/>
          <w:b/>
          <w:color w:val="000000"/>
          <w:sz w:val="20"/>
        </w:rPr>
      </w:pPr>
      <w:r>
        <w:rPr>
          <w:rFonts w:ascii="Arial" w:hAnsi="Arial"/>
          <w:b/>
          <w:color w:val="000000"/>
          <w:sz w:val="20"/>
        </w:rPr>
        <w:t>Common stock reserved for future issuance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Common stock reserved for future issuance consisted of the following as of December 31, 2025 and 2024:</w:t>
      </w:r>
    </w:p>
    <w:p>
      <w:pPr>
        <w:pStyle w:val="TextBody"/>
        <w:bidi w:val="0"/>
        <w:jc w:val="left"/>
        <w:rPr/>
      </w:pPr>
      <w:r>
        <w:rPr/>
        <w:t> </w:t>
      </w:r>
    </w:p>
    <w:tbl>
      <w:tblPr>
        <w:tblW w:w="7550" w:type="dxa"/>
        <w:jc w:val="left"/>
        <w:tblInd w:w="0" w:type="dxa"/>
        <w:tblLayout w:type="fixed"/>
        <w:tblCellMar>
          <w:top w:w="28" w:type="dxa"/>
          <w:left w:w="28" w:type="dxa"/>
          <w:bottom w:w="28" w:type="dxa"/>
          <w:right w:w="28" w:type="dxa"/>
        </w:tblCellMar>
      </w:tblPr>
      <w:tblGrid>
        <w:gridCol w:w="4171"/>
        <w:gridCol w:w="146"/>
        <w:gridCol w:w="157"/>
        <w:gridCol w:w="1148"/>
        <w:gridCol w:w="146"/>
        <w:gridCol w:w="146"/>
        <w:gridCol w:w="157"/>
        <w:gridCol w:w="1148"/>
        <w:gridCol w:w="33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47,461,519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33,910,721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Awards available for future 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13,524,648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13,265,858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purchase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3,812,732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1,569,952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171" w:type="dxa"/>
            <w:tcBorders>
              <w:bottom w:val="double" w:sz="6" w:space="0" w:color="FFFFFF"/>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64,798,899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48,746,531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rPr>
      </w:pPr>
      <w:r>
        <w:rPr>
          <w:rFonts w:ascii="Arial" w:hAnsi="Arial"/>
          <w:b/>
          <w:color w:val="000000"/>
          <w:sz w:val="20"/>
        </w:rPr>
        <w:t>ATM offerings</w:t>
      </w:r>
    </w:p>
    <w:p>
      <w:pPr>
        <w:pStyle w:val="TextBody"/>
        <w:bidi w:val="0"/>
        <w:jc w:val="left"/>
        <w:rPr>
          <w:rFonts w:ascii="Times New Roman" w:hAnsi="Times New Roman"/>
          <w:sz w:val="20"/>
        </w:rPr>
      </w:pPr>
      <w:r>
        <w:rPr>
          <w:rFonts w:ascii="Arial" w:hAnsi="Arial"/>
          <w:color w:val="000000"/>
          <w:sz w:val="20"/>
        </w:rPr>
        <w:t>In August 2022, the Company entered into an Open Market Sale Agreement (the Sale Agreement) with Jefferies LLC (the Agent), pursuant to which the Company could offer and sell shares of its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an “at-the-market offering” (ATM Offering) through the Agent. Sales of the shares of common stock were made at prevailing market prices at the time of sale, or as otherwise agreed with the Agent. Pursuant to the Sale Agreement, the Agent received a commission from the Company of up to 3.0% of the gross proceeds of shares of common stock sold under the Sale Agreement. During the year ended December 31, 2024, the Company sold 9,231,114</w:t>
      </w:r>
      <w:r>
        <w:rPr>
          <w:rFonts w:ascii="Times New Roman" w:hAnsi="Times New Roman"/>
          <w:color w:val="000000"/>
          <w:sz w:val="20"/>
        </w:rPr>
        <w:t xml:space="preserve"> </w:t>
      </w:r>
      <w:r>
        <w:rPr>
          <w:rFonts w:ascii="Arial" w:hAnsi="Arial"/>
          <w:color w:val="000000"/>
          <w:sz w:val="20"/>
        </w:rPr>
        <w:t>shares of common stock at a weighted-average price of $2.37</w:t>
      </w:r>
      <w:r>
        <w:rPr>
          <w:rFonts w:ascii="Times New Roman" w:hAnsi="Times New Roman"/>
          <w:color w:val="000000"/>
          <w:sz w:val="20"/>
        </w:rPr>
        <w:t xml:space="preserve"> </w:t>
      </w:r>
      <w:r>
        <w:rPr>
          <w:rFonts w:ascii="Arial" w:hAnsi="Arial"/>
          <w:color w:val="000000"/>
          <w:sz w:val="20"/>
        </w:rPr>
        <w:t>per share under the Sale Agreement with the Agent. Proceeds from the ATM Offerings during the year ended December 31, 2024 were $21.0</w:t>
      </w:r>
      <w:r>
        <w:rPr>
          <w:rFonts w:ascii="Times New Roman" w:hAnsi="Times New Roman"/>
          <w:color w:val="000000"/>
          <w:sz w:val="20"/>
        </w:rPr>
        <w:t xml:space="preserve"> </w:t>
      </w:r>
      <w:r>
        <w:rPr>
          <w:rFonts w:ascii="Arial" w:hAnsi="Arial"/>
          <w:color w:val="000000"/>
          <w:sz w:val="20"/>
        </w:rPr>
        <w:t>million, net of commissions and expenses of $847,000.</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August 2025, the Company entered into an Amended and Restated Open Market Sale Agreement (the 2025 Sale Agreement) with the Agent, pursuant to which the Company may offer and sell shares of the Company’s common stock having an aggregate offering price of up to $200</w:t>
      </w:r>
      <w:r>
        <w:rPr>
          <w:rFonts w:ascii="Times New Roman" w:hAnsi="Times New Roman"/>
          <w:color w:val="000000"/>
          <w:sz w:val="20"/>
        </w:rPr>
        <w:t xml:space="preserve"> </w:t>
      </w:r>
      <w:r>
        <w:rPr>
          <w:rFonts w:ascii="Arial" w:hAnsi="Arial"/>
          <w:color w:val="000000"/>
          <w:sz w:val="20"/>
        </w:rPr>
        <w:t>million from time to time, in ATM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2025 Sale Agreement. During the year ended December 31, 2025, the Company did not sell any shares of common stock under the 2025 Sale Agreement.</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2024 underwritten offering</w:t>
      </w:r>
    </w:p>
    <w:p>
      <w:pPr>
        <w:pStyle w:val="TextBody"/>
        <w:bidi w:val="0"/>
        <w:jc w:val="left"/>
        <w:rPr>
          <w:rFonts w:ascii="Times New Roman" w:hAnsi="Times New Roman"/>
          <w:sz w:val="20"/>
        </w:rPr>
      </w:pPr>
      <w:r>
        <w:rPr>
          <w:rFonts w:ascii="Arial" w:hAnsi="Arial"/>
          <w:color w:val="000000"/>
          <w:sz w:val="20"/>
        </w:rPr>
        <w:t>In May 2024, the Company completed the sale and issuance of 99,459,458</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12,972,972</w:t>
      </w:r>
      <w:r>
        <w:rPr>
          <w:rFonts w:ascii="Times New Roman" w:hAnsi="Times New Roman"/>
          <w:color w:val="000000"/>
          <w:sz w:val="20"/>
        </w:rPr>
        <w:t xml:space="preserve"> </w:t>
      </w:r>
      <w:r>
        <w:rPr>
          <w:rFonts w:ascii="Arial" w:hAnsi="Arial"/>
          <w:color w:val="000000"/>
          <w:sz w:val="20"/>
        </w:rPr>
        <w:t>shares of its common stock, at a price to the public of $1.85</w:t>
      </w:r>
      <w:r>
        <w:rPr>
          <w:rFonts w:ascii="Times New Roman" w:hAnsi="Times New Roman"/>
          <w:color w:val="000000"/>
          <w:sz w:val="20"/>
        </w:rPr>
        <w:t xml:space="preserve"> </w:t>
      </w:r>
      <w:r>
        <w:rPr>
          <w:rFonts w:ascii="Arial" w:hAnsi="Arial"/>
          <w:color w:val="000000"/>
          <w:sz w:val="20"/>
        </w:rPr>
        <w:t>per share (the 2024 Offering). Proceeds from the 2024 Offering were $174.4</w:t>
      </w:r>
      <w:r>
        <w:rPr>
          <w:rFonts w:ascii="Times New Roman" w:hAnsi="Times New Roman"/>
          <w:color w:val="000000"/>
          <w:sz w:val="20"/>
        </w:rPr>
        <w:t xml:space="preserve"> </w:t>
      </w:r>
      <w:r>
        <w:rPr>
          <w:rFonts w:ascii="Arial" w:hAnsi="Arial"/>
          <w:color w:val="000000"/>
          <w:sz w:val="20"/>
        </w:rPr>
        <w:t>million, net of underwriting discounts and commissions and offering costs of $9.6</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Arial" w:hAnsi="Arial"/>
          <w:b/>
          <w:color w:val="000000"/>
          <w:sz w:val="20"/>
        </w:rPr>
      </w:pPr>
      <w:r>
        <w:rPr>
          <w:rFonts w:ascii="Arial" w:hAnsi="Arial"/>
          <w:b/>
          <w:color w:val="000000"/>
          <w:sz w:val="20"/>
        </w:rPr>
        <w:t>2024 private placement</w:t>
      </w:r>
    </w:p>
    <w:p>
      <w:pPr>
        <w:pStyle w:val="TextBody"/>
        <w:bidi w:val="0"/>
        <w:jc w:val="left"/>
        <w:rPr>
          <w:rFonts w:ascii="Times New Roman" w:hAnsi="Times New Roman"/>
          <w:sz w:val="20"/>
        </w:rPr>
      </w:pPr>
      <w:r>
        <w:rPr>
          <w:rFonts w:ascii="Arial" w:hAnsi="Arial"/>
          <w:color w:val="000000"/>
          <w:sz w:val="20"/>
        </w:rPr>
        <w:t>In March 2024, the Company entered into a stock purchase agreement with the purchasers named therein for the private placement of 21,844,660</w:t>
      </w:r>
      <w:r>
        <w:rPr>
          <w:rFonts w:ascii="Times New Roman" w:hAnsi="Times New Roman"/>
          <w:color w:val="000000"/>
          <w:sz w:val="20"/>
        </w:rPr>
        <w:t xml:space="preserve"> </w:t>
      </w:r>
      <w:r>
        <w:rPr>
          <w:rFonts w:ascii="Arial" w:hAnsi="Arial"/>
          <w:color w:val="000000"/>
          <w:sz w:val="20"/>
        </w:rPr>
        <w:t>shares of its common stock at a price of $2.06</w:t>
      </w:r>
      <w:r>
        <w:rPr>
          <w:rFonts w:ascii="Times New Roman" w:hAnsi="Times New Roman"/>
          <w:color w:val="000000"/>
          <w:sz w:val="20"/>
        </w:rPr>
        <w:t xml:space="preserve"> </w:t>
      </w:r>
      <w:r>
        <w:rPr>
          <w:rFonts w:ascii="Arial" w:hAnsi="Arial"/>
          <w:color w:val="000000"/>
          <w:sz w:val="20"/>
        </w:rPr>
        <w:t>per share, which closed on April 2, 2024 (the 2024 Private Placement). Proceeds from the 2024 Private Placement were $43.6</w:t>
      </w:r>
      <w:r>
        <w:rPr>
          <w:rFonts w:ascii="Times New Roman" w:hAnsi="Times New Roman"/>
          <w:color w:val="000000"/>
          <w:sz w:val="20"/>
        </w:rPr>
        <w:t xml:space="preserve"> </w:t>
      </w:r>
      <w:r>
        <w:rPr>
          <w:rFonts w:ascii="Arial" w:hAnsi="Arial"/>
          <w:color w:val="000000"/>
          <w:sz w:val="20"/>
        </w:rPr>
        <w:t>million, after deducting placement agent fees and expenses of approximately $1.4</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Note 10. 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w:t>
      </w:r>
      <w:r>
        <w:rPr>
          <w:rFonts w:ascii="Times New Roman" w:hAnsi="Times New Roman"/>
          <w:color w:val="000000"/>
          <w:sz w:val="20"/>
        </w:rPr>
        <w:t xml:space="preserve"> </w:t>
      </w:r>
      <w:r>
        <w:rPr>
          <w:rFonts w:ascii="Arial" w:hAnsi="Arial"/>
          <w:color w:val="000000"/>
          <w:sz w:val="20"/>
        </w:rPr>
        <w:t>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December 31, 2025, there were 13,524,648</w:t>
      </w:r>
      <w:r>
        <w:rPr>
          <w:rFonts w:ascii="Times New Roman" w:hAnsi="Times New Roman"/>
          <w:color w:val="000000"/>
          <w:sz w:val="20"/>
        </w:rPr>
        <w:t xml:space="preserve"> </w:t>
      </w:r>
      <w:r>
        <w:rPr>
          <w:rFonts w:ascii="Arial" w:hAnsi="Arial"/>
          <w:color w:val="000000"/>
          <w:sz w:val="20"/>
        </w:rPr>
        <w:t>stock-based awards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Subsequent to July 2021, no</w:t>
      </w:r>
      <w:r>
        <w:rPr>
          <w:rFonts w:ascii="Times New Roman" w:hAnsi="Times New Roman"/>
          <w:color w:val="000000"/>
          <w:sz w:val="20"/>
        </w:rPr>
        <w:t xml:space="preserve"> </w:t>
      </w:r>
      <w:r>
        <w:rPr>
          <w:rFonts w:ascii="Arial" w:hAnsi="Arial"/>
          <w:color w:val="000000"/>
          <w:sz w:val="20"/>
        </w:rPr>
        <w:t>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Options granted are exercisable at various dates as determined upon grant and will expire no more than ten years</w:t>
      </w:r>
      <w:r>
        <w:rPr>
          <w:rFonts w:ascii="Times New Roman" w:hAnsi="Times New Roman"/>
          <w:color w:val="000000"/>
          <w:sz w:val="20"/>
        </w:rPr>
        <w:t xml:space="preserve"> </w:t>
      </w:r>
      <w:r>
        <w:rPr>
          <w:rFonts w:ascii="Arial" w:hAnsi="Arial"/>
          <w:color w:val="000000"/>
          <w:sz w:val="20"/>
        </w:rPr>
        <w:t>from their date of grant. Stock options generally vest over a four-year</w:t>
      </w:r>
      <w:r>
        <w:rPr>
          <w:rFonts w:ascii="Times New Roman" w:hAnsi="Times New Roman"/>
          <w:color w:val="000000"/>
          <w:sz w:val="20"/>
        </w:rPr>
        <w:t xml:space="preserve"> </w:t>
      </w:r>
      <w:r>
        <w:rPr>
          <w:rFonts w:ascii="Arial" w:hAnsi="Arial"/>
          <w:color w:val="000000"/>
          <w:sz w:val="20"/>
        </w:rPr>
        <w:t>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pStyle w:val="TextBody"/>
        <w:bidi w:val="0"/>
        <w:spacing w:before="360" w:after="283"/>
        <w:jc w:val="left"/>
        <w:rPr>
          <w:rFonts w:ascii="Arial" w:hAnsi="Arial"/>
          <w:b/>
          <w:color w:val="000000"/>
          <w:sz w:val="20"/>
        </w:rPr>
      </w:pPr>
      <w:r>
        <w:rPr>
          <w:rFonts w:ascii="Arial" w:hAnsi="Arial"/>
          <w:b/>
          <w:color w:val="000000"/>
          <w:sz w:val="20"/>
        </w:rPr>
        <w:t>Stock options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summary of the Company’s stock option activity under the 2021 Plan and 2018 Plan is as follows (in thousands, except share and per share data and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2"/>
        <w:gridCol w:w="146"/>
        <w:gridCol w:w="146"/>
        <w:gridCol w:w="1066"/>
        <w:gridCol w:w="166"/>
        <w:gridCol w:w="146"/>
        <w:gridCol w:w="401"/>
        <w:gridCol w:w="919"/>
        <w:gridCol w:w="146"/>
        <w:gridCol w:w="146"/>
        <w:gridCol w:w="393"/>
        <w:gridCol w:w="1296"/>
        <w:gridCol w:w="146"/>
        <w:gridCol w:w="146"/>
        <w:gridCol w:w="235"/>
        <w:gridCol w:w="771"/>
        <w:gridCol w:w="194"/>
      </w:tblGrid>
      <w:tr>
        <w:trPr/>
        <w:tc>
          <w:tcPr>
            <w:tcW w:w="3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intrinsic</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2"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12,989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15,078,786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bottom w:val="single" w:sz="18"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47,461,519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 at December 31, 2025</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26,596,323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color w:val="000000"/>
          <w:sz w:val="20"/>
        </w:rPr>
        <w:t>The weighted-average grant date fair value of options granted for the years ended December 31, 2025 and 2024 was $1.24</w:t>
      </w:r>
      <w:r>
        <w:rPr>
          <w:rFonts w:ascii="Times New Roman" w:hAnsi="Times New Roman"/>
          <w:color w:val="000000"/>
          <w:sz w:val="20"/>
        </w:rPr>
        <w:t xml:space="preserve"> </w:t>
      </w:r>
      <w:r>
        <w:rPr>
          <w:rFonts w:ascii="Arial" w:hAnsi="Arial"/>
          <w:color w:val="000000"/>
          <w:sz w:val="20"/>
        </w:rPr>
        <w:t>and $1.31, respectively. As of December 31, 2025, the unrecognized compensation cost related to unvested stock option grants was $29.5</w:t>
      </w:r>
      <w:r>
        <w:rPr>
          <w:rFonts w:ascii="Times New Roman" w:hAnsi="Times New Roman"/>
          <w:color w:val="000000"/>
          <w:sz w:val="20"/>
        </w:rPr>
        <w:t xml:space="preserve"> </w:t>
      </w:r>
      <w:r>
        <w:rPr>
          <w:rFonts w:ascii="Arial" w:hAnsi="Arial"/>
          <w:color w:val="000000"/>
          <w:sz w:val="20"/>
        </w:rPr>
        <w:t>million and is expected to be recognized as expense over approximately 2.35</w:t>
      </w:r>
      <w:r>
        <w:rPr>
          <w:rFonts w:ascii="Times New Roman" w:hAnsi="Times New Roman"/>
          <w:color w:val="000000"/>
          <w:sz w:val="20"/>
        </w:rPr>
        <w:t xml:space="preserve"> </w:t>
      </w:r>
      <w:r>
        <w:rPr>
          <w:rFonts w:ascii="Arial" w:hAnsi="Arial"/>
          <w:color w:val="000000"/>
          <w:sz w:val="20"/>
        </w:rPr>
        <w:t>years. The intrinsic value of the options exercised for the years ended December 31, 2025 and 2024 was $482,000</w:t>
      </w:r>
      <w:r>
        <w:rPr>
          <w:rFonts w:ascii="Times New Roman" w:hAnsi="Times New Roman"/>
          <w:color w:val="000000"/>
          <w:sz w:val="20"/>
        </w:rPr>
        <w:t xml:space="preserve"> </w:t>
      </w:r>
      <w:r>
        <w:rPr>
          <w:rFonts w:ascii="Arial" w:hAnsi="Arial"/>
          <w:color w:val="000000"/>
          <w:sz w:val="20"/>
        </w:rPr>
        <w:t>and $1.1</w:t>
      </w:r>
      <w:r>
        <w:rPr>
          <w:rFonts w:ascii="Times New Roman" w:hAnsi="Times New Roman"/>
          <w:color w:val="000000"/>
          <w:sz w:val="20"/>
        </w:rPr>
        <w:t xml:space="preserve"> </w:t>
      </w:r>
      <w:r>
        <w:rPr>
          <w:rFonts w:ascii="Arial" w:hAnsi="Arial"/>
          <w:color w:val="000000"/>
          <w:sz w:val="20"/>
        </w:rPr>
        <w:t>million, respectively.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employee and nonemployee stock option grants were as follows:</w:t>
      </w:r>
    </w:p>
    <w:p>
      <w:pPr>
        <w:pStyle w:val="TextBody"/>
        <w:bidi w:val="0"/>
        <w:jc w:val="left"/>
        <w:rPr/>
      </w:pPr>
      <w:r>
        <w:rPr/>
        <w:t> </w:t>
      </w:r>
    </w:p>
    <w:tbl>
      <w:tblPr>
        <w:tblW w:w="5575" w:type="dxa"/>
        <w:jc w:val="left"/>
        <w:tblInd w:w="0" w:type="dxa"/>
        <w:tblLayout w:type="fixed"/>
        <w:tblCellMar>
          <w:top w:w="28" w:type="dxa"/>
          <w:left w:w="28" w:type="dxa"/>
          <w:bottom w:w="28" w:type="dxa"/>
          <w:right w:w="28" w:type="dxa"/>
        </w:tblCellMar>
      </w:tblPr>
      <w:tblGrid>
        <w:gridCol w:w="2266"/>
        <w:gridCol w:w="146"/>
        <w:gridCol w:w="1486"/>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3.84%-4.43%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3.56%-4.64%</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79.48%-82.36%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81.36%-83.91%</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5.28-6.08</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spacing w:before="360" w:after="283"/>
        <w:jc w:val="left"/>
        <w:rPr>
          <w:rFonts w:ascii="Times New Roman" w:hAnsi="Times New Roman"/>
          <w:sz w:val="20"/>
        </w:rPr>
      </w:pPr>
      <w:r>
        <w:rPr>
          <w:rFonts w:ascii="Arial" w:hAnsi="Arial"/>
          <w:color w:val="000000"/>
          <w:sz w:val="20"/>
        </w:rPr>
        <w:t>Effective May 21, 2024, and in accordance with the terms of the 2021 Plan, the Company's board of directors approved a stock option repricing (the Option Repricing) whereby the exercise price of each Repriced Option (as defined below) was reduced to $2.35</w:t>
      </w:r>
      <w:r>
        <w:rPr>
          <w:rFonts w:ascii="Times New Roman" w:hAnsi="Times New Roman"/>
          <w:color w:val="000000"/>
          <w:sz w:val="20"/>
        </w:rPr>
        <w:t xml:space="preserve"> </w:t>
      </w:r>
      <w:r>
        <w:rPr>
          <w:rFonts w:ascii="Arial" w:hAnsi="Arial"/>
          <w:color w:val="000000"/>
          <w:sz w:val="20"/>
        </w:rPr>
        <w:t>per share, the closing stock price on May 21, 2024. For purposes of the Option Repricing, “Repriced Options” are 7,478,918</w:t>
      </w:r>
      <w:r>
        <w:rPr>
          <w:rFonts w:ascii="Times New Roman" w:hAnsi="Times New Roman"/>
          <w:color w:val="000000"/>
          <w:sz w:val="20"/>
        </w:rPr>
        <w:t xml:space="preserve"> </w:t>
      </w:r>
      <w:r>
        <w:rPr>
          <w:rFonts w:ascii="Arial" w:hAnsi="Arial"/>
          <w:color w:val="000000"/>
          <w:sz w:val="20"/>
        </w:rPr>
        <w:t>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General Counsel) and the Company's board of directors.</w:t>
      </w:r>
    </w:p>
    <w:p>
      <w:pPr>
        <w:pStyle w:val="TextBody"/>
        <w:bidi w:val="0"/>
        <w:jc w:val="left"/>
        <w:rPr>
          <w:rFonts w:ascii="Times New Roman" w:hAnsi="Times New Roman"/>
          <w:sz w:val="20"/>
        </w:rPr>
      </w:pPr>
      <w:r>
        <w:rPr>
          <w:rFonts w:ascii="Arial" w:hAnsi="Arial"/>
          <w:color w:val="000000"/>
          <w:sz w:val="20"/>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Option Repricing resulted in $1.1</w:t>
      </w:r>
      <w:r>
        <w:rPr>
          <w:rFonts w:ascii="Times New Roman" w:hAnsi="Times New Roman"/>
          <w:color w:val="000000"/>
          <w:sz w:val="20"/>
        </w:rPr>
        <w:t xml:space="preserve"> </w:t>
      </w:r>
      <w:r>
        <w:rPr>
          <w:rFonts w:ascii="Arial" w:hAnsi="Arial"/>
          <w:color w:val="000000"/>
          <w:sz w:val="20"/>
        </w:rPr>
        <w:t>million of incremental cost, which was calculated using the Black-Scholes option pricing model, of which $559,000</w:t>
      </w:r>
      <w:r>
        <w:rPr>
          <w:rFonts w:ascii="Times New Roman" w:hAnsi="Times New Roman"/>
          <w:color w:val="000000"/>
          <w:sz w:val="20"/>
        </w:rPr>
        <w:t xml:space="preserve"> </w:t>
      </w:r>
      <w:r>
        <w:rPr>
          <w:rFonts w:ascii="Arial" w:hAnsi="Arial"/>
          <w:color w:val="000000"/>
          <w:sz w:val="20"/>
        </w:rPr>
        <w:t>of the incremental cost will be recognized on a straight-line basis through the Premium End Date, and $558,000</w:t>
      </w:r>
      <w:r>
        <w:rPr>
          <w:rFonts w:ascii="Times New Roman" w:hAnsi="Times New Roman"/>
          <w:color w:val="000000"/>
          <w:sz w:val="20"/>
        </w:rPr>
        <w:t xml:space="preserve"> </w:t>
      </w:r>
      <w:r>
        <w:rPr>
          <w:rFonts w:ascii="Arial" w:hAnsi="Arial"/>
          <w:color w:val="000000"/>
          <w:sz w:val="20"/>
        </w:rPr>
        <w:t>of the incremental cost will be recognized on a straight-line basis over the greater of the period through the Premium End Date or the remaining service period. The incremental cost is included in general and administrative expense and research and development expense on the consolidated statements of operations and comprehensive loss.</w:t>
      </w:r>
    </w:p>
    <w:p>
      <w:pPr>
        <w:pStyle w:val="TextBody"/>
        <w:bidi w:val="0"/>
        <w:spacing w:before="360" w:after="283"/>
        <w:jc w:val="left"/>
        <w:rPr>
          <w:rFonts w:ascii="Arial" w:hAnsi="Arial"/>
          <w:b/>
          <w:color w:val="000000"/>
          <w:sz w:val="20"/>
        </w:rPr>
      </w:pPr>
      <w:r>
        <w:rPr>
          <w:rFonts w:ascii="Arial" w:hAnsi="Arial"/>
          <w:b/>
          <w:color w:val="000000"/>
          <w:sz w:val="20"/>
        </w:rPr>
        <w:t>Employee stock purchase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2021, the Company’s board of directors adopted and the Company’s stockholders approved the ESPP, which became effective in connection with the IPO. The ESPP permits participants to contribute up to a specified percentage of their eligible compensation during a series of offering periods of 24 months, each comprised of four six-month</w:t>
      </w:r>
      <w:r>
        <w:rPr>
          <w:rFonts w:ascii="Times New Roman" w:hAnsi="Times New Roman"/>
          <w:color w:val="000000"/>
          <w:sz w:val="20"/>
        </w:rPr>
        <w:t xml:space="preserve"> </w:t>
      </w:r>
      <w:r>
        <w:rPr>
          <w:rFonts w:ascii="Arial" w:hAnsi="Arial"/>
          <w:color w:val="000000"/>
          <w:sz w:val="20"/>
        </w:rPr>
        <w:t>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w:t>
      </w:r>
      <w:r>
        <w:rPr>
          <w:rFonts w:ascii="Times New Roman" w:hAnsi="Times New Roman"/>
          <w:color w:val="000000"/>
          <w:sz w:val="20"/>
        </w:rPr>
        <w:t xml:space="preserve"> </w:t>
      </w:r>
      <w:r>
        <w:rPr>
          <w:rFonts w:ascii="Arial" w:hAnsi="Arial"/>
          <w:color w:val="000000"/>
          <w:sz w:val="20"/>
        </w:rPr>
        <w:t>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 The Company recognized stock-based compensation expense related to the ESPP of $714,000</w:t>
      </w:r>
      <w:r>
        <w:rPr>
          <w:rFonts w:ascii="Times New Roman" w:hAnsi="Times New Roman"/>
          <w:color w:val="000000"/>
          <w:sz w:val="20"/>
        </w:rPr>
        <w:t xml:space="preserve"> </w:t>
      </w:r>
      <w:r>
        <w:rPr>
          <w:rFonts w:ascii="Arial" w:hAnsi="Arial"/>
          <w:color w:val="000000"/>
          <w:sz w:val="20"/>
        </w:rPr>
        <w:t>and $839,000</w:t>
      </w:r>
      <w:r>
        <w:rPr>
          <w:rFonts w:ascii="Times New Roman" w:hAnsi="Times New Roman"/>
          <w:color w:val="000000"/>
          <w:sz w:val="20"/>
        </w:rPr>
        <w:t xml:space="preserve"> </w:t>
      </w:r>
      <w:r>
        <w:rPr>
          <w:rFonts w:ascii="Arial" w:hAnsi="Arial"/>
          <w:color w:val="000000"/>
          <w:sz w:val="20"/>
        </w:rPr>
        <w:t>during the years ended December 31, 2025 and 2024, respectively. As of December 31, 2025, the unrecognized compensation cost related to the ESPP was $1.1</w:t>
      </w:r>
      <w:r>
        <w:rPr>
          <w:rFonts w:ascii="Times New Roman" w:hAnsi="Times New Roman"/>
          <w:color w:val="000000"/>
          <w:sz w:val="20"/>
        </w:rPr>
        <w:t xml:space="preserve"> </w:t>
      </w:r>
      <w:r>
        <w:rPr>
          <w:rFonts w:ascii="Arial" w:hAnsi="Arial"/>
          <w:color w:val="000000"/>
          <w:sz w:val="20"/>
        </w:rPr>
        <w:t>million and is expected to be recognized as expense over approximately 1.49</w:t>
      </w:r>
      <w:r>
        <w:rPr>
          <w:rFonts w:ascii="Times New Roman" w:hAnsi="Times New Roman"/>
          <w:color w:val="000000"/>
          <w:sz w:val="20"/>
        </w:rPr>
        <w:t xml:space="preserve"> </w:t>
      </w:r>
      <w:r>
        <w:rPr>
          <w:rFonts w:ascii="Arial" w:hAnsi="Arial"/>
          <w:color w:val="000000"/>
          <w:sz w:val="20"/>
        </w:rPr>
        <w:t>years. As of December 31, 2025 and 2024, $67,000</w:t>
      </w:r>
      <w:r>
        <w:rPr>
          <w:rFonts w:ascii="Times New Roman" w:hAnsi="Times New Roman"/>
          <w:color w:val="000000"/>
          <w:sz w:val="20"/>
        </w:rPr>
        <w:t xml:space="preserve"> </w:t>
      </w:r>
      <w:r>
        <w:rPr>
          <w:rFonts w:ascii="Arial" w:hAnsi="Arial"/>
          <w:color w:val="000000"/>
          <w:sz w:val="20"/>
        </w:rPr>
        <w:t>and $50,000</w:t>
      </w:r>
      <w:r>
        <w:rPr>
          <w:rFonts w:ascii="Times New Roman" w:hAnsi="Times New Roman"/>
          <w:color w:val="000000"/>
          <w:sz w:val="20"/>
        </w:rPr>
        <w:t xml:space="preserve"> </w:t>
      </w:r>
      <w:r>
        <w:rPr>
          <w:rFonts w:ascii="Arial" w:hAnsi="Arial"/>
          <w:color w:val="000000"/>
          <w:sz w:val="20"/>
        </w:rPr>
        <w:t>has been withheld on behalf of employees for future purchase under the ESPP, respectively, and is included in accrued expenses and other current liabilities on the consolidated balance sheets. The Company issued and sold 589,403</w:t>
      </w:r>
      <w:r>
        <w:rPr>
          <w:rFonts w:ascii="Times New Roman" w:hAnsi="Times New Roman"/>
          <w:color w:val="000000"/>
          <w:sz w:val="20"/>
        </w:rPr>
        <w:t xml:space="preserve"> </w:t>
      </w:r>
      <w:r>
        <w:rPr>
          <w:rFonts w:ascii="Arial" w:hAnsi="Arial"/>
          <w:color w:val="000000"/>
          <w:sz w:val="20"/>
        </w:rPr>
        <w:t>and 510,729</w:t>
      </w:r>
      <w:r>
        <w:rPr>
          <w:rFonts w:ascii="Times New Roman" w:hAnsi="Times New Roman"/>
          <w:color w:val="000000"/>
          <w:sz w:val="20"/>
        </w:rPr>
        <w:t xml:space="preserve"> </w:t>
      </w:r>
      <w:r>
        <w:rPr>
          <w:rFonts w:ascii="Arial" w:hAnsi="Arial"/>
          <w:color w:val="000000"/>
          <w:sz w:val="20"/>
        </w:rPr>
        <w:t>shares under the ESPP during the years ended December 31, 2025 and 2024,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assumptions used in the Black-Scholes option pricing model to determine the fair value of the stock to be purchased under the ESPP were as follows:</w:t>
      </w:r>
    </w:p>
    <w:p>
      <w:pPr>
        <w:pStyle w:val="TextBody"/>
        <w:bidi w:val="0"/>
        <w:jc w:val="left"/>
        <w:rPr/>
      </w:pPr>
      <w:r>
        <w:rPr/>
        <w:t> </w:t>
      </w:r>
    </w:p>
    <w:tbl>
      <w:tblPr>
        <w:tblW w:w="5575" w:type="dxa"/>
        <w:jc w:val="left"/>
        <w:tblInd w:w="0" w:type="dxa"/>
        <w:tblLayout w:type="fixed"/>
        <w:tblCellMar>
          <w:top w:w="28" w:type="dxa"/>
          <w:left w:w="28" w:type="dxa"/>
          <w:bottom w:w="28" w:type="dxa"/>
          <w:right w:w="28" w:type="dxa"/>
        </w:tblCellMar>
      </w:tblPr>
      <w:tblGrid>
        <w:gridCol w:w="2266"/>
        <w:gridCol w:w="146"/>
        <w:gridCol w:w="1486"/>
        <w:gridCol w:w="146"/>
        <w:gridCol w:w="15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r>
      <w:tr>
        <w:trPr/>
        <w:tc>
          <w:tcPr>
            <w:tcW w:w="226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3.48%-4.32%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4.24%-5.39%</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75.24%-92.99%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68.73%-74.72%</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0.50-2.00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0.49-2.00</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r>
    </w:tbl>
    <w:p>
      <w:pPr>
        <w:pStyle w:val="TextBody"/>
        <w:bidi w:val="0"/>
        <w:spacing w:before="360" w:after="283"/>
        <w:jc w:val="left"/>
        <w:rPr>
          <w:rFonts w:ascii="Arial" w:hAnsi="Arial"/>
          <w:b/>
          <w:color w:val="000000"/>
          <w:sz w:val="20"/>
        </w:rPr>
      </w:pPr>
      <w:r>
        <w:rPr>
          <w:rFonts w:ascii="Arial" w:hAnsi="Arial"/>
          <w:b/>
          <w:color w:val="000000"/>
          <w:sz w:val="20"/>
        </w:rPr>
        <w:t>Stock-based compensation expense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allocation of stock-based compensation for all stock awards was as follows (in thousands):</w:t>
      </w:r>
    </w:p>
    <w:p>
      <w:pPr>
        <w:pStyle w:val="TextBody"/>
        <w:bidi w:val="0"/>
        <w:jc w:val="left"/>
        <w:rPr/>
      </w:pPr>
      <w:r>
        <w:rPr/>
        <w:t> </w:t>
      </w:r>
    </w:p>
    <w:tbl>
      <w:tblPr>
        <w:tblW w:w="5166" w:type="dxa"/>
        <w:jc w:val="left"/>
        <w:tblInd w:w="0" w:type="dxa"/>
        <w:tblLayout w:type="fixed"/>
        <w:tblCellMar>
          <w:top w:w="28" w:type="dxa"/>
          <w:left w:w="28" w:type="dxa"/>
          <w:bottom w:w="28" w:type="dxa"/>
          <w:right w:w="28" w:type="dxa"/>
        </w:tblCellMar>
      </w:tblPr>
      <w:tblGrid>
        <w:gridCol w:w="2491"/>
        <w:gridCol w:w="146"/>
        <w:gridCol w:w="235"/>
        <w:gridCol w:w="771"/>
        <w:gridCol w:w="163"/>
        <w:gridCol w:w="163"/>
        <w:gridCol w:w="235"/>
        <w:gridCol w:w="77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24,899</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11. Leases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leases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has facility leases for laboratory and office space under non-cancellable and cancellable operating leases with various expiration dates through 2032.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Lease costs were comprised of the following (in thousands):</w:t>
      </w:r>
    </w:p>
    <w:p>
      <w:pPr>
        <w:pStyle w:val="TextBody"/>
        <w:bidi w:val="0"/>
        <w:jc w:val="left"/>
        <w:rPr/>
      </w:pPr>
      <w:r>
        <w:rPr/>
        <w:t> </w:t>
      </w:r>
    </w:p>
    <w:tbl>
      <w:tblPr>
        <w:tblW w:w="4471" w:type="dxa"/>
        <w:jc w:val="left"/>
        <w:tblInd w:w="0" w:type="dxa"/>
        <w:tblLayout w:type="fixed"/>
        <w:tblCellMar>
          <w:top w:w="28" w:type="dxa"/>
          <w:left w:w="28" w:type="dxa"/>
          <w:bottom w:w="28" w:type="dxa"/>
          <w:right w:w="28" w:type="dxa"/>
        </w:tblCellMar>
      </w:tblPr>
      <w:tblGrid>
        <w:gridCol w:w="1921"/>
        <w:gridCol w:w="238"/>
        <w:gridCol w:w="730"/>
        <w:gridCol w:w="187"/>
        <w:gridCol w:w="165"/>
        <w:gridCol w:w="238"/>
        <w:gridCol w:w="781"/>
        <w:gridCol w:w="211"/>
      </w:tblGrid>
      <w:tr>
        <w:trPr/>
        <w:tc>
          <w:tcPr>
            <w:tcW w:w="19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Sublease income</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8,580</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paid $6.3</w:t>
      </w:r>
      <w:r>
        <w:rPr>
          <w:rFonts w:ascii="Times New Roman" w:hAnsi="Times New Roman"/>
          <w:color w:val="000000"/>
          <w:sz w:val="20"/>
        </w:rPr>
        <w:t xml:space="preserve"> </w:t>
      </w:r>
      <w:r>
        <w:rPr>
          <w:rFonts w:ascii="Arial" w:hAnsi="Arial"/>
          <w:color w:val="000000"/>
          <w:sz w:val="20"/>
        </w:rPr>
        <w:t>million and $7.8</w:t>
      </w:r>
      <w:r>
        <w:rPr>
          <w:rFonts w:ascii="Times New Roman" w:hAnsi="Times New Roman"/>
          <w:color w:val="000000"/>
          <w:sz w:val="20"/>
        </w:rPr>
        <w:t xml:space="preserve"> </w:t>
      </w:r>
      <w:r>
        <w:rPr>
          <w:rFonts w:ascii="Arial" w:hAnsi="Arial"/>
          <w:color w:val="000000"/>
          <w:sz w:val="20"/>
        </w:rPr>
        <w:t>million in cash for operating leases, net of cash received from subleases, that is included in the operating activities section of the consolidated statements of cash flows for the years ended December 31, 2025 and 2024,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weighted-average remaining lease term and the weighted-average discount rate of the Company’s operating leases were</w:t>
      </w:r>
      <w:r>
        <w:rPr>
          <w:rFonts w:ascii="Times New Roman" w:hAnsi="Times New Roman"/>
          <w:color w:val="000000"/>
          <w:sz w:val="20"/>
        </w:rPr>
        <w:t xml:space="preserve"> </w:t>
      </w:r>
      <w:r>
        <w:rPr>
          <w:rFonts w:ascii="Arial" w:hAnsi="Arial"/>
          <w:color w:val="000000"/>
          <w:sz w:val="20"/>
        </w:rPr>
        <w:t>6.39</w:t>
      </w:r>
      <w:r>
        <w:rPr>
          <w:rFonts w:ascii="Times New Roman" w:hAnsi="Times New Roman"/>
          <w:color w:val="000000"/>
          <w:sz w:val="20"/>
        </w:rPr>
        <w:t xml:space="preserve"> </w:t>
      </w:r>
      <w:r>
        <w:rPr>
          <w:rFonts w:ascii="Arial" w:hAnsi="Arial"/>
          <w:color w:val="000000"/>
          <w:sz w:val="20"/>
        </w:rPr>
        <w:t>years and 8.98%, respectively, at December 31, 2025. The weighted-average remaining lease term and the weighted-average discount rate of the Company’s operating leases were 7.33</w:t>
      </w:r>
      <w:r>
        <w:rPr>
          <w:rFonts w:ascii="Times New Roman" w:hAnsi="Times New Roman"/>
          <w:color w:val="000000"/>
          <w:sz w:val="20"/>
        </w:rPr>
        <w:t xml:space="preserve"> </w:t>
      </w:r>
      <w:r>
        <w:rPr>
          <w:rFonts w:ascii="Arial" w:hAnsi="Arial"/>
          <w:color w:val="000000"/>
          <w:sz w:val="20"/>
        </w:rPr>
        <w:t>years and 8.97%, respectively,</w:t>
      </w:r>
      <w:r>
        <w:rPr>
          <w:rFonts w:ascii="Times New Roman" w:hAnsi="Times New Roman"/>
          <w:color w:val="000000"/>
          <w:sz w:val="20"/>
        </w:rPr>
        <w:t xml:space="preserve"> </w:t>
      </w:r>
      <w:r>
        <w:rPr>
          <w:rFonts w:ascii="Arial" w:hAnsi="Arial"/>
          <w:color w:val="000000"/>
          <w:sz w:val="20"/>
        </w:rPr>
        <w:t>at December 31, 2024. The weighted-average remaining lease term does not include any renewal options at the election of the Company.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lease agreements do not contain any material residual value guarantees or material restrictive covenants.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Facility leases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September 2020, the Company entered into a lease agreement for approximately 60,000</w:t>
      </w:r>
      <w:r>
        <w:rPr>
          <w:rFonts w:ascii="Times New Roman" w:hAnsi="Times New Roman"/>
          <w:color w:val="000000"/>
          <w:sz w:val="20"/>
        </w:rPr>
        <w:t xml:space="preserve"> </w:t>
      </w:r>
      <w:r>
        <w:rPr>
          <w:rFonts w:ascii="Arial" w:hAnsi="Arial"/>
          <w:color w:val="000000"/>
          <w:sz w:val="20"/>
        </w:rPr>
        <w:t>square feet of laboratory and office space in San Diego, California, which represented a portion of a new facility that was under construction and which was subsequently amended in March 2021 to expand the rented premises by approximately 18,000</w:t>
      </w:r>
      <w:r>
        <w:rPr>
          <w:rFonts w:ascii="Times New Roman" w:hAnsi="Times New Roman"/>
          <w:color w:val="000000"/>
          <w:sz w:val="20"/>
        </w:rPr>
        <w:t xml:space="preserve"> </w:t>
      </w:r>
      <w:r>
        <w:rPr>
          <w:rFonts w:ascii="Arial" w:hAnsi="Arial"/>
          <w:color w:val="000000"/>
          <w:sz w:val="20"/>
        </w:rPr>
        <w:t>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w:t>
      </w:r>
      <w:r>
        <w:rPr>
          <w:rFonts w:ascii="Times New Roman" w:hAnsi="Times New Roman"/>
          <w:color w:val="000000"/>
          <w:sz w:val="20"/>
        </w:rPr>
        <w:t xml:space="preserve"> </w:t>
      </w:r>
      <w:r>
        <w:rPr>
          <w:rFonts w:ascii="Arial" w:hAnsi="Arial"/>
          <w:color w:val="000000"/>
          <w:sz w:val="20"/>
        </w:rPr>
        <w:t>to May 2022. The 2020 Lease, as amended, has a term of 10.75</w:t>
      </w:r>
      <w:r>
        <w:rPr>
          <w:rFonts w:ascii="Times New Roman" w:hAnsi="Times New Roman"/>
          <w:color w:val="000000"/>
          <w:sz w:val="20"/>
        </w:rPr>
        <w:t xml:space="preserve"> </w:t>
      </w:r>
      <w:r>
        <w:rPr>
          <w:rFonts w:ascii="Arial" w:hAnsi="Arial"/>
          <w:color w:val="000000"/>
          <w:sz w:val="20"/>
        </w:rPr>
        <w:t>years and includes aggregate monthly payments to the lessor of approximately $51.6</w:t>
      </w:r>
      <w:r>
        <w:rPr>
          <w:rFonts w:ascii="Times New Roman" w:hAnsi="Times New Roman"/>
          <w:color w:val="000000"/>
          <w:sz w:val="20"/>
        </w:rPr>
        <w:t xml:space="preserve"> </w:t>
      </w:r>
      <w:r>
        <w:rPr>
          <w:rFonts w:ascii="Arial" w:hAnsi="Arial"/>
          <w:color w:val="000000"/>
          <w:sz w:val="20"/>
        </w:rPr>
        <w:t>million beginning in May 2023 with a rent escalation clause, and a tenant improvement allowance of approximately $16.8</w:t>
      </w:r>
      <w:r>
        <w:rPr>
          <w:rFonts w:ascii="Times New Roman" w:hAnsi="Times New Roman"/>
          <w:color w:val="000000"/>
          <w:sz w:val="20"/>
        </w:rPr>
        <w:t xml:space="preserve"> </w:t>
      </w:r>
      <w:r>
        <w:rPr>
          <w:rFonts w:ascii="Arial" w:hAnsi="Arial"/>
          <w:color w:val="000000"/>
          <w:sz w:val="20"/>
        </w:rPr>
        <w:t>million. The Company is responsible for its share of operating expenses based on actual operating expenses incurred by the landlord. The 2020 Lease is cancellable at the Company’s request after the 84th month with 12 months</w:t>
      </w:r>
      <w:r>
        <w:rPr>
          <w:rFonts w:ascii="Times New Roman" w:hAnsi="Times New Roman"/>
          <w:color w:val="000000"/>
          <w:sz w:val="20"/>
        </w:rPr>
        <w:t xml:space="preserve"> </w:t>
      </w:r>
      <w:r>
        <w:rPr>
          <w:rFonts w:ascii="Arial" w:hAnsi="Arial"/>
          <w:color w:val="000000"/>
          <w:sz w:val="20"/>
        </w:rPr>
        <w:t>written notice and a lump-sum cancellation payment of $2.5</w:t>
      </w:r>
      <w:r>
        <w:rPr>
          <w:rFonts w:ascii="Times New Roman" w:hAnsi="Times New Roman"/>
          <w:color w:val="000000"/>
          <w:sz w:val="20"/>
        </w:rPr>
        <w:t xml:space="preserve"> </w:t>
      </w:r>
      <w:r>
        <w:rPr>
          <w:rFonts w:ascii="Arial" w:hAnsi="Arial"/>
          <w:color w:val="000000"/>
          <w:sz w:val="20"/>
        </w:rPr>
        <w:t>million. The termination option has not been included in the Company's operating lease assets and liabilities. As discussed in Note 2, the Company provided a letter of credit to the lessor for $408,000, which expires July 29, 2032.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December 2021, the Company entered into a lease agreement for approximately 30,000</w:t>
      </w:r>
      <w:r>
        <w:rPr>
          <w:rFonts w:ascii="Times New Roman" w:hAnsi="Times New Roman"/>
          <w:color w:val="000000"/>
          <w:sz w:val="20"/>
        </w:rPr>
        <w:t xml:space="preserve"> </w:t>
      </w:r>
      <w:r>
        <w:rPr>
          <w:rFonts w:ascii="Arial" w:hAnsi="Arial"/>
          <w:color w:val="000000"/>
          <w:sz w:val="20"/>
        </w:rPr>
        <w:t>square feet of office and laboratory space in South San Francisco, California. The lease is accounted for as an operating lease with the associated operating lease assets and liabilities recorded upon commencement, which occurred in July 2022. The non-cancellable operating lease has an initial term of 124 months</w:t>
      </w:r>
      <w:r>
        <w:rPr>
          <w:rFonts w:ascii="Times New Roman" w:hAnsi="Times New Roman"/>
          <w:color w:val="000000"/>
          <w:sz w:val="20"/>
        </w:rPr>
        <w:t xml:space="preserve"> </w:t>
      </w:r>
      <w:r>
        <w:rPr>
          <w:rFonts w:ascii="Arial" w:hAnsi="Arial"/>
          <w:color w:val="000000"/>
          <w:sz w:val="20"/>
        </w:rPr>
        <w:t>with an option</w:t>
      </w:r>
      <w:r>
        <w:rPr>
          <w:rFonts w:ascii="Times New Roman" w:hAnsi="Times New Roman"/>
          <w:color w:val="000000"/>
          <w:sz w:val="20"/>
        </w:rPr>
        <w:t xml:space="preserve"> </w:t>
      </w:r>
      <w:r>
        <w:rPr>
          <w:rFonts w:ascii="Arial" w:hAnsi="Arial"/>
          <w:color w:val="000000"/>
          <w:sz w:val="20"/>
        </w:rPr>
        <w:t>to extend the lease term by 5 years</w:t>
      </w:r>
      <w:r>
        <w:rPr>
          <w:rFonts w:ascii="Times New Roman" w:hAnsi="Times New Roman"/>
          <w:color w:val="000000"/>
          <w:sz w:val="20"/>
        </w:rPr>
        <w:t xml:space="preserve"> </w:t>
      </w:r>
      <w:r>
        <w:rPr>
          <w:rFonts w:ascii="Arial" w:hAnsi="Arial"/>
          <w:color w:val="000000"/>
          <w:sz w:val="20"/>
        </w:rPr>
        <w:t>at the then-current market rates and includes aggregate monthly payments to the lessor of approximately $34.4</w:t>
      </w:r>
      <w:r>
        <w:rPr>
          <w:rFonts w:ascii="Times New Roman" w:hAnsi="Times New Roman"/>
          <w:color w:val="000000"/>
          <w:sz w:val="20"/>
        </w:rPr>
        <w:t xml:space="preserve"> </w:t>
      </w:r>
      <w:r>
        <w:rPr>
          <w:rFonts w:ascii="Arial" w:hAnsi="Arial"/>
          <w:color w:val="000000"/>
          <w:sz w:val="20"/>
        </w:rPr>
        <w:t>million beginning in November 2022 with a rent escalation clause and a tenant improvement allowance of approximately $8.2</w:t>
      </w:r>
      <w:r>
        <w:rPr>
          <w:rFonts w:ascii="Times New Roman" w:hAnsi="Times New Roman"/>
          <w:color w:val="000000"/>
          <w:sz w:val="20"/>
        </w:rPr>
        <w:t xml:space="preserve"> </w:t>
      </w:r>
      <w:r>
        <w:rPr>
          <w:rFonts w:ascii="Arial" w:hAnsi="Arial"/>
          <w:color w:val="000000"/>
          <w:sz w:val="20"/>
        </w:rPr>
        <w:t>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consolidated balance sheets prior to lease commencement and included in the operating lease asset upon lease commencement. The Company paid a security deposit of $874,000</w:t>
      </w:r>
      <w:r>
        <w:rPr>
          <w:rFonts w:ascii="Times New Roman" w:hAnsi="Times New Roman"/>
          <w:color w:val="000000"/>
          <w:sz w:val="20"/>
        </w:rPr>
        <w:t xml:space="preserve"> </w:t>
      </w:r>
      <w:r>
        <w:rPr>
          <w:rFonts w:ascii="Arial" w:hAnsi="Arial"/>
          <w:color w:val="000000"/>
          <w:sz w:val="20"/>
        </w:rPr>
        <w:t>in December 2021 that was recorded as other assets in the consolidated balance sheets. In July 2025, $656,000</w:t>
      </w:r>
      <w:r>
        <w:rPr>
          <w:rFonts w:ascii="Times New Roman" w:hAnsi="Times New Roman"/>
          <w:color w:val="000000"/>
          <w:sz w:val="20"/>
        </w:rPr>
        <w:t xml:space="preserve"> </w:t>
      </w:r>
      <w:r>
        <w:rPr>
          <w:rFonts w:ascii="Arial" w:hAnsi="Arial"/>
          <w:color w:val="000000"/>
          <w:sz w:val="20"/>
        </w:rPr>
        <w:t>of the security deposit was returned to the Company per the terms of the lease agreement. As of December 31, 2025, $218,000</w:t>
      </w:r>
      <w:r>
        <w:rPr>
          <w:rFonts w:ascii="Times New Roman" w:hAnsi="Times New Roman"/>
          <w:color w:val="000000"/>
          <w:sz w:val="20"/>
        </w:rPr>
        <w:t xml:space="preserve"> </w:t>
      </w:r>
      <w:r>
        <w:rPr>
          <w:rFonts w:ascii="Arial" w:hAnsi="Arial"/>
          <w:color w:val="000000"/>
          <w:sz w:val="20"/>
        </w:rPr>
        <w:t>remains as a security deposit included in other assets in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2024, the Company entered into an agreement to sublease the second floor of its corporate headquarters in San Diego, California (the January 2024 Sublease). Pursuant to the January 2024 Sublease, the subleased space was approximately 11,000</w:t>
      </w:r>
      <w:r>
        <w:rPr>
          <w:rFonts w:ascii="Times New Roman" w:hAnsi="Times New Roman"/>
          <w:color w:val="000000"/>
          <w:sz w:val="20"/>
        </w:rPr>
        <w:t xml:space="preserve"> </w:t>
      </w:r>
      <w:r>
        <w:rPr>
          <w:rFonts w:ascii="Arial" w:hAnsi="Arial"/>
          <w:color w:val="000000"/>
          <w:sz w:val="20"/>
        </w:rPr>
        <w:t>square feet of office space with a sublease term of three years</w:t>
      </w:r>
      <w:r>
        <w:rPr>
          <w:rFonts w:ascii="Times New Roman" w:hAnsi="Times New Roman"/>
          <w:color w:val="000000"/>
          <w:sz w:val="20"/>
        </w:rPr>
        <w:t xml:space="preserve"> </w:t>
      </w:r>
      <w:r>
        <w:rPr>
          <w:rFonts w:ascii="Arial" w:hAnsi="Arial"/>
          <w:color w:val="000000"/>
          <w:sz w:val="20"/>
        </w:rPr>
        <w:t>which included an option</w:t>
      </w:r>
      <w:r>
        <w:rPr>
          <w:rFonts w:ascii="Times New Roman" w:hAnsi="Times New Roman"/>
          <w:color w:val="000000"/>
          <w:sz w:val="20"/>
        </w:rPr>
        <w:t xml:space="preserve"> </w:t>
      </w:r>
      <w:r>
        <w:rPr>
          <w:rFonts w:ascii="Arial" w:hAnsi="Arial"/>
          <w:color w:val="000000"/>
          <w:sz w:val="20"/>
        </w:rPr>
        <w:t>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June 2025, the Company and the subtenant entered into a termination agreement that terminated the January 2024 Sublease in July 2025.</w:t>
      </w:r>
      <w:r>
        <w:rPr>
          <w:rFonts w:ascii="Times New Roman" w:hAnsi="Times New Roman"/>
          <w:color w:val="000000"/>
          <w:sz w:val="20"/>
        </w:rPr>
        <w:t xml:space="preserve"> </w:t>
      </w:r>
      <w:r>
        <w:rPr>
          <w:rFonts w:ascii="Arial" w:hAnsi="Arial"/>
          <w:color w:val="000000"/>
          <w:sz w:val="20"/>
        </w:rPr>
        <w:t>In July 2024, the Company entered into an agreement to sublease the first floor of its corporate headquarters (the July 2024 Sublease). Pursuant to the July 2024 Sublease, the subleased space is approximately 18,000</w:t>
      </w:r>
      <w:r>
        <w:rPr>
          <w:rFonts w:ascii="Times New Roman" w:hAnsi="Times New Roman"/>
          <w:color w:val="000000"/>
          <w:sz w:val="20"/>
        </w:rPr>
        <w:t xml:space="preserve"> </w:t>
      </w:r>
      <w:r>
        <w:rPr>
          <w:rFonts w:ascii="Arial" w:hAnsi="Arial"/>
          <w:color w:val="000000"/>
          <w:sz w:val="20"/>
        </w:rPr>
        <w:t>square feet of office space with a sublease term of 61</w:t>
      </w:r>
      <w:r>
        <w:rPr>
          <w:rFonts w:ascii="Times New Roman" w:hAnsi="Times New Roman"/>
          <w:color w:val="000000"/>
          <w:sz w:val="20"/>
        </w:rPr>
        <w:t xml:space="preserve"> </w:t>
      </w:r>
      <w:r>
        <w:rPr>
          <w:rFonts w:ascii="Arial" w:hAnsi="Arial"/>
          <w:color w:val="000000"/>
          <w:sz w:val="20"/>
        </w:rPr>
        <w:t>months beginning in October 2024. The July 2024 Sublease includes an option for the subtenant to renew for an additional year and an early termination</w:t>
      </w:r>
      <w:r>
        <w:rPr>
          <w:rFonts w:ascii="Times New Roman" w:hAnsi="Times New Roman"/>
          <w:color w:val="000000"/>
          <w:sz w:val="20"/>
        </w:rPr>
        <w:t xml:space="preserve"> </w:t>
      </w:r>
      <w:r>
        <w:rPr>
          <w:rFonts w:ascii="Arial" w:hAnsi="Arial"/>
          <w:color w:val="000000"/>
          <w:sz w:val="20"/>
        </w:rPr>
        <w:t>clause. In September 2024, the Company entered into an agreement to sublease a portion of the third floor of its corporate headquarters (the September 2024 Sublease). Pursuant to the September 2024 Sublease, the subleased space was approximately 5,000</w:t>
      </w:r>
      <w:r>
        <w:rPr>
          <w:rFonts w:ascii="Times New Roman" w:hAnsi="Times New Roman"/>
          <w:color w:val="000000"/>
          <w:sz w:val="20"/>
        </w:rPr>
        <w:t xml:space="preserve"> </w:t>
      </w:r>
      <w:r>
        <w:rPr>
          <w:rFonts w:ascii="Arial" w:hAnsi="Arial"/>
          <w:color w:val="000000"/>
          <w:sz w:val="20"/>
        </w:rPr>
        <w:t>square feet of laboratory space with a sublease term of one year, which included an option</w:t>
      </w:r>
      <w:r>
        <w:rPr>
          <w:rFonts w:ascii="Times New Roman" w:hAnsi="Times New Roman"/>
          <w:color w:val="000000"/>
          <w:sz w:val="20"/>
        </w:rPr>
        <w:t xml:space="preserve"> </w:t>
      </w:r>
      <w:r>
        <w:rPr>
          <w:rFonts w:ascii="Arial" w:hAnsi="Arial"/>
          <w:color w:val="000000"/>
          <w:sz w:val="20"/>
        </w:rPr>
        <w:t>for the subtenant to renew for an additional year. In July 2025, the September 2024 Sublease was amended to: (i) add approximately 5,000</w:t>
      </w:r>
      <w:r>
        <w:rPr>
          <w:rFonts w:ascii="Times New Roman" w:hAnsi="Times New Roman"/>
          <w:color w:val="000000"/>
          <w:sz w:val="20"/>
        </w:rPr>
        <w:t xml:space="preserve"> </w:t>
      </w:r>
      <w:r>
        <w:rPr>
          <w:rFonts w:ascii="Arial" w:hAnsi="Arial"/>
          <w:color w:val="000000"/>
          <w:sz w:val="20"/>
        </w:rPr>
        <w:t>square feet of laboratory space on the third floor and approximately 11,000</w:t>
      </w:r>
      <w:r>
        <w:rPr>
          <w:rFonts w:ascii="Times New Roman" w:hAnsi="Times New Roman"/>
          <w:color w:val="000000"/>
          <w:sz w:val="20"/>
        </w:rPr>
        <w:t xml:space="preserve"> </w:t>
      </w:r>
      <w:r>
        <w:rPr>
          <w:rFonts w:ascii="Arial" w:hAnsi="Arial"/>
          <w:color w:val="000000"/>
          <w:sz w:val="20"/>
        </w:rPr>
        <w:t>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the subleases to be operating leases. Therefore, the Company recognizes sublease income on a straight-line basis over the lease term in its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$2.9</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related to income from these subleases during the years ended December 31, 2025 and 2024, respectively.</w:t>
      </w:r>
    </w:p>
    <w:p>
      <w:pPr>
        <w:pStyle w:val="TextBody"/>
        <w:bidi w:val="0"/>
        <w:jc w:val="left"/>
        <w:rPr>
          <w:rFonts w:ascii="Times New Roman" w:hAnsi="Times New Roman"/>
          <w:sz w:val="20"/>
        </w:rPr>
      </w:pPr>
      <w:r>
        <w:rPr>
          <w:rFonts w:ascii="Arial" w:hAnsi="Arial"/>
          <w:color w:val="000000"/>
          <w:sz w:val="20"/>
        </w:rPr>
        <w:t>In connection with committing to the plan to sublease the first floor of its corporate headquarters in June 2024, the Company reassessed its asset groups for testing long-lived assets for impairment and determined the first floor operating lease assets and related property and equipment represented an asset group separate from the entity wide asset group. As of June 30, 2024, the Company concluded that the carrying value of the first floor asset group was not recoverable as it exceeded the future net undiscounted cash flows that are expected to be generated from the use and eventual disposition of the assets within the asset group. The Company determined the fair value of the first floor asset group based on the income approach using a discounted cash flow model. The cash flows used in the model were discounted using a rate of 13.5%. Based on this analysis, the Company recognized a noncash impairment charge of $4.7</w:t>
      </w:r>
      <w:r>
        <w:rPr>
          <w:rFonts w:ascii="Times New Roman" w:hAnsi="Times New Roman"/>
          <w:color w:val="000000"/>
          <w:sz w:val="20"/>
        </w:rPr>
        <w:t xml:space="preserve"> </w:t>
      </w:r>
      <w:r>
        <w:rPr>
          <w:rFonts w:ascii="Arial" w:hAnsi="Arial"/>
          <w:color w:val="000000"/>
          <w:sz w:val="20"/>
        </w:rPr>
        <w:t>million, including $2.4</w:t>
      </w:r>
      <w:r>
        <w:rPr>
          <w:rFonts w:ascii="Times New Roman" w:hAnsi="Times New Roman"/>
          <w:color w:val="000000"/>
          <w:sz w:val="20"/>
        </w:rPr>
        <w:t xml:space="preserve"> </w:t>
      </w:r>
      <w:r>
        <w:rPr>
          <w:rFonts w:ascii="Arial" w:hAnsi="Arial"/>
          <w:color w:val="000000"/>
          <w:sz w:val="20"/>
        </w:rPr>
        <w:t>million for the operating lease assets and $2.3</w:t>
      </w:r>
      <w:r>
        <w:rPr>
          <w:rFonts w:ascii="Times New Roman" w:hAnsi="Times New Roman"/>
          <w:color w:val="000000"/>
          <w:sz w:val="20"/>
        </w:rPr>
        <w:t xml:space="preserve"> </w:t>
      </w:r>
      <w:r>
        <w:rPr>
          <w:rFonts w:ascii="Arial" w:hAnsi="Arial"/>
          <w:color w:val="000000"/>
          <w:sz w:val="20"/>
        </w:rPr>
        <w:t>million for the leasehold improvements and furniture, of which $3.0</w:t>
      </w:r>
      <w:r>
        <w:rPr>
          <w:rFonts w:ascii="Times New Roman" w:hAnsi="Times New Roman"/>
          <w:color w:val="000000"/>
          <w:sz w:val="20"/>
        </w:rPr>
        <w:t xml:space="preserve"> </w:t>
      </w:r>
      <w:r>
        <w:rPr>
          <w:rFonts w:ascii="Arial" w:hAnsi="Arial"/>
          <w:color w:val="000000"/>
          <w:sz w:val="20"/>
        </w:rPr>
        <w:t>million was recorded to research and development expense and $1.7</w:t>
      </w:r>
      <w:r>
        <w:rPr>
          <w:rFonts w:ascii="Times New Roman" w:hAnsi="Times New Roman"/>
          <w:color w:val="000000"/>
          <w:sz w:val="20"/>
        </w:rPr>
        <w:t xml:space="preserve"> </w:t>
      </w:r>
      <w:r>
        <w:rPr>
          <w:rFonts w:ascii="Arial" w:hAnsi="Arial"/>
          <w:color w:val="000000"/>
          <w:sz w:val="20"/>
        </w:rPr>
        <w:t>million was recorded to general and administrative expense, during the year ended December 31, 2024. This represented a Level 3 nonrecurring fair value measurement. Calculating the fair value of the asset group involves significant estimates and assumptions, including projected future cash flows and a discount rate. Changes in the estimates and assumptions used could materially affect the amount of impairment loss recognized in the period the asset group is considered impaired. No</w:t>
      </w:r>
      <w:r>
        <w:rPr>
          <w:rFonts w:ascii="Times New Roman" w:hAnsi="Times New Roman"/>
          <w:color w:val="000000"/>
          <w:sz w:val="20"/>
        </w:rPr>
        <w:t xml:space="preserve"> </w:t>
      </w:r>
      <w:r>
        <w:rPr>
          <w:rFonts w:ascii="Arial" w:hAnsi="Arial"/>
          <w:color w:val="000000"/>
          <w:sz w:val="20"/>
        </w:rPr>
        <w:t>impairment was recorded during the year ended December 31,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Future minimum lease payments and sublease receipts under operating leases as of December 31, 2025 are as follows (in thousands):</w:t>
      </w:r>
    </w:p>
    <w:p>
      <w:pPr>
        <w:pStyle w:val="TextBody"/>
        <w:bidi w:val="0"/>
        <w:jc w:val="left"/>
        <w:rPr/>
      </w:pPr>
      <w:r>
        <w:rPr/>
        <w:t> </w:t>
      </w:r>
    </w:p>
    <w:tbl>
      <w:tblPr>
        <w:tblW w:w="9899" w:type="dxa"/>
        <w:jc w:val="left"/>
        <w:tblInd w:w="0" w:type="dxa"/>
        <w:tblLayout w:type="fixed"/>
        <w:tblCellMar>
          <w:top w:w="28" w:type="dxa"/>
          <w:left w:w="28" w:type="dxa"/>
          <w:bottom w:w="28" w:type="dxa"/>
          <w:right w:w="28" w:type="dxa"/>
        </w:tblCellMar>
      </w:tblPr>
      <w:tblGrid>
        <w:gridCol w:w="4091"/>
        <w:gridCol w:w="533"/>
        <w:gridCol w:w="1897"/>
        <w:gridCol w:w="166"/>
        <w:gridCol w:w="146"/>
        <w:gridCol w:w="686"/>
        <w:gridCol w:w="1909"/>
        <w:gridCol w:w="471"/>
      </w:tblGrid>
      <w:tr>
        <w:trPr/>
        <w:tc>
          <w:tcPr>
            <w:tcW w:w="409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Lease Payments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Operating Sublease Receipts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Year ending December 31,</w:t>
            </w:r>
          </w:p>
        </w:tc>
        <w:tc>
          <w:tcPr>
            <w:tcW w:w="2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lease payments or sublease receipts</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Amount representing interest</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Note 12.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Strategic reprioritization</w:t>
      </w:r>
    </w:p>
    <w:p>
      <w:pPr>
        <w:pStyle w:val="TextBody"/>
        <w:bidi w:val="0"/>
        <w:jc w:val="left"/>
        <w:rPr>
          <w:rFonts w:ascii="Times New Roman" w:hAnsi="Times New Roman"/>
          <w:sz w:val="20"/>
        </w:rPr>
      </w:pPr>
      <w:r>
        <w:rPr>
          <w:rFonts w:ascii="Arial" w:hAnsi="Arial"/>
          <w:color w:val="000000"/>
          <w:sz w:val="20"/>
        </w:rPr>
        <w:t>In May 2024, in connection with the execution of the Joyo License Agreement and the Medshine License Agreement, the Company approved a strategic reprioritization. The Company deprioritized its HERKULES-3 clinical trial evaluating ERAS-007 in combination with encorafenib and cetuximab (EC) in patients with EC-naïve BRAFm colorectal cancer, its THUNDERBBOLT-1 clinical trial evaluating ERAS-801 in patients with recurrent glioblastoma,</w:t>
      </w:r>
      <w:r>
        <w:rPr>
          <w:rFonts w:ascii="Times New Roman" w:hAnsi="Times New Roman"/>
          <w:color w:val="000000"/>
          <w:sz w:val="20"/>
        </w:rPr>
        <w:t xml:space="preserve"> </w:t>
      </w:r>
      <w:r>
        <w:rPr>
          <w:rFonts w:ascii="Arial" w:hAnsi="Arial"/>
          <w:color w:val="000000"/>
          <w:sz w:val="20"/>
        </w:rPr>
        <w:t>and its ERAS-4</w:t>
      </w:r>
      <w:r>
        <w:rPr>
          <w:rFonts w:ascii="Times New Roman" w:hAnsi="Times New Roman"/>
          <w:color w:val="000000"/>
          <w:sz w:val="20"/>
        </w:rPr>
        <w:t xml:space="preserve"> </w:t>
      </w:r>
      <w:r>
        <w:rPr>
          <w:rFonts w:ascii="Arial" w:hAnsi="Arial"/>
          <w:color w:val="000000"/>
          <w:sz w:val="20"/>
        </w:rPr>
        <w:t>pan-KRAS program. In connection with this strategic reprioritization, the Company also approved a reduction in the Company’s workforce by approximately 18%, primarily affecting employees working in certain drug discovery functions or on the deprioritized programs and trials. As a result, the Company recognized $0</w:t>
      </w:r>
      <w:r>
        <w:rPr>
          <w:rFonts w:ascii="Times New Roman" w:hAnsi="Times New Roman"/>
          <w:color w:val="000000"/>
          <w:sz w:val="20"/>
        </w:rPr>
        <w:t xml:space="preserve"> </w:t>
      </w:r>
      <w:r>
        <w:rPr>
          <w:rFonts w:ascii="Arial" w:hAnsi="Arial"/>
          <w:color w:val="000000"/>
          <w:sz w:val="20"/>
        </w:rPr>
        <w:t>and $2.2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in total charges during the years ended December 31, 2025 and 2024, respectively, in the consolidated statements of operations and comprehensive loss based upon the underlying employees’ role within the Company in connection with the reduction in force. These charges consisted primarily of one-time cash charges for termination benefits which were substantially all paid in June 2024.</w:t>
      </w:r>
    </w:p>
    <w:p>
      <w:pPr>
        <w:pStyle w:val="TextBody"/>
        <w:bidi w:val="0"/>
        <w:spacing w:before="360" w:after="283"/>
        <w:jc w:val="left"/>
        <w:rPr>
          <w:rFonts w:ascii="Arial" w:hAnsi="Arial"/>
          <w:b/>
          <w:color w:val="000000"/>
          <w:sz w:val="20"/>
        </w:rPr>
      </w:pPr>
      <w:r>
        <w:rPr>
          <w:rFonts w:ascii="Arial" w:hAnsi="Arial"/>
          <w:b/>
          <w:color w:val="000000"/>
          <w:sz w:val="20"/>
        </w:rPr>
        <w:t>Note 13. Income taxes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components of loss before income taxes were as follows (in thousands):</w:t>
      </w:r>
    </w:p>
    <w:p>
      <w:pPr>
        <w:pStyle w:val="TextBody"/>
        <w:bidi w:val="0"/>
        <w:jc w:val="left"/>
        <w:rPr/>
      </w:pPr>
      <w:r>
        <w:rPr/>
        <w:t> </w:t>
      </w:r>
    </w:p>
    <w:tbl>
      <w:tblPr>
        <w:tblW w:w="5454" w:type="dxa"/>
        <w:jc w:val="left"/>
        <w:tblInd w:w="0" w:type="dxa"/>
        <w:tblLayout w:type="fixed"/>
        <w:tblCellMar>
          <w:top w:w="28" w:type="dxa"/>
          <w:left w:w="28" w:type="dxa"/>
          <w:bottom w:w="28" w:type="dxa"/>
          <w:right w:w="28" w:type="dxa"/>
        </w:tblCellMar>
      </w:tblPr>
      <w:tblGrid>
        <w:gridCol w:w="2371"/>
        <w:gridCol w:w="146"/>
        <w:gridCol w:w="211"/>
        <w:gridCol w:w="856"/>
        <w:gridCol w:w="166"/>
        <w:gridCol w:w="146"/>
        <w:gridCol w:w="211"/>
        <w:gridCol w:w="856"/>
        <w:gridCol w:w="4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(161,788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(161,650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of income tax computed at the federal statutory income tax rate to the provision for income taxes from continuing operations by amount and percent was as follows (amounts in thousands):</w:t>
      </w:r>
    </w:p>
    <w:p>
      <w:pPr>
        <w:pStyle w:val="TextBody"/>
        <w:bidi w:val="0"/>
        <w:jc w:val="left"/>
        <w:rPr/>
      </w:pPr>
      <w:r>
        <w:rPr/>
        <w:t> </w:t>
      </w:r>
    </w:p>
    <w:tbl>
      <w:tblPr>
        <w:tblW w:w="9436" w:type="dxa"/>
        <w:jc w:val="left"/>
        <w:tblInd w:w="0" w:type="dxa"/>
        <w:tblLayout w:type="fixed"/>
        <w:tblCellMar>
          <w:top w:w="28" w:type="dxa"/>
          <w:left w:w="28" w:type="dxa"/>
          <w:bottom w:w="28" w:type="dxa"/>
          <w:right w:w="28" w:type="dxa"/>
        </w:tblCellMar>
      </w:tblPr>
      <w:tblGrid>
        <w:gridCol w:w="3721"/>
        <w:gridCol w:w="146"/>
        <w:gridCol w:w="250"/>
        <w:gridCol w:w="890"/>
        <w:gridCol w:w="196"/>
        <w:gridCol w:w="173"/>
        <w:gridCol w:w="173"/>
        <w:gridCol w:w="641"/>
        <w:gridCol w:w="286"/>
        <w:gridCol w:w="146"/>
        <w:gridCol w:w="250"/>
        <w:gridCol w:w="890"/>
        <w:gridCol w:w="196"/>
        <w:gridCol w:w="173"/>
        <w:gridCol w:w="173"/>
        <w:gridCol w:w="641"/>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Orphan drug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Effects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Executive compensation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provision for federal, state or foreign income taxes has been recorded for the years ended December 31, 2025 and 2024.</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tax effects of temporary differences that give rise to significant portions of the deferred tax assets and deferred tax liabilities as of December 31, 2025 and 2024 were as follows (in thousands):</w:t>
      </w:r>
    </w:p>
    <w:p>
      <w:pPr>
        <w:pStyle w:val="TextBody"/>
        <w:bidi w:val="0"/>
        <w:jc w:val="left"/>
        <w:rPr/>
      </w:pPr>
      <w:r>
        <w:rPr/>
        <w:t> </w:t>
      </w:r>
    </w:p>
    <w:tbl>
      <w:tblPr>
        <w:tblW w:w="7815" w:type="dxa"/>
        <w:jc w:val="left"/>
        <w:tblInd w:w="0" w:type="dxa"/>
        <w:tblLayout w:type="fixed"/>
        <w:tblCellMar>
          <w:top w:w="28" w:type="dxa"/>
          <w:left w:w="28" w:type="dxa"/>
          <w:bottom w:w="28" w:type="dxa"/>
          <w:right w:w="28" w:type="dxa"/>
        </w:tblCellMar>
      </w:tblPr>
      <w:tblGrid>
        <w:gridCol w:w="4256"/>
        <w:gridCol w:w="146"/>
        <w:gridCol w:w="258"/>
        <w:gridCol w:w="1047"/>
        <w:gridCol w:w="166"/>
        <w:gridCol w:w="146"/>
        <w:gridCol w:w="258"/>
        <w:gridCol w:w="1047"/>
        <w:gridCol w:w="491"/>
      </w:tblGrid>
      <w:tr>
        <w:trPr/>
        <w:tc>
          <w:tcPr>
            <w:tcW w:w="4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27,915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Capitalized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48,795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190,261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(180,106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 The Company has recorded a full valuation allowance of $242.2</w:t>
      </w:r>
      <w:r>
        <w:rPr>
          <w:rFonts w:ascii="Times New Roman" w:hAnsi="Times New Roman"/>
          <w:color w:val="000000"/>
          <w:sz w:val="20"/>
        </w:rPr>
        <w:t xml:space="preserve"> </w:t>
      </w:r>
      <w:r>
        <w:rPr>
          <w:rFonts w:ascii="Arial" w:hAnsi="Arial"/>
          <w:color w:val="000000"/>
          <w:sz w:val="20"/>
        </w:rPr>
        <w:t>million as of December 31, 2025, as it does not believe it is more likely than not that the deferred tax assets will be realized primarily due to the generation of pre-tax book losses, the lack of feasible tax-planning strategies, the limited existing taxable temporary differences, and the subjective nature of forecasting future taxable income into the future. The Company increased its valuation allowance by $62.1</w:t>
      </w:r>
      <w:r>
        <w:rPr>
          <w:rFonts w:ascii="Times New Roman" w:hAnsi="Times New Roman"/>
          <w:color w:val="000000"/>
          <w:sz w:val="20"/>
        </w:rPr>
        <w:t xml:space="preserve"> </w:t>
      </w:r>
      <w:r>
        <w:rPr>
          <w:rFonts w:ascii="Arial" w:hAnsi="Arial"/>
          <w:color w:val="000000"/>
          <w:sz w:val="20"/>
        </w:rPr>
        <w:t>million during the year ended December 31, 2025.</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31, 2025, the Company had federal, California, and other state net operating loss (NOL) carryforwards of approximately $413.8</w:t>
      </w:r>
      <w:r>
        <w:rPr>
          <w:rFonts w:ascii="Times New Roman" w:hAnsi="Times New Roman"/>
          <w:color w:val="000000"/>
          <w:sz w:val="20"/>
        </w:rPr>
        <w:t xml:space="preserve"> </w:t>
      </w:r>
      <w:r>
        <w:rPr>
          <w:rFonts w:ascii="Arial" w:hAnsi="Arial"/>
          <w:color w:val="000000"/>
          <w:sz w:val="20"/>
        </w:rPr>
        <w:t>million, $576.7</w:t>
      </w:r>
      <w:r>
        <w:rPr>
          <w:rFonts w:ascii="Times New Roman" w:hAnsi="Times New Roman"/>
          <w:color w:val="000000"/>
          <w:sz w:val="20"/>
        </w:rPr>
        <w:t xml:space="preserve"> </w:t>
      </w:r>
      <w:r>
        <w:rPr>
          <w:rFonts w:ascii="Arial" w:hAnsi="Arial"/>
          <w:color w:val="000000"/>
          <w:sz w:val="20"/>
        </w:rPr>
        <w:t>million, and $4.8</w:t>
      </w:r>
      <w:r>
        <w:rPr>
          <w:rFonts w:ascii="Times New Roman" w:hAnsi="Times New Roman"/>
          <w:color w:val="000000"/>
          <w:sz w:val="20"/>
        </w:rPr>
        <w:t xml:space="preserve"> </w:t>
      </w:r>
      <w:r>
        <w:rPr>
          <w:rFonts w:ascii="Arial" w:hAnsi="Arial"/>
          <w:color w:val="000000"/>
          <w:sz w:val="20"/>
        </w:rPr>
        <w:t>million, respectively. The federal NOL carryforwards will carryforward indefinitely and can offset 80% of future taxable income each year, the California NOL carryforwards begin to expire in 2038, and the other state NOL carryforwards begin to expire in 2036.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31, 2025, the Company also had federal, California, and Massachusetts research tax credit carryforwards of approximately $19.4</w:t>
      </w:r>
      <w:r>
        <w:rPr>
          <w:rFonts w:ascii="Times New Roman" w:hAnsi="Times New Roman"/>
          <w:color w:val="000000"/>
          <w:sz w:val="20"/>
        </w:rPr>
        <w:t xml:space="preserve"> </w:t>
      </w:r>
      <w:r>
        <w:rPr>
          <w:rFonts w:ascii="Arial" w:hAnsi="Arial"/>
          <w:color w:val="000000"/>
          <w:sz w:val="20"/>
        </w:rPr>
        <w:t>million, $11.0</w:t>
      </w:r>
      <w:r>
        <w:rPr>
          <w:rFonts w:ascii="Times New Roman" w:hAnsi="Times New Roman"/>
          <w:color w:val="000000"/>
          <w:sz w:val="20"/>
        </w:rPr>
        <w:t xml:space="preserve"> </w:t>
      </w:r>
      <w:r>
        <w:rPr>
          <w:rFonts w:ascii="Arial" w:hAnsi="Arial"/>
          <w:color w:val="000000"/>
          <w:sz w:val="20"/>
        </w:rPr>
        <w:t>million, and $879,000, respectively. The federal research tax credit carryforwards begin to expire in 2039, the California research tax credit carryforward does not expire and can be carried forward indefinitely until utilized, and the Massachusetts research tax credit carryforwards begin to expire in 2036.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31, 2025, the Company also had federal orphan drug credit carryforwards of approximately $1.2</w:t>
      </w:r>
      <w:r>
        <w:rPr>
          <w:rFonts w:ascii="Times New Roman" w:hAnsi="Times New Roman"/>
          <w:color w:val="000000"/>
          <w:sz w:val="20"/>
        </w:rPr>
        <w:t xml:space="preserve"> </w:t>
      </w:r>
      <w:r>
        <w:rPr>
          <w:rFonts w:ascii="Arial" w:hAnsi="Arial"/>
          <w:color w:val="000000"/>
          <w:sz w:val="20"/>
        </w:rPr>
        <w:t>million. The federal orphan drug credit carryforwards begin to expire in 2043.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At December 31, 2025, the Company also had federal and California charitable contribution carryforwards of approximately $15.7</w:t>
      </w:r>
      <w:r>
        <w:rPr>
          <w:rFonts w:ascii="Times New Roman" w:hAnsi="Times New Roman"/>
          <w:color w:val="000000"/>
          <w:sz w:val="20"/>
        </w:rPr>
        <w:t xml:space="preserve"> </w:t>
      </w:r>
      <w:r>
        <w:rPr>
          <w:rFonts w:ascii="Arial" w:hAnsi="Arial"/>
          <w:color w:val="000000"/>
          <w:sz w:val="20"/>
        </w:rPr>
        <w:t>million. The charitable contribution carryforwards begin to expire in 2026.</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above NOL carryforward and the research tax credit carryforwards are subject to an annual limitation under Section 382 and 383 of the Internal Revenue Code of 1986, as amended (IRC),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w:t>
      </w:r>
      <w:r>
        <w:rPr>
          <w:rFonts w:ascii="Times New Roman" w:hAnsi="Times New Roman"/>
          <w:color w:val="000000"/>
          <w:sz w:val="20"/>
        </w:rPr>
        <w:t xml:space="preserve"> </w:t>
      </w:r>
      <w:r>
        <w:rPr>
          <w:rFonts w:ascii="Arial" w:hAnsi="Arial"/>
          <w:color w:val="000000"/>
          <w:sz w:val="20"/>
        </w:rPr>
        <w:t>percentage points over a three-year</w:t>
      </w:r>
      <w:r>
        <w:rPr>
          <w:rFonts w:ascii="Times New Roman" w:hAnsi="Times New Roman"/>
          <w:color w:val="000000"/>
          <w:sz w:val="20"/>
        </w:rPr>
        <w:t xml:space="preserve"> </w:t>
      </w:r>
      <w:r>
        <w:rPr>
          <w:rFonts w:ascii="Arial" w:hAnsi="Arial"/>
          <w:color w:val="000000"/>
          <w:sz w:val="20"/>
        </w:rPr>
        <w:t>period. The Company has not completed an IRC Section 382/383 analysis regarding the limitation of net operating loss and research and development credit carryforwards.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of the beginning and ending amount of unrecognized tax benefits for 2025 and 2024, excluding interest and penalties, was as follows (in thousands):</w:t>
      </w:r>
    </w:p>
    <w:p>
      <w:pPr>
        <w:pStyle w:val="TextBody"/>
        <w:bidi w:val="0"/>
        <w:jc w:val="left"/>
        <w:rPr/>
      </w:pPr>
      <w:r>
        <w:rPr/>
        <w:t> </w:t>
      </w:r>
    </w:p>
    <w:tbl>
      <w:tblPr>
        <w:tblW w:w="7107" w:type="dxa"/>
        <w:jc w:val="left"/>
        <w:tblInd w:w="0" w:type="dxa"/>
        <w:tblLayout w:type="fixed"/>
        <w:tblCellMar>
          <w:top w:w="28" w:type="dxa"/>
          <w:left w:w="28" w:type="dxa"/>
          <w:bottom w:w="28" w:type="dxa"/>
          <w:right w:w="28" w:type="dxa"/>
        </w:tblCellMar>
      </w:tblPr>
      <w:tblGrid>
        <w:gridCol w:w="4426"/>
        <w:gridCol w:w="146"/>
        <w:gridCol w:w="260"/>
        <w:gridCol w:w="722"/>
        <w:gridCol w:w="180"/>
        <w:gridCol w:w="180"/>
        <w:gridCol w:w="260"/>
        <w:gridCol w:w="722"/>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(decrease) related to prior year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related to current year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Included in the balance of unrecognized tax benefits as of December 31, 2025</w:t>
      </w:r>
      <w:r>
        <w:rPr>
          <w:rFonts w:ascii="Times New Roman" w:hAnsi="Times New Roman"/>
          <w:color w:val="000000"/>
          <w:sz w:val="20"/>
        </w:rPr>
        <w:t xml:space="preserve"> </w:t>
      </w:r>
      <w:r>
        <w:rPr>
          <w:rFonts w:ascii="Arial" w:hAnsi="Arial"/>
          <w:color w:val="000000"/>
          <w:sz w:val="20"/>
        </w:rPr>
        <w:t>is $6.0</w:t>
      </w:r>
      <w:r>
        <w:rPr>
          <w:rFonts w:ascii="Times New Roman" w:hAnsi="Times New Roman"/>
          <w:color w:val="000000"/>
          <w:sz w:val="20"/>
        </w:rPr>
        <w:t xml:space="preserve"> </w:t>
      </w:r>
      <w:r>
        <w:rPr>
          <w:rFonts w:ascii="Arial" w:hAnsi="Arial"/>
          <w:color w:val="000000"/>
          <w:sz w:val="20"/>
        </w:rPr>
        <w:t>million that, if recognized, would reduce the Company’s annual effective tax rate, subject to valuation allowance.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has filed income tax returns in Australia, the United States, California, and various other state jurisdictions. The Company is not currently under examination in any of these jurisdictions, and all of the Company’s tax years remain effectively open in all jurisdictions to examination due to net operating loss carryforwards. The Company’s policy is to recognize interest expense and penalties related to income tax matters as tax expense. For the years ended December 31, 2025 and 2024, the Company has not recognized any interest or penalties related to income taxes.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the One Big Beautiful Bill Act (OBBBA), a budget reconciliation package that changes the US federal income tax laws was signed into law. In addition to extending various expiring provisions from the Tax Cuts and Jobs Act (TCJA) of 2017, the OBBBA restores the tax deductibility of domestic research and development expenses in the year incurred. These expenses had been required under the TCJA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The Company has evaluated the effects of the legislation and has determined that the enactment of the OBBBA did not have a material impact on the Company’s consolidated financial statements and related disclosures.</w:t>
      </w:r>
    </w:p>
    <w:p>
      <w:pPr>
        <w:pStyle w:val="TextBody"/>
        <w:bidi w:val="0"/>
        <w:spacing w:before="360" w:after="283"/>
        <w:jc w:val="left"/>
        <w:rPr>
          <w:rFonts w:ascii="Times New Roman" w:hAnsi="Times New Roman"/>
          <w:sz w:val="20"/>
        </w:rPr>
      </w:pPr>
      <w:r>
        <w:rPr>
          <w:rFonts w:ascii="Arial" w:hAnsi="Arial"/>
          <w:b/>
          <w:color w:val="000000"/>
          <w:sz w:val="20"/>
        </w:rPr>
        <w:t>Note 14. Net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computation of basic and diluted net loss per share of the Company (in thousands, except share and per share data):</w:t>
      </w:r>
    </w:p>
    <w:tbl>
      <w:tblPr>
        <w:tblW w:w="10205" w:type="dxa"/>
        <w:jc w:val="left"/>
        <w:tblInd w:w="0" w:type="dxa"/>
        <w:tblLayout w:type="fixed"/>
        <w:tblCellMar>
          <w:top w:w="28" w:type="dxa"/>
          <w:left w:w="28" w:type="dxa"/>
          <w:bottom w:w="28" w:type="dxa"/>
          <w:right w:w="28" w:type="dxa"/>
        </w:tblCellMar>
      </w:tblPr>
      <w:tblGrid>
        <w:gridCol w:w="6480"/>
        <w:gridCol w:w="146"/>
        <w:gridCol w:w="211"/>
        <w:gridCol w:w="1171"/>
        <w:gridCol w:w="166"/>
        <w:gridCol w:w="146"/>
        <w:gridCol w:w="146"/>
        <w:gridCol w:w="211"/>
        <w:gridCol w:w="1171"/>
        <w:gridCol w:w="166"/>
        <w:gridCol w:w="191"/>
      </w:tblGrid>
      <w:tr>
        <w:trPr/>
        <w:tc>
          <w:tcPr>
            <w:tcW w:w="6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of common stock used in computing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283,533,696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233,817,916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Arial" w:hAnsi="Arial"/>
          <w:color w:val="000000"/>
          <w:sz w:val="20"/>
        </w:rPr>
      </w:pPr>
      <w:r>
        <w:rPr>
          <w:rFonts w:ascii="Arial" w:hAnsi="Arial"/>
          <w:color w:val="000000"/>
          <w:sz w:val="20"/>
        </w:rPr>
        <w:t>The Company’s potentially dilutive securities, which include options to purchase common stock and shares purchasable under the ESPP,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tbl>
      <w:tblPr>
        <w:tblW w:w="7616" w:type="dxa"/>
        <w:jc w:val="left"/>
        <w:tblInd w:w="0" w:type="dxa"/>
        <w:tblLayout w:type="fixed"/>
        <w:tblCellMar>
          <w:top w:w="28" w:type="dxa"/>
          <w:left w:w="28" w:type="dxa"/>
          <w:bottom w:w="28" w:type="dxa"/>
          <w:right w:w="28" w:type="dxa"/>
        </w:tblCellMar>
      </w:tblPr>
      <w:tblGrid>
        <w:gridCol w:w="4231"/>
        <w:gridCol w:w="146"/>
        <w:gridCol w:w="157"/>
        <w:gridCol w:w="1148"/>
        <w:gridCol w:w="146"/>
        <w:gridCol w:w="146"/>
        <w:gridCol w:w="146"/>
        <w:gridCol w:w="157"/>
        <w:gridCol w:w="1148"/>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47,461,519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33,910,721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Estimated shares purchasable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612,358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potentially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48,803,162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34,523,079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15. Retirement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sponsors an employee savings plan that qualifies as a deferred salary arrangement under Section 401(k) of the US Internal Revenue Code. Participating employees may defer up to the Internal Revenue Service annual contribution limit. The Company provides a safe harbor contribution of 3.0% of the employee’s compensation, not to exceed eligible limits. For the years ended December 31, 2025 and 2024, the Company incurred $857,000</w:t>
      </w:r>
      <w:r>
        <w:rPr>
          <w:rFonts w:ascii="Times New Roman" w:hAnsi="Times New Roman"/>
          <w:color w:val="000000"/>
          <w:sz w:val="20"/>
        </w:rPr>
        <w:t xml:space="preserve"> </w:t>
      </w:r>
      <w:r>
        <w:rPr>
          <w:rFonts w:ascii="Arial" w:hAnsi="Arial"/>
          <w:color w:val="000000"/>
          <w:sz w:val="20"/>
        </w:rPr>
        <w:t>and $927,000</w:t>
      </w:r>
      <w:r>
        <w:rPr>
          <w:rFonts w:ascii="Times New Roman" w:hAnsi="Times New Roman"/>
          <w:color w:val="000000"/>
          <w:sz w:val="20"/>
        </w:rPr>
        <w:t xml:space="preserve"> </w:t>
      </w:r>
      <w:r>
        <w:rPr>
          <w:rFonts w:ascii="Arial" w:hAnsi="Arial"/>
          <w:color w:val="000000"/>
          <w:sz w:val="20"/>
        </w:rPr>
        <w:t>in expenses related to the safe harbor contribution, respectively.</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16. Related party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December 31, 2025 and 2024, the Company's equity investment in Affini-T was fair valued at $0. No</w:t>
      </w:r>
      <w:r>
        <w:rPr>
          <w:rFonts w:ascii="Times New Roman" w:hAnsi="Times New Roman"/>
          <w:color w:val="000000"/>
          <w:sz w:val="20"/>
        </w:rPr>
        <w:t xml:space="preserve"> </w:t>
      </w:r>
      <w:r>
        <w:rPr>
          <w:rFonts w:ascii="Arial" w:hAnsi="Arial"/>
          <w:color w:val="000000"/>
          <w:sz w:val="20"/>
        </w:rPr>
        <w:t>adjustment was made to the value of the Company's equity investment in Affini-T during the year ended December 31, 2025. Impairment adjustments of $2.2</w:t>
      </w:r>
      <w:r>
        <w:rPr>
          <w:rFonts w:ascii="Times New Roman" w:hAnsi="Times New Roman"/>
          <w:color w:val="000000"/>
          <w:sz w:val="20"/>
        </w:rPr>
        <w:t xml:space="preserve"> </w:t>
      </w:r>
      <w:r>
        <w:rPr>
          <w:rFonts w:ascii="Arial" w:hAnsi="Arial"/>
          <w:color w:val="000000"/>
          <w:sz w:val="20"/>
        </w:rPr>
        <w:t>million were recorded during the year ended December 31, 2024 to other expense, net in the consolidated statements of operations and comprehensive loss related to the value of the Company's equity investment in Affini-T (see Note 3). One of the Company’s board members was also a member of the board of Affini-T.</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r>
        <w:rPr>
          <w:rFonts w:ascii="Arial" w:hAnsi="Arial"/>
          <w:b/>
          <w:color w:val="000000"/>
          <w:sz w:val="20"/>
        </w:rPr>
        <w:t>Note 17. Segment Information</w:t>
      </w:r>
    </w:p>
    <w:p>
      <w:pPr>
        <w:pStyle w:val="TextBody"/>
        <w:bidi w:val="0"/>
        <w:jc w:val="left"/>
        <w:rPr>
          <w:rFonts w:ascii="Times New Roman" w:hAnsi="Times New Roman"/>
          <w:sz w:val="20"/>
        </w:rPr>
      </w:pPr>
      <w:r>
        <w:rPr>
          <w:rFonts w:ascii="Arial" w:hAnsi="Arial"/>
          <w:color w:val="000000"/>
          <w:sz w:val="20"/>
        </w:rPr>
        <w:br/>
        <w:t>The Company operates and manages its business as a single</w:t>
      </w:r>
      <w:r>
        <w:rPr>
          <w:rFonts w:ascii="Times New Roman" w:hAnsi="Times New Roman"/>
          <w:color w:val="000000"/>
          <w:sz w:val="20"/>
        </w:rPr>
        <w:t xml:space="preserve"> </w:t>
      </w:r>
      <w:r>
        <w:rPr>
          <w:rFonts w:ascii="Arial" w:hAnsi="Arial"/>
          <w:color w:val="000000"/>
          <w:sz w:val="20"/>
        </w:rPr>
        <w:t xml:space="preserve">operating and reportable segment focused on the discovery and development of precision medicines for the benefit of patients with cancer. The Company's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its business.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accounting policies of the segment are the same as those described in the summary of significant accounting policies. The CODM assesses performance for the segment based on net loss, which is reported on the consolidated statements of operations and comprehensive loss as consolidated net loss. The measure of segment assets is reported on the consolidated balance sheets as total consolidated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consolidated statements of operations and comprehensive loss as research and development expenses and general and administrative expenses.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Note 18. Subsequent events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Option grants</w:t>
      </w:r>
      <w:r>
        <w:rPr>
          <w:rFonts w:ascii="Arial" w:hAnsi="Arial"/>
          <w:color w:val="000000"/>
          <w:sz w:val="20"/>
        </w:rPr>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From January 1, 2026 through the date of the filing of this Annual Report on Form 10-K, the Company granted options to purchase an aggregate of 11,722,459</w:t>
      </w:r>
      <w:r>
        <w:rPr>
          <w:rFonts w:ascii="Times New Roman" w:hAnsi="Times New Roman"/>
          <w:color w:val="000000"/>
          <w:sz w:val="20"/>
        </w:rPr>
        <w:t xml:space="preserve"> </w:t>
      </w:r>
      <w:r>
        <w:rPr>
          <w:rFonts w:ascii="Arial" w:hAnsi="Arial"/>
          <w:color w:val="000000"/>
          <w:sz w:val="20"/>
        </w:rPr>
        <w:t>shares of its common stock to employees and board members at a weighted-average exercise price of $10.26</w:t>
      </w:r>
      <w:r>
        <w:rPr>
          <w:rFonts w:ascii="Times New Roman" w:hAnsi="Times New Roman"/>
          <w:color w:val="000000"/>
          <w:sz w:val="20"/>
        </w:rPr>
        <w:t xml:space="preserve"> </w:t>
      </w:r>
      <w:r>
        <w:rPr>
          <w:rFonts w:ascii="Arial" w:hAnsi="Arial"/>
          <w:color w:val="000000"/>
          <w:sz w:val="20"/>
        </w:rPr>
        <w:t>per share.</w:t>
      </w:r>
    </w:p>
    <w:p>
      <w:pPr>
        <w:pStyle w:val="TextBody"/>
        <w:bidi w:val="0"/>
        <w:spacing w:before="360" w:after="283"/>
        <w:jc w:val="left"/>
        <w:rPr>
          <w:rFonts w:ascii="Arial" w:hAnsi="Arial"/>
          <w:b/>
          <w:color w:val="000000"/>
          <w:sz w:val="20"/>
        </w:rPr>
      </w:pPr>
      <w:r>
        <w:rPr>
          <w:rFonts w:ascii="Arial" w:hAnsi="Arial"/>
          <w:b/>
          <w:color w:val="000000"/>
          <w:sz w:val="20"/>
        </w:rPr>
        <w:t>2026 underwritten offering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2026, the Company completed the sale and issuance of 25,875,000</w:t>
      </w:r>
      <w:r>
        <w:rPr>
          <w:rFonts w:ascii="Times New Roman" w:hAnsi="Times New Roman"/>
          <w:color w:val="000000"/>
          <w:sz w:val="20"/>
        </w:rPr>
        <w:t xml:space="preserve"> </w:t>
      </w:r>
      <w:r>
        <w:rPr>
          <w:rFonts w:ascii="Arial" w:hAnsi="Arial"/>
          <w:color w:val="000000"/>
          <w:sz w:val="20"/>
        </w:rPr>
        <w:t>shares of its common stock, including the exercise in full by the underwriters of their option to purchase 3,375,000</w:t>
      </w:r>
      <w:r>
        <w:rPr>
          <w:rFonts w:ascii="Times New Roman" w:hAnsi="Times New Roman"/>
          <w:color w:val="000000"/>
          <w:sz w:val="20"/>
        </w:rPr>
        <w:t xml:space="preserve"> </w:t>
      </w:r>
      <w:r>
        <w:rPr>
          <w:rFonts w:ascii="Arial" w:hAnsi="Arial"/>
          <w:color w:val="000000"/>
          <w:sz w:val="20"/>
        </w:rPr>
        <w:t>shares of its common stock, at a price to the public of $10.00</w:t>
      </w:r>
      <w:r>
        <w:rPr>
          <w:rFonts w:ascii="Times New Roman" w:hAnsi="Times New Roman"/>
          <w:color w:val="000000"/>
          <w:sz w:val="20"/>
        </w:rPr>
        <w:t xml:space="preserve"> </w:t>
      </w:r>
      <w:r>
        <w:rPr>
          <w:rFonts w:ascii="Arial" w:hAnsi="Arial"/>
          <w:color w:val="000000"/>
          <w:sz w:val="20"/>
        </w:rPr>
        <w:t>per share. The aggregate net proceeds from the 2026 Offering were $242.7</w:t>
      </w:r>
      <w:r>
        <w:rPr>
          <w:rFonts w:ascii="Times New Roman" w:hAnsi="Times New Roman"/>
          <w:color w:val="000000"/>
          <w:sz w:val="20"/>
        </w:rPr>
        <w:t xml:space="preserve"> </w:t>
      </w:r>
      <w:r>
        <w:rPr>
          <w:rFonts w:ascii="Arial" w:hAnsi="Arial"/>
          <w:color w:val="000000"/>
          <w:sz w:val="20"/>
        </w:rPr>
        <w:t>million, net of underwriting discounts and commissions and offering costs of $16.1</w:t>
      </w:r>
      <w:r>
        <w:rPr>
          <w:rFonts w:ascii="Times New Roman" w:hAnsi="Times New Roman"/>
          <w:color w:val="000000"/>
          <w:sz w:val="20"/>
        </w:rPr>
        <w:t xml:space="preserve"> </w:t>
      </w:r>
      <w:r>
        <w:rPr>
          <w:rFonts w:ascii="Arial" w:hAnsi="Arial"/>
          <w:color w:val="000000"/>
          <w:sz w:val="20"/>
        </w:rPr>
        <w:t>million.</w:t>
      </w:r>
    </w:p>
    <w:p>
      <w:pPr>
        <w:pStyle w:val="TextBody"/>
        <w:bidi w:val="0"/>
        <w:spacing w:before="360" w:after="283"/>
        <w:jc w:val="left"/>
        <w:rPr>
          <w:rFonts w:ascii="Arial" w:hAnsi="Arial"/>
          <w:b/>
          <w:color w:val="000000"/>
          <w:sz w:val="20"/>
        </w:rPr>
      </w:pPr>
      <w:r>
        <w:rPr>
          <w:rFonts w:ascii="Arial" w:hAnsi="Arial"/>
          <w:b/>
          <w:color w:val="000000"/>
          <w:sz w:val="20"/>
        </w:rPr>
        <w:t>Worldwide license option exercise under the Joyo License Agreement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2026, the Company sent Joyo notice that the Company was exercising its option to expand its territory under the Joyo License Agreement to include mainland China, Hong Kong, and Macau, and based on feedback from Joyo that it had dosed the first patient in a Phase 2 clinical trial, the Company made the corresponding $150.0</w:t>
      </w:r>
      <w:r>
        <w:rPr>
          <w:rFonts w:ascii="Times New Roman" w:hAnsi="Times New Roman"/>
          <w:color w:val="000000"/>
          <w:sz w:val="20"/>
        </w:rPr>
        <w:t xml:space="preserve"> </w:t>
      </w:r>
      <w:r>
        <w:rPr>
          <w:rFonts w:ascii="Arial" w:hAnsi="Arial"/>
          <w:color w:val="000000"/>
          <w:sz w:val="20"/>
        </w:rPr>
        <w:t>million payment (less applicable withholding amounts) to effect the territory expansion.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aps/>
          <w:color w:val="000000"/>
          <w:sz w:val="20"/>
        </w:rPr>
      </w:pPr>
      <w:bookmarkStart w:id="41" w:name="ii_item6"/>
      <w:bookmarkEnd w:id="41"/>
      <w:r>
        <w:rPr>
          <w:rFonts w:ascii="Arial" w:hAnsi="Arial"/>
          <w:b/>
          <w:caps/>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5868"/>
        <w:gridCol w:w="146"/>
        <w:gridCol w:w="542"/>
        <w:gridCol w:w="146"/>
        <w:gridCol w:w="623"/>
        <w:gridCol w:w="146"/>
        <w:gridCol w:w="736"/>
        <w:gridCol w:w="146"/>
        <w:gridCol w:w="955"/>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8"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5"/>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Filed Herewith</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FF"/>
                  <w:sz w:val="20"/>
                  <w:u w:val="single"/>
                </w:rPr>
                <w:t>Amended and Restated Certificate of Incorporation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FF"/>
                  <w:sz w:val="20"/>
                  <w:u w:val="single"/>
                </w:rPr>
                <w:t>Amended and Restated Bylaws of Erasca,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7/20/2021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0000FF"/>
                  <w:sz w:val="20"/>
                  <w:u w:val="single"/>
                </w:rPr>
                <w:t>Amended and Restated Stockholders Agreement, dated April 15, 2020,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Arial" w:hAnsi="Arial"/>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3/24/2022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FF"/>
                  <w:sz w:val="20"/>
                  <w:u w:val="single"/>
                </w:rPr>
                <w:t>Erasca, Inc. 2021 Incentive Award Plan and form of stock option agreement and form of restricted stock unit agreement thereunder</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Arial" w:hAnsi="Arial"/>
                  <w:color w:val="0000FF"/>
                  <w:sz w:val="20"/>
                  <w:u w:val="single"/>
                </w:rPr>
                <w:t>Erasca, Inc. 2021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Arial" w:hAnsi="Arial"/>
                  <w:color w:val="0000FF"/>
                  <w:sz w:val="20"/>
                  <w:u w:val="single"/>
                </w:rPr>
                <w:t>Erasca, Inc. Severance and Change in Control Severance Plan and Summary Plan Description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Arial" w:hAnsi="Arial"/>
                  <w:color w:val="0000FF"/>
                  <w:sz w:val="20"/>
                  <w:u w:val="single"/>
                </w:rPr>
                <w:t>Employment Letter Agreement, dated August 18, 2020, by and between Michael D. Varney, Ph.D.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Arial" w:hAnsi="Arial"/>
                  <w:color w:val="0000FF"/>
                  <w:sz w:val="20"/>
                  <w:u w:val="single"/>
                </w:rPr>
                <w:t>Scientific Advisory Board Agreement, dated August 15, 2020, by and between Michael D. Varney, Ph.D.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6/25/2021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Arial" w:hAnsi="Arial"/>
                  <w:color w:val="0000FF"/>
                  <w:sz w:val="20"/>
                  <w:u w:val="single"/>
                </w:rPr>
                <w:t>Amended and Restated Employment Letter Agreement, dated July 9, 2021, by and between Jonathan E. Lim, M.D.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Arial" w:hAnsi="Arial"/>
                  <w:color w:val="0000FF"/>
                  <w:sz w:val="20"/>
                  <w:u w:val="single"/>
                </w:rPr>
                <w:t>Amended and Restated Employment Letter Agreement, dated July 9, 2021, by and between David M. Chacko, M.D.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Arial" w:hAnsi="Arial"/>
                  <w:color w:val="0000FF"/>
                  <w:sz w:val="20"/>
                  <w:u w:val="single"/>
                </w:rPr>
                <w:t>Amended and Restated Employment Letter Agreement, dated April 10, 2023, by and between Shannon R. Morris, M.D., Ph.D.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8/10/2023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Arial" w:hAnsi="Arial"/>
                  <w:color w:val="0000FF"/>
                  <w:sz w:val="20"/>
                  <w:u w:val="single"/>
                </w:rPr>
                <w:t>Amended and Restated Employment Letter Agreement, dated July 9, 2021, by and between Ebun S. Garner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Arial" w:hAnsi="Arial"/>
                  <w:color w:val="0000FF"/>
                  <w:sz w:val="20"/>
                  <w:u w:val="single"/>
                </w:rPr>
                <w:t>Erasca, Inc. Non-Employee Director Compensation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5/13/2025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Arial" w:hAnsi="Arial"/>
                  <w:color w:val="0000FF"/>
                  <w:sz w:val="20"/>
                  <w:u w:val="single"/>
                </w:rPr>
                <w:t>Form of Indemnification Agreement for Directors and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7/12/2021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Arial" w:hAnsi="Arial"/>
                  <w:color w:val="0000FF"/>
                  <w:sz w:val="20"/>
                  <w:u w:val="single"/>
                </w:rPr>
                <w:t>Lease Agreement, dated September 29, 2020 by and between ARE-SD Region No. 23, LLC and the Registrant,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5/12/2022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Arial" w:hAnsi="Arial"/>
                  <w:color w:val="0000FF"/>
                  <w:sz w:val="20"/>
                  <w:u w:val="single"/>
                </w:rPr>
                <w:t>Amended and Restated Open Market Sale Agreement, dated August 12, 2025, by and between Jefferies LLC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Arial" w:hAnsi="Arial"/>
                  <w:color w:val="0000FF"/>
                  <w:sz w:val="20"/>
                  <w:u w:val="single"/>
                </w:rPr>
                <w:t>License Agreement, dated May 15, 2024, by and between Guangzhou Joyo Pharmatech Co., Ltd.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8/12/2024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Arial" w:hAnsi="Arial"/>
                  <w:color w:val="0000FF"/>
                  <w:sz w:val="20"/>
                  <w:u w:val="single"/>
                </w:rPr>
                <w:t>License Agreement, dated May 14, 2024, by and between Medshine Discovery Inc.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8/12/2024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8"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Arial" w:hAnsi="Arial"/>
                  <w:color w:val="0000FF"/>
                  <w:sz w:val="20"/>
                  <w:u w:val="single"/>
                </w:rPr>
                <w:t>Underwriting Agreement, dated January 21, 2026, by and among the Registrant and J.P. Morgan Securities LLC, Morgan Stanley &amp; Co. LLC, Jefferies LLC and Evercore Group L.L.C., as representatives of the several underwriters named therein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1/22/2026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83"/>
        <w:jc w:val="center"/>
        <w:rPr>
          <w:rFonts w:ascii="Arial" w:hAnsi="Arial"/>
          <w:color w:val="000000"/>
          <w:sz w:val="20"/>
        </w:rPr>
      </w:pPr>
      <w:r>
        <w:rPr>
          <w:rFonts w:ascii="Arial" w:hAnsi="Arial"/>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
        <w:gridCol w:w="146"/>
        <w:gridCol w:w="6909"/>
        <w:gridCol w:w="146"/>
        <w:gridCol w:w="428"/>
        <w:gridCol w:w="146"/>
        <w:gridCol w:w="696"/>
        <w:gridCol w:w="146"/>
        <w:gridCol w:w="481"/>
        <w:gridCol w:w="146"/>
        <w:gridCol w:w="289"/>
      </w:tblGrid>
      <w:tr>
        <w:trPr/>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9"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Arial" w:hAnsi="Arial"/>
                  <w:color w:val="0000FF"/>
                  <w:sz w:val="20"/>
                  <w:u w:val="single"/>
                </w:rPr>
                <w:t>Insider Trading Compliance Policy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3/20/2025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9" w:type="dxa"/>
            <w:tcBorders/>
            <w:tcMar>
              <w:top w:w="0" w:type="dxa"/>
              <w:left w:w="0" w:type="dxa"/>
              <w:bottom w:w="0" w:type="dxa"/>
              <w:right w:w="0" w:type="dxa"/>
            </w:tcMar>
            <w:vAlign w:val="center"/>
          </w:tcPr>
          <w:p>
            <w:pPr>
              <w:pStyle w:val="TableContents"/>
              <w:bidi w:val="0"/>
              <w:spacing w:before="0" w:after="283"/>
              <w:jc w:val="left"/>
              <w:rPr/>
            </w:pPr>
            <w:hyperlink w:anchor="eras-ex23_1.htm">
              <w:r>
                <w:rPr>
                  <w:rStyle w:val="InternetLink"/>
                  <w:rFonts w:ascii="Arial" w:hAnsi="Arial"/>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pPr>
            <w:hyperlink w:anchor="eras-ex31_1.htm">
              <w:r>
                <w:rPr>
                  <w:rStyle w:val="InternetLink"/>
                  <w:rFonts w:ascii="Arial" w:hAnsi="Arial"/>
                  <w:color w:val="0000FF"/>
                  <w:sz w:val="20"/>
                  <w:u w:val="single"/>
                </w:rPr>
                <w:t>Certification of Chief Executive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pPr>
            <w:hyperlink w:anchor="eras-ex31_2.htm">
              <w:r>
                <w:rPr>
                  <w:rStyle w:val="InternetLink"/>
                  <w:rFonts w:ascii="Arial" w:hAnsi="Arial"/>
                  <w:color w:val="0000FF"/>
                  <w:sz w:val="20"/>
                  <w:u w:val="single"/>
                </w:rPr>
                <w:t>Certification of Chief Financial Officer of Erasca, Inc.,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pPr>
            <w:hyperlink w:anchor="eras-ex32_1.htm">
              <w:r>
                <w:rPr>
                  <w:rStyle w:val="InternetLink"/>
                  <w:rFonts w:ascii="Arial" w:hAnsi="Arial"/>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pPr>
            <w:hyperlink w:anchor="eras-ex32_2.htm">
              <w:r>
                <w:rPr>
                  <w:rStyle w:val="InternetLink"/>
                  <w:rFonts w:ascii="Arial" w:hAnsi="Arial"/>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9"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Arial" w:hAnsi="Arial"/>
                  <w:color w:val="0000FF"/>
                  <w:sz w:val="20"/>
                  <w:u w:val="single"/>
                </w:rPr>
                <w:t>Erasca, Inc. Policy for Recovery of Erroneously Awarded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3/27/2024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7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Arial" w:hAnsi="Arial"/>
          <w:color w:val="000000"/>
          <w:sz w:val="20"/>
        </w:rPr>
        <w:t>Indicates management contract or compensatory plan.</w:t>
      </w:r>
    </w:p>
    <w:p>
      <w:pPr>
        <w:pStyle w:val="TextBody"/>
        <w:bidi w:val="0"/>
        <w:jc w:val="left"/>
        <w:rPr>
          <w:rFonts w:ascii="Times New Roman" w:hAnsi="Times New Roman"/>
          <w:sz w:val="20"/>
        </w:rPr>
      </w:pPr>
      <w:r>
        <w:rPr>
          <w:rFonts w:ascii="Arial" w:hAnsi="Arial"/>
          <w:color w:val="000000"/>
          <w:sz w:val="20"/>
        </w:rPr>
        <w:t> Portions of this exhibit have been omitted for confidentiality purposes.</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200" w:after="283"/>
        <w:jc w:val="center"/>
        <w:rPr>
          <w:rFonts w:ascii="Arial" w:hAnsi="Arial"/>
          <w:color w:val="000000"/>
          <w:sz w:val="20"/>
        </w:rPr>
      </w:pPr>
      <w:r>
        <w:rPr>
          <w:rFonts w:ascii="Arial" w:hAnsi="Arial"/>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42" w:name="signatures"/>
      <w:bookmarkEnd w:id="42"/>
      <w:r>
        <w:rPr>
          <w:rFonts w:ascii="Arial" w:hAnsi="Arial"/>
          <w:b/>
          <w:color w:val="000000"/>
          <w:sz w:val="20"/>
        </w:rPr>
        <w:t>SIGNATURES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Pursuant to the requirements of Section 13 or 15(d) of the Securities Exchange Act of 1934, as amended, the Registrant has duly caused this Report to be signed on its behalf by the undersigned, thereunto duly authorized</w:t>
      </w:r>
      <w:r>
        <w:rPr>
          <w:rFonts w:ascii="Arial" w:hAnsi="Arial"/>
          <w:b/>
          <w:color w:val="000000"/>
          <w:sz w:val="20"/>
        </w:rPr>
        <w:t>.</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1996"/>
        <w:gridCol w:w="109"/>
        <w:gridCol w:w="406"/>
        <w:gridCol w:w="456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Erasca, Inc.</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5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/s/ Jonathan E. Lim</w:t>
            </w:r>
            <w:r>
              <w:rPr>
                <w:rFonts w:ascii="Times New Roman" w:hAnsi="Times New Roman"/>
                <w:color w:val="000000"/>
                <w:sz w:val="20"/>
              </w:rPr>
              <w:t xml:space="preserve">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E. Lim,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Chief Executive Officer and Co-Founder</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9055" w:type="dxa"/>
        <w:jc w:val="left"/>
        <w:tblInd w:w="0" w:type="dxa"/>
        <w:tblLayout w:type="fixed"/>
        <w:tblCellMar>
          <w:top w:w="28" w:type="dxa"/>
          <w:left w:w="28" w:type="dxa"/>
          <w:bottom w:w="28" w:type="dxa"/>
          <w:right w:w="28" w:type="dxa"/>
        </w:tblCellMar>
      </w:tblPr>
      <w:tblGrid>
        <w:gridCol w:w="2686"/>
        <w:gridCol w:w="146"/>
        <w:gridCol w:w="4516"/>
        <w:gridCol w:w="146"/>
        <w:gridCol w:w="15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/s/ Jonathan E. Lim</w:t>
            </w:r>
            <w:r>
              <w:rPr>
                <w:rFonts w:ascii="Times New Roman" w:hAnsi="Times New Roman"/>
                <w:color w:val="000000"/>
                <w:sz w:val="20"/>
              </w:rPr>
              <w:t xml:space="preserve">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Chairman, Chief Executive Officer and Co-Founder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Jonathan E. Lim,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M. Chacko</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 and Chief Business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M. Chacko,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James A. Bristol</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James A. Bristol,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Alexander W. Casdin</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Alexander W. Casdin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Julie Hambleton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Julie Hambleton,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Valerie Harding-Start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Valerie Harding-Start,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Pratik S. Multani</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Pratik S. Multani,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Jean I. Liu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March 12, 2026</w:t>
            </w:r>
            <w:r>
              <w:rPr>
                <w:rFonts w:ascii="Times New Roman" w:hAnsi="Times New Roman"/>
                <w:color w:val="000000"/>
                <w:sz w:val="20"/>
              </w:rPr>
              <w:t xml:space="preserve">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Jean I. Liu, J.D.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D. Varney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Director and Chair of Research and Development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12, 2026</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D. Varney,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00" w:after="283"/>
        <w:jc w:val="center"/>
        <w:rPr>
          <w:rFonts w:ascii="Arial" w:hAnsi="Arial"/>
          <w:color w:val="000000"/>
          <w:sz w:val="20"/>
        </w:rPr>
      </w:pPr>
      <w:r>
        <w:rPr>
          <w:rFonts w:ascii="Arial" w:hAnsi="Arial"/>
          <w:color w:val="000000"/>
          <w:sz w:val="20"/>
        </w:rPr>
        <w:t>145</w:t>
      </w:r>
    </w:p>
    <w:p>
      <w:pPr>
        <w:pStyle w:val="HorizontalLine"/>
        <w:pBdr>
          <w:bottom w:val="double" w:sz="2" w:space="0" w:color="808080"/>
        </w:pBdr>
        <w:bidi w:val="0"/>
        <w:spacing w:before="0" w:after="283"/>
        <w:jc w:val="left"/>
        <w:rPr/>
      </w:pPr>
      <w:r>
        <w:rPr/>
      </w:r>
    </w:p>
    <w:p>
      <w:pPr>
        <w:pStyle w:val="TextBody"/>
        <w:bidi w:val="0"/>
        <w:spacing w:before="720" w:after="283"/>
        <w:jc w:val="left"/>
        <w:rPr/>
      </w:pPr>
      <w:bookmarkStart w:id="43" w:name="eras-ex23_1.htm"/>
      <w:bookmarkStart w:id="44" w:name="kserasex23_1"/>
      <w:bookmarkEnd w:id="43"/>
      <w:bookmarkEnd w:id="44"/>
      <w:r>
        <w:rPr/>
        <w:t> </w:t>
      </w:r>
      <w:r>
        <w:br w:type="page"/>
      </w:r>
    </w:p>
    <w:p>
      <w:pPr>
        <w:pStyle w:val="TextBody"/>
        <w:bidi w:val="0"/>
        <w:spacing w:before="0" w:after="200"/>
        <w:jc w:val="right"/>
        <w:rPr>
          <w:rFonts w:ascii="Arial" w:hAnsi="Arial"/>
          <w:b/>
          <w:color w:val="000000"/>
          <w:sz w:val="20"/>
        </w:rPr>
      </w:pPr>
      <w:r>
        <w:rPr>
          <w:rFonts w:ascii="Arial" w:hAnsi="Arial"/>
          <w:b/>
          <w:color w:val="000000"/>
          <w:sz w:val="20"/>
        </w:rPr>
        <w:t>Exhibit 23.1</w:t>
      </w:r>
    </w:p>
    <w:p>
      <w:pPr>
        <w:pStyle w:val="TextBody"/>
        <w:bidi w:val="0"/>
        <w:spacing w:before="0" w:after="2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incorporation by reference in the registration statements (Nos. 333-279261 and 333-289537) on Form S-3 and (Nos. 333-257988 and 333-279257) on Form S-8 of our report dated March 12, 2026, with respect to the consolidated financial statements of Erasca, Inc. and subsidiaries.</w:t>
      </w:r>
    </w:p>
    <w:p>
      <w:pPr>
        <w:pStyle w:val="TextBody"/>
        <w:bidi w:val="0"/>
        <w:spacing w:before="0" w:after="200"/>
        <w:jc w:val="left"/>
        <w:rPr>
          <w:rFonts w:ascii="Arial" w:hAnsi="Arial"/>
          <w:color w:val="000000"/>
          <w:sz w:val="20"/>
        </w:rPr>
      </w:pPr>
      <w:r>
        <w:rPr>
          <w:rFonts w:ascii="Arial" w:hAnsi="Arial"/>
          <w:color w:val="000000"/>
          <w:sz w:val="20"/>
        </w:rPr>
        <w:t>/s/ KPMG LLP</w:t>
      </w:r>
    </w:p>
    <w:p>
      <w:pPr>
        <w:pStyle w:val="TextBody"/>
        <w:bidi w:val="0"/>
        <w:jc w:val="left"/>
        <w:rPr>
          <w:rFonts w:ascii="Arial" w:hAnsi="Arial"/>
          <w:color w:val="000000"/>
          <w:sz w:val="20"/>
        </w:rPr>
      </w:pPr>
      <w:r>
        <w:rPr>
          <w:rFonts w:ascii="Arial" w:hAnsi="Arial"/>
          <w:color w:val="000000"/>
          <w:sz w:val="20"/>
        </w:rPr>
        <w:t>San Diego, California</w:t>
      </w:r>
    </w:p>
    <w:p>
      <w:pPr>
        <w:pStyle w:val="TextBody"/>
        <w:bidi w:val="0"/>
        <w:jc w:val="left"/>
        <w:rPr>
          <w:rFonts w:ascii="Arial" w:hAnsi="Arial"/>
          <w:color w:val="000000"/>
          <w:sz w:val="20"/>
        </w:rPr>
      </w:pPr>
      <w:r>
        <w:rPr>
          <w:rFonts w:ascii="Arial" w:hAnsi="Arial"/>
          <w:color w:val="000000"/>
          <w:sz w:val="20"/>
        </w:rPr>
        <w:t>March 12,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eras-ex31_1.htm"/>
      <w:bookmarkStart w:id="46" w:name="kserasex31_1"/>
      <w:bookmarkEnd w:id="45"/>
      <w:bookmarkEnd w:id="46"/>
      <w:r>
        <w:rPr>
          <w:rFonts w:ascii="Times New Roman" w:hAnsi="Times New Roman"/>
          <w:b/>
          <w:color w:val="000000"/>
          <w:sz w:val="20"/>
        </w:rPr>
        <w:t>Exhibit 31.1</w:t>
      </w:r>
      <w:r>
        <w:br w:type="page"/>
      </w:r>
    </w:p>
    <w:p>
      <w:pPr>
        <w:pStyle w:val="TextBody"/>
        <w:bidi w:val="0"/>
        <w:jc w:val="center"/>
        <w:rPr>
          <w:rFonts w:ascii="Arial" w:hAnsi="Arial"/>
          <w:b/>
          <w:color w:val="000000"/>
          <w:sz w:val="20"/>
        </w:rPr>
      </w:pPr>
      <w:r>
        <w:rPr>
          <w:rFonts w:ascii="Arial" w:hAnsi="Arial"/>
          <w:b/>
          <w:color w:val="000000"/>
          <w:sz w:val="20"/>
        </w:rPr>
        <w:t>CERTIFICATION OF CHIEF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Jonathan E. Lim, M.D.,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Annual Report on Form 10-K of Erasca,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120"/>
        <w:jc w:val="left"/>
        <w:rPr>
          <w:rFonts w:ascii="Arial" w:hAnsi="Arial"/>
          <w:color w:val="000000"/>
          <w:sz w:val="20"/>
        </w:rPr>
      </w:pPr>
      <w:r>
        <w:rPr>
          <w:rFonts w:ascii="Arial" w:hAnsi="Arial"/>
          <w:color w:val="000000"/>
          <w:sz w:val="20"/>
        </w:rPr>
        <w:t>(b)</w:t>
      </w:r>
    </w:p>
    <w:p>
      <w:pPr>
        <w:pStyle w:val="TextBody"/>
        <w:bidi w:val="0"/>
        <w:spacing w:before="120" w:after="12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tbl>
      <w:tblPr>
        <w:tblW w:w="6963" w:type="dxa"/>
        <w:jc w:val="left"/>
        <w:tblInd w:w="0" w:type="dxa"/>
        <w:tblLayout w:type="fixed"/>
        <w:tblCellMar>
          <w:top w:w="28" w:type="dxa"/>
          <w:left w:w="28" w:type="dxa"/>
          <w:bottom w:w="28" w:type="dxa"/>
          <w:right w:w="28" w:type="dxa"/>
        </w:tblCellMar>
      </w:tblPr>
      <w:tblGrid>
        <w:gridCol w:w="1996"/>
        <w:gridCol w:w="406"/>
        <w:gridCol w:w="4561"/>
      </w:tblGrid>
      <w:tr>
        <w:trPr/>
        <w:tc>
          <w:tcPr>
            <w:tcW w:w="19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Date: March 12, 2026</w:t>
            </w:r>
          </w:p>
        </w:tc>
        <w:tc>
          <w:tcPr>
            <w:tcW w:w="40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By:</w:t>
            </w:r>
          </w:p>
        </w:tc>
        <w:tc>
          <w:tcPr>
            <w:tcW w:w="45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/s/ Jonathan E. Lim,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20"/>
              </w:rPr>
            </w:pPr>
            <w:r>
              <w:rPr>
                <w:rFonts w:ascii="Arial" w:hAnsi="Arial"/>
                <w:color w:val="000000"/>
                <w:sz w:val="20"/>
              </w:rPr>
              <w:t>Jonathan E. Lim,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Chairman, Chief Executive Officer and Co-Founder</w:t>
            </w:r>
          </w:p>
          <w:p>
            <w:pPr>
              <w:pStyle w:val="TableContents"/>
              <w:bidi w:val="0"/>
              <w:spacing w:before="0" w:after="30"/>
              <w:jc w:val="center"/>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eras-ex31_2.htm"/>
      <w:bookmarkStart w:id="48" w:name="kserasex31_2"/>
      <w:bookmarkEnd w:id="47"/>
      <w:bookmarkEnd w:id="48"/>
      <w:r>
        <w:rPr>
          <w:rFonts w:ascii="Times New Roman" w:hAnsi="Times New Roman"/>
          <w:b/>
          <w:color w:val="000000"/>
          <w:sz w:val="20"/>
        </w:rPr>
        <w:t>Exhibit 31.2</w:t>
      </w:r>
      <w:r>
        <w:br w:type="page"/>
      </w:r>
    </w:p>
    <w:p>
      <w:pPr>
        <w:pStyle w:val="TextBody"/>
        <w:bidi w:val="0"/>
        <w:jc w:val="center"/>
        <w:rPr>
          <w:rFonts w:ascii="Arial" w:hAnsi="Arial"/>
          <w:b/>
          <w:color w:val="000000"/>
          <w:sz w:val="20"/>
        </w:rPr>
      </w:pPr>
      <w:r>
        <w:rPr>
          <w:rFonts w:ascii="Arial" w:hAnsi="Arial"/>
          <w:b/>
          <w:color w:val="000000"/>
          <w:sz w:val="20"/>
        </w:rPr>
        <w:t>CERTIFICATION OF CHIEF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spacing w:before="120" w:after="283"/>
        <w:jc w:val="left"/>
        <w:rPr>
          <w:rFonts w:ascii="Arial" w:hAnsi="Arial"/>
          <w:color w:val="000000"/>
          <w:sz w:val="20"/>
        </w:rPr>
      </w:pPr>
      <w:r>
        <w:rPr>
          <w:rFonts w:ascii="Arial" w:hAnsi="Arial"/>
          <w:color w:val="000000"/>
          <w:sz w:val="20"/>
        </w:rPr>
        <w:t>I, David M. Chacko, M.D., certify that:</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I have reviewed this Annual Report on Form 10-K of Erasca, Inc.;</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120"/>
        <w:jc w:val="left"/>
        <w:rPr>
          <w:rFonts w:ascii="Arial" w:hAnsi="Arial"/>
          <w:color w:val="000000"/>
          <w:sz w:val="20"/>
        </w:rPr>
      </w:pPr>
      <w:r>
        <w:rPr>
          <w:rFonts w:ascii="Arial" w:hAnsi="Arial"/>
          <w:color w:val="000000"/>
          <w:sz w:val="20"/>
        </w:rPr>
        <w:t>(b)</w:t>
      </w:r>
    </w:p>
    <w:p>
      <w:pPr>
        <w:pStyle w:val="TextBody"/>
        <w:bidi w:val="0"/>
        <w:spacing w:before="120" w:after="12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tbl>
      <w:tblPr>
        <w:tblW w:w="6888" w:type="dxa"/>
        <w:jc w:val="left"/>
        <w:tblInd w:w="0" w:type="dxa"/>
        <w:tblLayout w:type="fixed"/>
        <w:tblCellMar>
          <w:top w:w="28" w:type="dxa"/>
          <w:left w:w="28" w:type="dxa"/>
          <w:bottom w:w="28" w:type="dxa"/>
          <w:right w:w="28" w:type="dxa"/>
        </w:tblCellMar>
      </w:tblPr>
      <w:tblGrid>
        <w:gridCol w:w="1996"/>
        <w:gridCol w:w="406"/>
        <w:gridCol w:w="4486"/>
      </w:tblGrid>
      <w:tr>
        <w:trPr/>
        <w:tc>
          <w:tcPr>
            <w:tcW w:w="19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Date: March 12, 2026</w:t>
            </w:r>
          </w:p>
        </w:tc>
        <w:tc>
          <w:tcPr>
            <w:tcW w:w="40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By:</w:t>
            </w:r>
          </w:p>
        </w:tc>
        <w:tc>
          <w:tcPr>
            <w:tcW w:w="44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/s/ David M. Chacko,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20"/>
              </w:rPr>
            </w:pPr>
            <w:r>
              <w:rPr>
                <w:rFonts w:ascii="Arial" w:hAnsi="Arial"/>
                <w:color w:val="000000"/>
                <w:sz w:val="20"/>
              </w:rPr>
              <w:t>David M. Chacko,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Chief Financial Officer and Chief Business Officer</w:t>
            </w:r>
          </w:p>
          <w:p>
            <w:pPr>
              <w:pStyle w:val="TableContents"/>
              <w:bidi w:val="0"/>
              <w:spacing w:before="0" w:after="30"/>
              <w:jc w:val="center"/>
              <w:rPr>
                <w:rFonts w:ascii="Arial" w:hAnsi="Arial"/>
                <w:color w:val="000000"/>
                <w:sz w:val="20"/>
              </w:rPr>
            </w:pPr>
            <w:r>
              <w:rPr>
                <w:rFonts w:ascii="Arial" w:hAnsi="Arial"/>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9" w:name="eras-ex32_1.htm"/>
      <w:bookmarkStart w:id="50" w:name="kserasex32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on Form 10-K of Erasca, Inc. (the “Company”) for the year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6963" w:type="dxa"/>
        <w:jc w:val="left"/>
        <w:tblInd w:w="0" w:type="dxa"/>
        <w:tblLayout w:type="fixed"/>
        <w:tblCellMar>
          <w:top w:w="28" w:type="dxa"/>
          <w:left w:w="28" w:type="dxa"/>
          <w:bottom w:w="28" w:type="dxa"/>
          <w:right w:w="28" w:type="dxa"/>
        </w:tblCellMar>
      </w:tblPr>
      <w:tblGrid>
        <w:gridCol w:w="1996"/>
        <w:gridCol w:w="406"/>
        <w:gridCol w:w="4561"/>
      </w:tblGrid>
      <w:tr>
        <w:trPr/>
        <w:tc>
          <w:tcPr>
            <w:tcW w:w="19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Date: March 12,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By:</w:t>
            </w:r>
          </w:p>
        </w:tc>
        <w:tc>
          <w:tcPr>
            <w:tcW w:w="4561"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/s/ Jonathan E. Lim, M.D.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20"/>
              </w:rPr>
            </w:pPr>
            <w:r>
              <w:rPr>
                <w:rFonts w:ascii="Arial" w:hAnsi="Arial"/>
                <w:color w:val="000000"/>
                <w:sz w:val="20"/>
              </w:rPr>
              <w:t>Jonathan E. Lim, M.D.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30"/>
              <w:jc w:val="center"/>
              <w:rPr>
                <w:rFonts w:ascii="Arial" w:hAnsi="Arial"/>
                <w:color w:val="000000"/>
                <w:sz w:val="20"/>
              </w:rPr>
            </w:pPr>
            <w:r>
              <w:rPr>
                <w:rFonts w:ascii="Arial" w:hAnsi="Arial"/>
                <w:color w:val="000000"/>
                <w:sz w:val="20"/>
              </w:rPr>
              <w:t>Chairman, Chief Executive Officer and Co-Founder</w:t>
            </w:r>
          </w:p>
          <w:p>
            <w:pPr>
              <w:pStyle w:val="TableContents"/>
              <w:bidi w:val="0"/>
              <w:spacing w:before="0" w:after="30"/>
              <w:jc w:val="center"/>
              <w:rPr>
                <w:rFonts w:ascii="Arial" w:hAnsi="Arial"/>
                <w:color w:val="000000"/>
                <w:sz w:val="18"/>
              </w:rPr>
            </w:pPr>
            <w:r>
              <w:rPr>
                <w:rFonts w:ascii="Arial" w:hAnsi="Arial"/>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1" w:name="eras-ex32_2.htm"/>
      <w:bookmarkStart w:id="52" w:name="kserasex32_2"/>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left"/>
        <w:rPr>
          <w:rFonts w:ascii="Arial" w:hAnsi="Arial"/>
          <w:color w:val="000000"/>
          <w:sz w:val="20"/>
        </w:rPr>
      </w:pPr>
      <w:r>
        <w:rPr>
          <w:rFonts w:ascii="Arial" w:hAnsi="Arial"/>
          <w:color w:val="000000"/>
          <w:sz w:val="20"/>
        </w:rPr>
        <w:t>In connection with the Annual Report on Form 10-K of Erasca, Inc. (the “Company”) for the year ended December 31, 2025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Report fully complies with the requirements of section 13(a) or 15(d) of the Securities Exchange Act of 1934, as amended; and</w:t>
      </w:r>
    </w:p>
    <w:p>
      <w:pPr>
        <w:pStyle w:val="TextBody"/>
        <w:bidi w:val="0"/>
        <w:spacing w:before="240" w:after="283"/>
        <w:jc w:val="left"/>
        <w:rPr>
          <w:rFonts w:ascii="Arial" w:hAnsi="Arial"/>
          <w:color w:val="000000"/>
          <w:sz w:val="20"/>
        </w:rPr>
      </w:pPr>
      <w:r>
        <w:rPr>
          <w:rFonts w:ascii="Arial" w:hAnsi="Arial"/>
          <w:color w:val="000000"/>
          <w:sz w:val="20"/>
        </w:rPr>
        <w:t>(2)</w:t>
      </w:r>
    </w:p>
    <w:p>
      <w:pPr>
        <w:pStyle w:val="TextBody"/>
        <w:bidi w:val="0"/>
        <w:spacing w:before="240" w:after="28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pPr>
      <w:r>
        <w:rPr/>
        <w:t> </w:t>
      </w:r>
    </w:p>
    <w:tbl>
      <w:tblPr>
        <w:tblW w:w="6888" w:type="dxa"/>
        <w:jc w:val="left"/>
        <w:tblInd w:w="0" w:type="dxa"/>
        <w:tblLayout w:type="fixed"/>
        <w:tblCellMar>
          <w:top w:w="28" w:type="dxa"/>
          <w:left w:w="28" w:type="dxa"/>
          <w:bottom w:w="28" w:type="dxa"/>
          <w:right w:w="28" w:type="dxa"/>
        </w:tblCellMar>
      </w:tblPr>
      <w:tblGrid>
        <w:gridCol w:w="1996"/>
        <w:gridCol w:w="406"/>
        <w:gridCol w:w="4486"/>
      </w:tblGrid>
      <w:tr>
        <w:trPr/>
        <w:tc>
          <w:tcPr>
            <w:tcW w:w="19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Date: March 12, 2026</w:t>
            </w:r>
          </w:p>
        </w:tc>
        <w:tc>
          <w:tcPr>
            <w:tcW w:w="406"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By:</w:t>
            </w:r>
          </w:p>
        </w:tc>
        <w:tc>
          <w:tcPr>
            <w:tcW w:w="4486" w:type="dxa"/>
            <w:tcBorders>
              <w:bottom w:val="single" w:sz="8" w:space="0" w:color="000000"/>
            </w:tcBorders>
            <w:shd w:fill="FFFFFF" w:val="clear"/>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/s/ David M. Chacko,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20"/>
              </w:rPr>
            </w:pPr>
            <w:r>
              <w:rPr>
                <w:rFonts w:ascii="Arial" w:hAnsi="Arial"/>
                <w:color w:val="000000"/>
                <w:sz w:val="20"/>
              </w:rPr>
              <w:t>David M. Chacko, M.D.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shd w:fill="FFFFFF" w:val="clear"/>
            <w:tcMar>
              <w:top w:w="0" w:type="dxa"/>
              <w:left w:w="0" w:type="dxa"/>
              <w:bottom w:w="0" w:type="dxa"/>
              <w:right w:w="0" w:type="dxa"/>
            </w:tcMar>
            <w:vAlign w:val="center"/>
          </w:tcPr>
          <w:p>
            <w:pPr>
              <w:pStyle w:val="TableContents"/>
              <w:bidi w:val="0"/>
              <w:spacing w:before="75" w:after="283"/>
              <w:jc w:val="center"/>
              <w:rPr>
                <w:rFonts w:ascii="Arial" w:hAnsi="Arial"/>
                <w:color w:val="000000"/>
                <w:sz w:val="20"/>
              </w:rPr>
            </w:pPr>
            <w:r>
              <w:rPr>
                <w:rFonts w:ascii="Arial" w:hAnsi="Arial"/>
                <w:color w:val="000000"/>
                <w:sz w:val="20"/>
              </w:rPr>
              <w:t>Chief Financial Officer and Chief Business Officer</w:t>
            </w:r>
          </w:p>
          <w:p>
            <w:pPr>
              <w:pStyle w:val="TableContents"/>
              <w:bidi w:val="0"/>
              <w:spacing w:before="0" w:after="30"/>
              <w:jc w:val="center"/>
              <w:rPr>
                <w:rFonts w:ascii="Arial" w:hAnsi="Arial"/>
                <w:color w:val="000000"/>
                <w:sz w:val="18"/>
              </w:rPr>
            </w:pPr>
            <w:r>
              <w:rPr>
                <w:rFonts w:ascii="Arial" w:hAnsi="Arial"/>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1.jpeg"/><Relationship Id="rId27" Type="http://schemas.openxmlformats.org/officeDocument/2006/relationships/hyperlink" Target="https://www.sec.gov/Archives/edgar/data/1761918/000119312521219642/d81810dex31.htm" TargetMode="External"/><Relationship Id="rId28" Type="http://schemas.openxmlformats.org/officeDocument/2006/relationships/hyperlink" Target="https://www.sec.gov/Archives/edgar/data/1761918/000119312521219642/d81810dex32.htm" TargetMode="External"/><Relationship Id="rId29" Type="http://schemas.openxmlformats.org/officeDocument/2006/relationships/hyperlink" Target="https://www.sec.gov/Archives/edgar/data/1761918/000119312521200537/d176019dex41.htm" TargetMode="External"/><Relationship Id="rId30" Type="http://schemas.openxmlformats.org/officeDocument/2006/relationships/hyperlink" Target="https://www.sec.gov/Archives/edgar/data/1761918/000119312521200537/d176019dex42.htm" TargetMode="External"/><Relationship Id="rId31" Type="http://schemas.openxmlformats.org/officeDocument/2006/relationships/hyperlink" Target="https://www.sec.gov/Archives/edgar/data/1761918/000095017022004557/eras-ex4_3.htm" TargetMode="External"/><Relationship Id="rId32" Type="http://schemas.openxmlformats.org/officeDocument/2006/relationships/hyperlink" Target="https://www.sec.gov/Archives/edgar/data/1761918/000119312521212361/d176019dex102.htm" TargetMode="External"/><Relationship Id="rId33" Type="http://schemas.openxmlformats.org/officeDocument/2006/relationships/hyperlink" Target="https://www.sec.gov/Archives/edgar/data/1761918/000119312521212361/d176019dex103.htm" TargetMode="External"/><Relationship Id="rId34" Type="http://schemas.openxmlformats.org/officeDocument/2006/relationships/hyperlink" Target="https://www.sec.gov/Archives/edgar/data/1761918/000119312521212361/d176019dex104.htm" TargetMode="External"/><Relationship Id="rId35" Type="http://schemas.openxmlformats.org/officeDocument/2006/relationships/hyperlink" Target="https://www.sec.gov/Archives/edgar/data/1761918/000119312521200537/d176019dex109.htm" TargetMode="External"/><Relationship Id="rId36" Type="http://schemas.openxmlformats.org/officeDocument/2006/relationships/hyperlink" Target="https://www.sec.gov/Archives/edgar/data/1761918/000119312521200537/d176019dex1010.htm" TargetMode="External"/><Relationship Id="rId37" Type="http://schemas.openxmlformats.org/officeDocument/2006/relationships/hyperlink" Target="https://www.sec.gov/Archives/edgar/data/1761918/000119312521212361/d176019dex1013.htm" TargetMode="External"/><Relationship Id="rId38" Type="http://schemas.openxmlformats.org/officeDocument/2006/relationships/hyperlink" Target="https://www.sec.gov/Archives/edgar/data/1761918/000119312521212361/d176019dex1014.htm" TargetMode="External"/><Relationship Id="rId39" Type="http://schemas.openxmlformats.org/officeDocument/2006/relationships/hyperlink" Target="https://www.sec.gov/Archives/edgar/data/1761918/000095017023041333/eras-ex10_1.htm" TargetMode="External"/><Relationship Id="rId40" Type="http://schemas.openxmlformats.org/officeDocument/2006/relationships/hyperlink" Target="https://www.sec.gov/Archives/edgar/data/1761918/000119312521212361/d176019dex1016.htm" TargetMode="External"/><Relationship Id="rId41" Type="http://schemas.openxmlformats.org/officeDocument/2006/relationships/hyperlink" Target="https://www.sec.gov/Archives/edgar/data/1761918/000095017025070418/eras-ex10_1.htm" TargetMode="External"/><Relationship Id="rId42" Type="http://schemas.openxmlformats.org/officeDocument/2006/relationships/hyperlink" Target="https://www.sec.gov/Archives/edgar/data/1761918/000119312521212361/d176019dex1017.htm" TargetMode="External"/><Relationship Id="rId43" Type="http://schemas.openxmlformats.org/officeDocument/2006/relationships/hyperlink" Target="https://www.sec.gov/Archives/edgar/data/1761918/000095017022009720/eras-ex10_2.htm" TargetMode="External"/><Relationship Id="rId44" Type="http://schemas.openxmlformats.org/officeDocument/2006/relationships/hyperlink" Target="https://www.sec.gov/Archives/edgar/data/1761918/000119312525179038/d945821dex12.htm" TargetMode="External"/><Relationship Id="rId45" Type="http://schemas.openxmlformats.org/officeDocument/2006/relationships/hyperlink" Target="https://www.sec.gov/Archives/edgar/data/1761918/000095017024095437/eras-ex10_1.htm" TargetMode="External"/><Relationship Id="rId46" Type="http://schemas.openxmlformats.org/officeDocument/2006/relationships/hyperlink" Target="https://www.sec.gov/Archives/edgar/data/1761918/000095017024095437/eras-ex10_2.htm" TargetMode="External"/><Relationship Id="rId47" Type="http://schemas.openxmlformats.org/officeDocument/2006/relationships/hyperlink" Target="https://www.sec.gov/Archives/edgar/data/1761918/000119312526019651/d51429dex11.htm" TargetMode="External"/><Relationship Id="rId48" Type="http://schemas.openxmlformats.org/officeDocument/2006/relationships/hyperlink" Target="https://www.sec.gov/Archives/edgar/data/1761918/000095017025042682/eras-ex19_1.htm" TargetMode="External"/><Relationship Id="rId49" Type="http://schemas.openxmlformats.org/officeDocument/2006/relationships/hyperlink" Target="https://www.sec.gov/Archives/edgar/data/1761918/000095017024037193/eras-ex97.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99229</Words>
  <Characters>556496</Characters>
  <CharactersWithSpaces>655594</CharactersWithSpaces>
  <Paragraphs>6605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