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54998ds8.htm"/>
      <w:bookmarkStart w:id="1" w:name="ksd154998ds8"/>
      <w:bookmarkEnd w:id="0"/>
      <w:bookmarkEnd w:id="1"/>
      <w:r>
        <w:rPr>
          <w:rFonts w:ascii="Times New Roman" w:hAnsi="Times New Roman"/>
          <w:b/>
          <w:sz w:val="20"/>
        </w:rPr>
        <w:t xml:space="preserve">As filed with the Securities and Exchange Commission on August 11,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ERASCA,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83-1217027</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3115 Merryfield Row, Suite 300 </w:t>
      </w:r>
    </w:p>
    <w:p>
      <w:pPr>
        <w:pStyle w:val="TextBody"/>
        <w:bidi w:val="0"/>
        <w:spacing w:before="0" w:after="0"/>
        <w:jc w:val="center"/>
        <w:rPr>
          <w:rFonts w:ascii="Times New Roman" w:hAnsi="Times New Roman"/>
          <w:b/>
          <w:sz w:val="20"/>
        </w:rPr>
      </w:pPr>
      <w:r>
        <w:rPr>
          <w:rFonts w:ascii="Times New Roman" w:hAnsi="Times New Roman"/>
          <w:b/>
          <w:sz w:val="20"/>
        </w:rPr>
        <w:t xml:space="preserve">San Diego, California 92121 </w:t>
      </w:r>
    </w:p>
    <w:p>
      <w:pPr>
        <w:pStyle w:val="TextBody"/>
        <w:bidi w:val="0"/>
        <w:spacing w:before="0" w:after="0"/>
        <w:jc w:val="center"/>
        <w:rPr>
          <w:rFonts w:ascii="Times New Roman" w:hAnsi="Times New Roman"/>
          <w:b/>
          <w:sz w:val="20"/>
        </w:rPr>
      </w:pPr>
      <w:r>
        <w:rPr>
          <w:rFonts w:ascii="Times New Roman" w:hAnsi="Times New Roman"/>
          <w:b/>
          <w:sz w:val="20"/>
        </w:rPr>
        <w:t xml:space="preserve">(858) 465-6511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240" w:after="0"/>
        <w:jc w:val="center"/>
        <w:rPr>
          <w:rFonts w:ascii="Times New Roman" w:hAnsi="Times New Roman"/>
          <w:b/>
          <w:sz w:val="20"/>
        </w:rPr>
      </w:pPr>
      <w:r>
        <w:rPr>
          <w:rFonts w:ascii="Times New Roman" w:hAnsi="Times New Roman"/>
          <w:b/>
          <w:sz w:val="20"/>
        </w:rPr>
        <w:t xml:space="preserve">ERASCA, INC. 2026 EMPLOYMENT INDUCEMENT INCENTIVE AWARD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Jonathan E. Lim, M.D. </w:t>
      </w:r>
    </w:p>
    <w:p>
      <w:pPr>
        <w:pStyle w:val="TextBody"/>
        <w:bidi w:val="0"/>
        <w:spacing w:before="0" w:after="0"/>
        <w:jc w:val="center"/>
        <w:rPr>
          <w:rFonts w:ascii="Times New Roman" w:hAnsi="Times New Roman"/>
          <w:b/>
          <w:sz w:val="20"/>
        </w:rPr>
      </w:pPr>
      <w:r>
        <w:rPr>
          <w:rFonts w:ascii="Times New Roman" w:hAnsi="Times New Roman"/>
          <w:b/>
          <w:sz w:val="20"/>
        </w:rPr>
        <w:t xml:space="preserve">Chairman and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Erasca, Inc. </w:t>
      </w:r>
    </w:p>
    <w:p>
      <w:pPr>
        <w:pStyle w:val="TextBody"/>
        <w:bidi w:val="0"/>
        <w:spacing w:before="0" w:after="0"/>
        <w:jc w:val="center"/>
        <w:rPr>
          <w:rFonts w:ascii="Times New Roman" w:hAnsi="Times New Roman"/>
          <w:b/>
          <w:sz w:val="20"/>
        </w:rPr>
      </w:pPr>
      <w:r>
        <w:rPr>
          <w:rFonts w:ascii="Times New Roman" w:hAnsi="Times New Roman"/>
          <w:b/>
          <w:sz w:val="20"/>
        </w:rPr>
        <w:t xml:space="preserve">3115 Merryfield Row, Suite 300 </w:t>
      </w:r>
    </w:p>
    <w:p>
      <w:pPr>
        <w:pStyle w:val="TextBody"/>
        <w:bidi w:val="0"/>
        <w:spacing w:before="0" w:after="0"/>
        <w:jc w:val="center"/>
        <w:rPr>
          <w:rFonts w:ascii="Times New Roman" w:hAnsi="Times New Roman"/>
          <w:b/>
          <w:sz w:val="20"/>
        </w:rPr>
      </w:pPr>
      <w:r>
        <w:rPr>
          <w:rFonts w:ascii="Times New Roman" w:hAnsi="Times New Roman"/>
          <w:b/>
          <w:sz w:val="20"/>
        </w:rPr>
        <w:t xml:space="preserve">San Diego, California 92121 </w:t>
      </w:r>
    </w:p>
    <w:p>
      <w:pPr>
        <w:pStyle w:val="TextBody"/>
        <w:bidi w:val="0"/>
        <w:spacing w:before="0" w:after="0"/>
        <w:jc w:val="center"/>
        <w:rPr>
          <w:rFonts w:ascii="Times New Roman" w:hAnsi="Times New Roman"/>
          <w:b/>
          <w:sz w:val="20"/>
        </w:rPr>
      </w:pPr>
      <w:r>
        <w:rPr>
          <w:rFonts w:ascii="Times New Roman" w:hAnsi="Times New Roman"/>
          <w:b/>
          <w:sz w:val="20"/>
        </w:rPr>
        <w:t xml:space="preserve">(858) 465-6511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Cheston J. Larson</w:t>
            </w:r>
          </w:p>
          <w:p>
            <w:pPr>
              <w:pStyle w:val="TableContents"/>
              <w:bidi w:val="0"/>
              <w:spacing w:before="0" w:after="0"/>
              <w:jc w:val="center"/>
              <w:rPr>
                <w:rFonts w:ascii="Times New Roman" w:hAnsi="Times New Roman"/>
                <w:b/>
                <w:sz w:val="20"/>
              </w:rPr>
            </w:pPr>
            <w:r>
              <w:rPr>
                <w:rFonts w:ascii="Times New Roman" w:hAnsi="Times New Roman"/>
                <w:b/>
                <w:sz w:val="20"/>
              </w:rPr>
              <w:t>Matthew T. Bush</w:t>
            </w:r>
          </w:p>
          <w:p>
            <w:pPr>
              <w:pStyle w:val="TableContents"/>
              <w:bidi w:val="0"/>
              <w:spacing w:before="0" w:after="0"/>
              <w:jc w:val="center"/>
              <w:rPr>
                <w:rFonts w:ascii="Times New Roman" w:hAnsi="Times New Roman"/>
                <w:b/>
                <w:sz w:val="20"/>
              </w:rPr>
            </w:pPr>
            <w:r>
              <w:rPr>
                <w:rFonts w:ascii="Times New Roman" w:hAnsi="Times New Roman"/>
                <w:b/>
                <w:sz w:val="20"/>
              </w:rPr>
              <w:t>Anthony A. Gostanian</w:t>
            </w:r>
          </w:p>
          <w:p>
            <w:pPr>
              <w:pStyle w:val="TableContents"/>
              <w:bidi w:val="0"/>
              <w:spacing w:before="0" w:after="0"/>
              <w:jc w:val="center"/>
              <w:rPr>
                <w:rFonts w:ascii="Times New Roman" w:hAnsi="Times New Roman"/>
                <w:b/>
                <w:sz w:val="20"/>
              </w:rPr>
            </w:pPr>
            <w:r>
              <w:rPr>
                <w:rFonts w:ascii="Times New Roman" w:hAnsi="Times New Roman"/>
                <w:b/>
                <w:sz w:val="20"/>
              </w:rPr>
              <w:t>Latham &amp; Watkins LLP</w:t>
            </w:r>
          </w:p>
          <w:p>
            <w:pPr>
              <w:pStyle w:val="TableContents"/>
              <w:bidi w:val="0"/>
              <w:spacing w:before="0" w:after="0"/>
              <w:jc w:val="center"/>
              <w:rPr>
                <w:rFonts w:ascii="Times New Roman" w:hAnsi="Times New Roman"/>
                <w:b/>
                <w:sz w:val="20"/>
              </w:rPr>
            </w:pPr>
            <w:r>
              <w:rPr>
                <w:rFonts w:ascii="Times New Roman" w:hAnsi="Times New Roman"/>
                <w:b/>
                <w:sz w:val="20"/>
              </w:rPr>
              <w:t>12670 High Bluff Drive</w:t>
            </w:r>
          </w:p>
          <w:p>
            <w:pPr>
              <w:pStyle w:val="TableContents"/>
              <w:bidi w:val="0"/>
              <w:spacing w:before="0" w:after="0"/>
              <w:jc w:val="center"/>
              <w:rPr>
                <w:rFonts w:ascii="Times New Roman" w:hAnsi="Times New Roman"/>
                <w:b/>
                <w:sz w:val="20"/>
              </w:rPr>
            </w:pPr>
            <w:r>
              <w:rPr>
                <w:rFonts w:ascii="Times New Roman" w:hAnsi="Times New Roman"/>
                <w:b/>
                <w:sz w:val="20"/>
              </w:rPr>
              <w:t>San Diego, California 92130</w:t>
            </w:r>
          </w:p>
          <w:p>
            <w:pPr>
              <w:pStyle w:val="TableContents"/>
              <w:bidi w:val="0"/>
              <w:spacing w:before="0" w:after="20"/>
              <w:jc w:val="center"/>
              <w:rPr>
                <w:rFonts w:ascii="Times New Roman" w:hAnsi="Times New Roman"/>
                <w:b/>
                <w:sz w:val="20"/>
              </w:rPr>
            </w:pPr>
            <w:r>
              <w:rPr>
                <w:rFonts w:ascii="Times New Roman" w:hAnsi="Times New Roman"/>
                <w:b/>
                <w:sz w:val="20"/>
              </w:rPr>
              <w:t>(858) 523-5400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Ebun S. Garner, General Counsel</w:t>
            </w:r>
          </w:p>
          <w:p>
            <w:pPr>
              <w:pStyle w:val="TableContents"/>
              <w:bidi w:val="0"/>
              <w:spacing w:before="0" w:after="0"/>
              <w:jc w:val="center"/>
              <w:rPr>
                <w:rFonts w:ascii="Times New Roman" w:hAnsi="Times New Roman"/>
                <w:b/>
                <w:sz w:val="20"/>
              </w:rPr>
            </w:pPr>
            <w:r>
              <w:rPr>
                <w:rFonts w:ascii="Times New Roman" w:hAnsi="Times New Roman"/>
                <w:b/>
                <w:sz w:val="20"/>
              </w:rPr>
              <w:t>Erasca, Inc.</w:t>
            </w:r>
          </w:p>
          <w:p>
            <w:pPr>
              <w:pStyle w:val="TableContents"/>
              <w:bidi w:val="0"/>
              <w:spacing w:before="0" w:after="0"/>
              <w:jc w:val="center"/>
              <w:rPr>
                <w:rFonts w:ascii="Times New Roman" w:hAnsi="Times New Roman"/>
                <w:b/>
                <w:sz w:val="20"/>
              </w:rPr>
            </w:pPr>
            <w:r>
              <w:rPr>
                <w:rFonts w:ascii="Times New Roman" w:hAnsi="Times New Roman"/>
                <w:b/>
                <w:sz w:val="20"/>
              </w:rPr>
              <w:t>3115 Merryfield Row, Suite 300</w:t>
            </w:r>
          </w:p>
          <w:p>
            <w:pPr>
              <w:pStyle w:val="TableContents"/>
              <w:bidi w:val="0"/>
              <w:spacing w:before="0" w:after="0"/>
              <w:jc w:val="center"/>
              <w:rPr>
                <w:rFonts w:ascii="Times New Roman" w:hAnsi="Times New Roman"/>
                <w:b/>
                <w:sz w:val="20"/>
              </w:rPr>
            </w:pPr>
            <w:r>
              <w:rPr>
                <w:rFonts w:ascii="Times New Roman" w:hAnsi="Times New Roman"/>
                <w:b/>
                <w:sz w:val="20"/>
              </w:rPr>
              <w:t>San Diego, California 92121</w:t>
            </w:r>
          </w:p>
          <w:p>
            <w:pPr>
              <w:pStyle w:val="TableContents"/>
              <w:bidi w:val="0"/>
              <w:spacing w:before="0" w:after="20"/>
              <w:jc w:val="center"/>
              <w:rPr>
                <w:rFonts w:ascii="Times New Roman" w:hAnsi="Times New Roman"/>
                <w:b/>
                <w:sz w:val="20"/>
              </w:rPr>
            </w:pPr>
            <w:r>
              <w:rPr>
                <w:rFonts w:ascii="Times New Roman" w:hAnsi="Times New Roman"/>
                <w:b/>
                <w:sz w:val="20"/>
              </w:rPr>
              <w:t>(858) 465-6511</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registers the offer and sale of 6,200,000 shares of common stock of Erasca, Inc. (the “Registrant”) for issuance under the Erasca, Inc. 2026 Employment Inducement Incentive Award Plan. </w:t>
      </w:r>
    </w:p>
    <w:p>
      <w:pPr>
        <w:pStyle w:val="TextBody"/>
        <w:bidi w:val="0"/>
        <w:spacing w:before="480" w:after="0"/>
        <w:jc w:val="center"/>
        <w:rPr>
          <w:rFonts w:ascii="Times New Roman" w:hAnsi="Times New Roman"/>
          <w:b/>
          <w:sz w:val="20"/>
        </w:rPr>
      </w:pPr>
      <w:r>
        <w:rPr>
          <w:rFonts w:ascii="Times New Roman" w:hAnsi="Times New Roman"/>
          <w:b/>
          <w:sz w:val="20"/>
        </w:rPr>
        <w:t xml:space="preserve">PART 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documents containing the information specified in Part I of Form S-8 will be sent or given to participants as specified by Rule 428(b)(1) of the Securities Act of 1933, as amended (the “Securities Act”). These documents and the documents incorporated by reference into this registration statement pursuant to Item 3 of Part II of this registration statement, taken together, constitute a prospectus that meets the requirements of Section 10(a) of the Securities Act.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i/>
          <w:sz w:val="20"/>
        </w:rPr>
      </w:pPr>
      <w:r>
        <w:rPr>
          <w:rFonts w:ascii="Times New Roman" w:hAnsi="Times New Roman"/>
          <w:i/>
          <w:sz w:val="20"/>
        </w:rPr>
        <w:t xml:space="preserve">In this registration statement, Erasca, Inc. is sometimes referred to as “Registrant,” “we,” “us” or “our.” </w:t>
      </w:r>
    </w:p>
    <w:p>
      <w:pPr>
        <w:pStyle w:val="TextBody"/>
        <w:bidi w:val="0"/>
        <w:spacing w:before="36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and Exchange Commission (“SEC”) allows us to “incorporate by reference” the information we file with them, which means that we can disclose important information to you by referring you to those documents. The information incorporated by reference is considered to be part of this registration statement, and later information filed with the SEC will update and supersede this information. We hereby incorporate by reference into this registration statement the following documents previously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pPr>
            <w:r>
              <w:rPr>
                <w:rFonts w:ascii="Times New Roman" w:hAnsi="Times New Roman"/>
                <w:sz w:val="20"/>
              </w:rPr>
              <w:t xml:space="preserve">our Annual Report on </w:t>
            </w:r>
            <w:hyperlink r:id="rId2">
              <w:r>
                <w:rPr>
                  <w:rStyle w:val="InternetLink"/>
                  <w:rFonts w:ascii="Times New Roman" w:hAnsi="Times New Roman"/>
                  <w:sz w:val="20"/>
                </w:rPr>
                <w:t>Form 10-K</w:t>
              </w:r>
            </w:hyperlink>
            <w:r>
              <w:rPr>
                <w:rFonts w:ascii="Times New Roman" w:hAnsi="Times New Roman"/>
                <w:sz w:val="20"/>
              </w:rPr>
              <w:t xml:space="preserve"> for the fiscal year ended December 31, 2025, filed by us with the SEC on March 12,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fiscal quarters ended </w:t>
            </w:r>
            <w:hyperlink r:id="rId3">
              <w:r>
                <w:rPr>
                  <w:rStyle w:val="InternetLink"/>
                  <w:rFonts w:ascii="Times New Roman" w:hAnsi="Times New Roman"/>
                  <w:sz w:val="20"/>
                </w:rPr>
                <w:t>March 31, 2026</w:t>
              </w:r>
            </w:hyperlink>
            <w:r>
              <w:rPr>
                <w:rFonts w:ascii="Times New Roman" w:hAnsi="Times New Roman"/>
                <w:sz w:val="20"/>
              </w:rPr>
              <w:t xml:space="preserve"> and </w:t>
            </w:r>
            <w:hyperlink r:id="rId4">
              <w:r>
                <w:rPr>
                  <w:rStyle w:val="InternetLink"/>
                  <w:rFonts w:ascii="Times New Roman" w:hAnsi="Times New Roman"/>
                  <w:sz w:val="20"/>
                </w:rPr>
                <w:t>June 30, 2026</w:t>
              </w:r>
            </w:hyperlink>
            <w:r>
              <w:rPr>
                <w:rFonts w:ascii="Times New Roman" w:hAnsi="Times New Roman"/>
                <w:sz w:val="20"/>
              </w:rPr>
              <w:t xml:space="preserve">, filed by us with the SEC on May 11, 2026 and August 11, 2026,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2025 from our Definitive Proxy Statement on </w:t>
            </w:r>
            <w:hyperlink r:id="rId5">
              <w:r>
                <w:rPr>
                  <w:rStyle w:val="InternetLink"/>
                  <w:rFonts w:ascii="Times New Roman" w:hAnsi="Times New Roman"/>
                  <w:sz w:val="20"/>
                </w:rPr>
                <w:t>Schedule 14A</w:t>
              </w:r>
            </w:hyperlink>
            <w:r>
              <w:rPr>
                <w:rFonts w:ascii="Times New Roman" w:hAnsi="Times New Roman"/>
                <w:sz w:val="20"/>
              </w:rPr>
              <w:t xml:space="preserve">, filed with the SEC on April 28,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by us with the SEC on </w:t>
            </w:r>
            <w:hyperlink r:id="rId6">
              <w:r>
                <w:rPr>
                  <w:rStyle w:val="InternetLink"/>
                  <w:rFonts w:ascii="Times New Roman" w:hAnsi="Times New Roman"/>
                  <w:sz w:val="20"/>
                </w:rPr>
                <w:t>January 12, 2026</w:t>
              </w:r>
            </w:hyperlink>
            <w:r>
              <w:rPr>
                <w:rFonts w:ascii="Times New Roman" w:hAnsi="Times New Roman"/>
                <w:sz w:val="20"/>
              </w:rPr>
              <w:t xml:space="preserve">, </w:t>
            </w:r>
            <w:hyperlink r:id="rId7">
              <w:r>
                <w:rPr>
                  <w:rStyle w:val="InternetLink"/>
                  <w:rFonts w:ascii="Times New Roman" w:hAnsi="Times New Roman"/>
                  <w:sz w:val="20"/>
                </w:rPr>
                <w:t>January  22, 2026</w:t>
              </w:r>
            </w:hyperlink>
            <w:r>
              <w:rPr>
                <w:rFonts w:ascii="Times New Roman" w:hAnsi="Times New Roman"/>
                <w:sz w:val="20"/>
              </w:rPr>
              <w:t xml:space="preserve">, </w:t>
            </w:r>
            <w:hyperlink r:id="rId8">
              <w:r>
                <w:rPr>
                  <w:rStyle w:val="InternetLink"/>
                  <w:rFonts w:ascii="Times New Roman" w:hAnsi="Times New Roman"/>
                  <w:sz w:val="20"/>
                </w:rPr>
                <w:t>January  29, 2026</w:t>
              </w:r>
            </w:hyperlink>
            <w:r>
              <w:rPr>
                <w:rFonts w:ascii="Times New Roman" w:hAnsi="Times New Roman"/>
                <w:sz w:val="20"/>
              </w:rPr>
              <w:t xml:space="preserve">, </w:t>
            </w:r>
            <w:hyperlink r:id="rId9">
              <w:r>
                <w:rPr>
                  <w:rStyle w:val="InternetLink"/>
                  <w:rFonts w:ascii="Times New Roman" w:hAnsi="Times New Roman"/>
                  <w:sz w:val="20"/>
                </w:rPr>
                <w:t>April  21, 2026</w:t>
              </w:r>
            </w:hyperlink>
            <w:r>
              <w:rPr>
                <w:rFonts w:ascii="Times New Roman" w:hAnsi="Times New Roman"/>
                <w:sz w:val="20"/>
              </w:rPr>
              <w:t xml:space="preserve">, </w:t>
            </w:r>
            <w:hyperlink r:id="rId10">
              <w:r>
                <w:rPr>
                  <w:rStyle w:val="InternetLink"/>
                  <w:rFonts w:ascii="Times New Roman" w:hAnsi="Times New Roman"/>
                  <w:sz w:val="20"/>
                </w:rPr>
                <w:t>April  27, 2026</w:t>
              </w:r>
            </w:hyperlink>
            <w:r>
              <w:rPr>
                <w:rFonts w:ascii="Times New Roman" w:hAnsi="Times New Roman"/>
                <w:sz w:val="20"/>
              </w:rPr>
              <w:t xml:space="preserve">, </w:t>
            </w:r>
            <w:hyperlink r:id="rId11">
              <w:r>
                <w:rPr>
                  <w:rStyle w:val="InternetLink"/>
                  <w:rFonts w:ascii="Times New Roman" w:hAnsi="Times New Roman"/>
                  <w:sz w:val="20"/>
                </w:rPr>
                <w:t>July  1, 2026</w:t>
              </w:r>
            </w:hyperlink>
            <w:r>
              <w:rPr>
                <w:rFonts w:ascii="Times New Roman" w:hAnsi="Times New Roman"/>
                <w:sz w:val="20"/>
              </w:rPr>
              <w:t xml:space="preserve">, </w:t>
            </w:r>
            <w:hyperlink r:id="rId12">
              <w:r>
                <w:rPr>
                  <w:rStyle w:val="InternetLink"/>
                  <w:rFonts w:ascii="Times New Roman" w:hAnsi="Times New Roman"/>
                  <w:sz w:val="20"/>
                </w:rPr>
                <w:t>July  13, 2026</w:t>
              </w:r>
            </w:hyperlink>
            <w:r>
              <w:rPr>
                <w:rFonts w:ascii="Times New Roman" w:hAnsi="Times New Roman"/>
                <w:sz w:val="20"/>
              </w:rPr>
              <w:t xml:space="preserve">, </w:t>
            </w:r>
            <w:hyperlink r:id="rId13">
              <w:r>
                <w:rPr>
                  <w:rStyle w:val="InternetLink"/>
                  <w:rFonts w:ascii="Times New Roman" w:hAnsi="Times New Roman"/>
                  <w:sz w:val="20"/>
                </w:rPr>
                <w:t>July  14, 2026</w:t>
              </w:r>
            </w:hyperlink>
            <w:r>
              <w:rPr>
                <w:rFonts w:ascii="Times New Roman" w:hAnsi="Times New Roman"/>
                <w:sz w:val="20"/>
              </w:rPr>
              <w:t xml:space="preserve"> and </w:t>
            </w:r>
            <w:hyperlink r:id="rId14">
              <w:r>
                <w:rPr>
                  <w:rStyle w:val="InternetLink"/>
                  <w:rFonts w:ascii="Times New Roman" w:hAnsi="Times New Roman"/>
                  <w:sz w:val="20"/>
                </w:rPr>
                <w:t>August 10,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w:t>
            </w:r>
            <w:hyperlink r:id="rId15">
              <w:r>
                <w:rPr>
                  <w:rStyle w:val="InternetLink"/>
                  <w:rFonts w:ascii="Times New Roman" w:hAnsi="Times New Roman"/>
                  <w:sz w:val="20"/>
                </w:rPr>
                <w:t>Exhibit 4.3</w:t>
              </w:r>
            </w:hyperlink>
            <w:r>
              <w:rPr>
                <w:rFonts w:ascii="Times New Roman" w:hAnsi="Times New Roman"/>
                <w:sz w:val="20"/>
              </w:rPr>
              <w:t xml:space="preserve"> to our Annual Report on Form 10-K for the year ended December 31, 2021, filed by us with the SEC on March 24, 2022, and any amendment or report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filed by the Registrant pursuant to Section 13(a), 13(c), 14 or 15(d) of the Securities Exchange Act of 1934, as amended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statements as set forth therein.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statement contained herein shall be deemed to be modified or superseded for purposes of this registration statement to the extent that a statement contained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no circumstances shall any information furnished under Item 2.02 or 7.01 of Form 8-K be deemed incorporated herein by reference unless such Form 8-K expressly provides to the contrary. </w:t>
      </w:r>
    </w:p>
    <w:p>
      <w:pPr>
        <w:pStyle w:val="TextBody"/>
        <w:bidi w:val="0"/>
        <w:spacing w:before="360" w:after="0"/>
        <w:jc w:val="left"/>
        <w:rPr>
          <w:rFonts w:ascii="Times New Roman" w:hAnsi="Times New Roman"/>
          <w:b/>
          <w:sz w:val="20"/>
        </w:rPr>
      </w:pPr>
      <w:r>
        <w:rPr>
          <w:rFonts w:ascii="Times New Roman" w:hAnsi="Times New Roman"/>
          <w:b/>
          <w:sz w:val="20"/>
        </w:rPr>
        <w:t xml:space="preserve">Item 4. Description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bylaws provide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bylaws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 </w:t>
      </w:r>
    </w:p>
    <w:p>
      <w:pPr>
        <w:pStyle w:val="TextBody"/>
        <w:bidi w:val="0"/>
        <w:spacing w:before="240" w:after="0"/>
        <w:jc w:val="left"/>
        <w:rPr>
          <w:rFonts w:ascii="Times New Roman" w:hAnsi="Times New Roman"/>
          <w:sz w:val="20"/>
        </w:rPr>
      </w:pPr>
      <w:r>
        <w:rPr>
          <w:rFonts w:ascii="Times New Roman" w:hAnsi="Times New Roman"/>
          <w:sz w:val="20"/>
        </w:rPr>
        <w:t xml:space="preserve">We maintain a general liability insurance policy that covers certain liabilities of directors and officers of our corporation arising out of claims based on acts or omissions in their capacities as directors or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2"/>
        <w:gridCol w:w="316"/>
        <w:gridCol w:w="4700"/>
        <w:gridCol w:w="201"/>
        <w:gridCol w:w="425"/>
        <w:gridCol w:w="201"/>
        <w:gridCol w:w="940"/>
        <w:gridCol w:w="201"/>
        <w:gridCol w:w="569"/>
        <w:gridCol w:w="201"/>
        <w:gridCol w:w="892"/>
        <w:gridCol w:w="200"/>
        <w:gridCol w:w="747"/>
      </w:tblGrid>
      <w:tr>
        <w:trPr/>
        <w:tc>
          <w:tcPr>
            <w:tcW w:w="612"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470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612" w:type="dxa"/>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316" w:type="dxa"/>
            <w:tcBorders/>
            <w:vAlign w:val="bottom"/>
          </w:tcPr>
          <w:p>
            <w:pPr>
              <w:pStyle w:val="TableContents"/>
              <w:bidi w:val="0"/>
              <w:spacing w:before="0" w:after="283"/>
              <w:jc w:val="left"/>
              <w:rPr/>
            </w:pPr>
            <w:r>
              <w:rPr/>
              <w:t>  </w:t>
            </w:r>
          </w:p>
        </w:tc>
        <w:tc>
          <w:tcPr>
            <w:tcW w:w="47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3429" w:type="dxa"/>
            <w:gridSpan w:val="7"/>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Incorporated by Reference</w:t>
            </w:r>
          </w:p>
        </w:tc>
        <w:tc>
          <w:tcPr>
            <w:tcW w:w="200" w:type="dxa"/>
            <w:vMerge w:val="restart"/>
            <w:tcBorders/>
            <w:vAlign w:val="bottom"/>
          </w:tcPr>
          <w:p>
            <w:pPr>
              <w:pStyle w:val="TableContents"/>
              <w:bidi w:val="0"/>
              <w:spacing w:before="0" w:after="283"/>
              <w:jc w:val="left"/>
              <w:rPr/>
            </w:pPr>
            <w:r>
              <w:rPr/>
              <w:t>  </w:t>
            </w:r>
          </w:p>
        </w:tc>
        <w:tc>
          <w:tcPr>
            <w:tcW w:w="747" w:type="dxa"/>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Filed</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Herewith</w:t>
            </w:r>
          </w:p>
        </w:tc>
      </w:tr>
      <w:tr>
        <w:trPr/>
        <w:tc>
          <w:tcPr>
            <w:tcW w:w="612" w:type="dxa"/>
            <w:vMerge w:val="continue"/>
            <w:tcBorders/>
            <w:vAlign w:val="bottom"/>
          </w:tcPr>
          <w:p>
            <w:pPr>
              <w:pStyle w:val="Normal"/>
              <w:bidi w:val="0"/>
              <w:jc w:val="left"/>
              <w:rPr/>
            </w:pPr>
            <w:r>
              <w:rPr/>
            </w:r>
          </w:p>
        </w:tc>
        <w:tc>
          <w:tcPr>
            <w:tcW w:w="316" w:type="dxa"/>
            <w:tcBorders/>
            <w:vAlign w:val="bottom"/>
          </w:tcPr>
          <w:p>
            <w:pPr>
              <w:pStyle w:val="TableContents"/>
              <w:bidi w:val="0"/>
              <w:spacing w:before="0" w:after="283"/>
              <w:jc w:val="left"/>
              <w:rPr/>
            </w:pPr>
            <w:r>
              <w:rPr/>
              <w:t>  </w:t>
            </w:r>
          </w:p>
        </w:tc>
        <w:tc>
          <w:tcPr>
            <w:tcW w:w="47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Description</w:t>
            </w:r>
          </w:p>
        </w:tc>
        <w:tc>
          <w:tcPr>
            <w:tcW w:w="201" w:type="dxa"/>
            <w:tcBorders/>
            <w:vAlign w:val="bottom"/>
          </w:tcPr>
          <w:p>
            <w:pPr>
              <w:pStyle w:val="TableContents"/>
              <w:bidi w:val="0"/>
              <w:spacing w:before="0" w:after="283"/>
              <w:jc w:val="left"/>
              <w:rPr/>
            </w:pPr>
            <w:r>
              <w:rPr/>
              <w:t>  </w:t>
            </w:r>
          </w:p>
        </w:tc>
        <w:tc>
          <w:tcPr>
            <w:tcW w:w="42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Form</w:t>
            </w:r>
          </w:p>
        </w:tc>
        <w:tc>
          <w:tcPr>
            <w:tcW w:w="201" w:type="dxa"/>
            <w:tcBorders/>
            <w:vAlign w:val="bottom"/>
          </w:tcPr>
          <w:p>
            <w:pPr>
              <w:pStyle w:val="TableContents"/>
              <w:bidi w:val="0"/>
              <w:spacing w:before="0" w:after="283"/>
              <w:jc w:val="left"/>
              <w:rPr/>
            </w:pPr>
            <w:r>
              <w:rPr/>
              <w:t>  </w:t>
            </w:r>
          </w:p>
        </w:tc>
        <w:tc>
          <w:tcPr>
            <w:tcW w:w="94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File No.</w:t>
            </w:r>
          </w:p>
        </w:tc>
        <w:tc>
          <w:tcPr>
            <w:tcW w:w="201" w:type="dxa"/>
            <w:tcBorders/>
            <w:vAlign w:val="bottom"/>
          </w:tcPr>
          <w:p>
            <w:pPr>
              <w:pStyle w:val="TableContents"/>
              <w:bidi w:val="0"/>
              <w:spacing w:before="0" w:after="283"/>
              <w:jc w:val="left"/>
              <w:rPr/>
            </w:pPr>
            <w:r>
              <w:rPr/>
              <w:t>  </w:t>
            </w:r>
          </w:p>
        </w:tc>
        <w:tc>
          <w:tcPr>
            <w:tcW w:w="56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r>
          </w:p>
        </w:tc>
        <w:tc>
          <w:tcPr>
            <w:tcW w:w="201" w:type="dxa"/>
            <w:tcBorders/>
            <w:vAlign w:val="bottom"/>
          </w:tcPr>
          <w:p>
            <w:pPr>
              <w:pStyle w:val="TableContents"/>
              <w:bidi w:val="0"/>
              <w:spacing w:before="0" w:after="283"/>
              <w:jc w:val="left"/>
              <w:rPr/>
            </w:pPr>
            <w:r>
              <w:rPr/>
              <w:t>  </w:t>
            </w:r>
          </w:p>
        </w:tc>
        <w:tc>
          <w:tcPr>
            <w:tcW w:w="89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Filing Date</w:t>
            </w:r>
          </w:p>
        </w:tc>
        <w:tc>
          <w:tcPr>
            <w:tcW w:w="200" w:type="dxa"/>
            <w:vMerge w:val="continue"/>
            <w:tcBorders/>
            <w:vAlign w:val="bottom"/>
          </w:tcPr>
          <w:p>
            <w:pPr>
              <w:pStyle w:val="Normal"/>
              <w:bidi w:val="0"/>
              <w:jc w:val="left"/>
              <w:rPr/>
            </w:pPr>
            <w:r>
              <w:rPr/>
            </w:r>
          </w:p>
        </w:tc>
        <w:tc>
          <w:tcPr>
            <w:tcW w:w="747" w:type="dxa"/>
            <w:vMerge w:val="continue"/>
            <w:tcBorders/>
            <w:vAlign w:val="bottom"/>
          </w:tcPr>
          <w:p>
            <w:pPr>
              <w:pStyle w:val="Normal"/>
              <w:bidi w:val="0"/>
              <w:jc w:val="left"/>
              <w:rPr/>
            </w:pPr>
            <w:r>
              <w:rPr/>
            </w:r>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c>
          <w:tcPr>
            <w:tcW w:w="626" w:type="dxa"/>
            <w:gridSpan w:val="2"/>
            <w:tcBorders/>
            <w:vAlign w:val="center"/>
          </w:tcPr>
          <w:p>
            <w:pPr>
              <w:pStyle w:val="TableContents"/>
              <w:bidi w:val="0"/>
              <w:spacing w:before="0" w:after="283"/>
              <w:jc w:val="left"/>
              <w:rPr>
                <w:sz w:val="4"/>
                <w:szCs w:val="4"/>
              </w:rPr>
            </w:pPr>
            <w:r>
              <w:rPr>
                <w:sz w:val="4"/>
                <w:szCs w:val="4"/>
              </w:rPr>
            </w:r>
          </w:p>
        </w:tc>
        <w:tc>
          <w:tcPr>
            <w:tcW w:w="1141"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1093" w:type="dxa"/>
            <w:gridSpan w:val="2"/>
            <w:tcBorders/>
            <w:vAlign w:val="center"/>
          </w:tcPr>
          <w:p>
            <w:pPr>
              <w:pStyle w:val="TableContents"/>
              <w:bidi w:val="0"/>
              <w:spacing w:before="0" w:after="283"/>
              <w:jc w:val="left"/>
              <w:rPr>
                <w:sz w:val="4"/>
                <w:szCs w:val="4"/>
              </w:rPr>
            </w:pPr>
            <w:r>
              <w:rPr>
                <w:sz w:val="4"/>
                <w:szCs w:val="4"/>
              </w:rPr>
            </w:r>
          </w:p>
        </w:tc>
        <w:tc>
          <w:tcPr>
            <w:tcW w:w="947"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  </w:t>
            </w:r>
            <w:r>
              <w:rPr/>
              <w:t>3.1</w:t>
            </w:r>
          </w:p>
        </w:tc>
        <w:tc>
          <w:tcPr>
            <w:tcW w:w="316" w:type="dxa"/>
            <w:tcBorders/>
            <w:vAlign w:val="bottom"/>
          </w:tcPr>
          <w:p>
            <w:pPr>
              <w:pStyle w:val="TableContents"/>
              <w:bidi w:val="0"/>
              <w:spacing w:before="0" w:after="283"/>
              <w:jc w:val="left"/>
              <w:rPr/>
            </w:pPr>
            <w:r>
              <w:rPr/>
              <w:t>  </w:t>
            </w:r>
          </w:p>
        </w:tc>
        <w:tc>
          <w:tcPr>
            <w:tcW w:w="4700" w:type="dxa"/>
            <w:tcBorders/>
          </w:tcPr>
          <w:p>
            <w:pPr>
              <w:pStyle w:val="TableContents"/>
              <w:bidi w:val="0"/>
              <w:spacing w:before="0" w:after="283"/>
              <w:jc w:val="left"/>
              <w:rPr/>
            </w:pPr>
            <w:hyperlink r:id="rId16">
              <w:r>
                <w:rPr>
                  <w:rStyle w:val="InternetLink"/>
                </w:rPr>
                <w:t xml:space="preserve">Amended and Restated Certificate of Incorporation, as amended </w:t>
              </w:r>
            </w:hyperlink>
          </w:p>
        </w:tc>
        <w:tc>
          <w:tcPr>
            <w:tcW w:w="20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pPr>
            <w:r>
              <w:rPr/>
              <w:t>8-K</w:t>
            </w:r>
          </w:p>
        </w:tc>
        <w:tc>
          <w:tcPr>
            <w:tcW w:w="201"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center"/>
              <w:rPr/>
            </w:pPr>
            <w:r>
              <w:rPr/>
              <w:t>001-40602</w:t>
            </w:r>
          </w:p>
        </w:tc>
        <w:tc>
          <w:tcPr>
            <w:tcW w:w="201"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center"/>
              <w:rPr/>
            </w:pPr>
            <w:r>
              <w:rPr/>
              <w:t>3.1</w:t>
            </w:r>
          </w:p>
        </w:tc>
        <w:tc>
          <w:tcPr>
            <w:tcW w:w="20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center"/>
              <w:rPr/>
            </w:pPr>
            <w:r>
              <w:rPr/>
              <w:t>7/20/2021</w:t>
            </w:r>
          </w:p>
        </w:tc>
        <w:tc>
          <w:tcPr>
            <w:tcW w:w="20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c>
          <w:tcPr>
            <w:tcW w:w="626" w:type="dxa"/>
            <w:gridSpan w:val="2"/>
            <w:tcBorders/>
            <w:vAlign w:val="center"/>
          </w:tcPr>
          <w:p>
            <w:pPr>
              <w:pStyle w:val="TableContents"/>
              <w:bidi w:val="0"/>
              <w:spacing w:before="0" w:after="283"/>
              <w:jc w:val="left"/>
              <w:rPr>
                <w:sz w:val="4"/>
                <w:szCs w:val="4"/>
              </w:rPr>
            </w:pPr>
            <w:r>
              <w:rPr>
                <w:sz w:val="4"/>
                <w:szCs w:val="4"/>
              </w:rPr>
            </w:r>
          </w:p>
        </w:tc>
        <w:tc>
          <w:tcPr>
            <w:tcW w:w="1141"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1093" w:type="dxa"/>
            <w:gridSpan w:val="2"/>
            <w:tcBorders/>
            <w:vAlign w:val="center"/>
          </w:tcPr>
          <w:p>
            <w:pPr>
              <w:pStyle w:val="TableContents"/>
              <w:bidi w:val="0"/>
              <w:spacing w:before="0" w:after="283"/>
              <w:jc w:val="left"/>
              <w:rPr>
                <w:sz w:val="4"/>
                <w:szCs w:val="4"/>
              </w:rPr>
            </w:pPr>
            <w:r>
              <w:rPr>
                <w:sz w:val="4"/>
                <w:szCs w:val="4"/>
              </w:rPr>
            </w:r>
          </w:p>
        </w:tc>
        <w:tc>
          <w:tcPr>
            <w:tcW w:w="947"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  </w:t>
            </w:r>
            <w:r>
              <w:rPr/>
              <w:t>3.2</w:t>
            </w:r>
          </w:p>
        </w:tc>
        <w:tc>
          <w:tcPr>
            <w:tcW w:w="316" w:type="dxa"/>
            <w:tcBorders/>
            <w:vAlign w:val="bottom"/>
          </w:tcPr>
          <w:p>
            <w:pPr>
              <w:pStyle w:val="TableContents"/>
              <w:bidi w:val="0"/>
              <w:spacing w:before="0" w:after="283"/>
              <w:jc w:val="left"/>
              <w:rPr/>
            </w:pPr>
            <w:r>
              <w:rPr/>
              <w:t>  </w:t>
            </w:r>
          </w:p>
        </w:tc>
        <w:tc>
          <w:tcPr>
            <w:tcW w:w="4700" w:type="dxa"/>
            <w:tcBorders/>
          </w:tcPr>
          <w:p>
            <w:pPr>
              <w:pStyle w:val="TableContents"/>
              <w:bidi w:val="0"/>
              <w:spacing w:before="0" w:after="283"/>
              <w:jc w:val="left"/>
              <w:rPr/>
            </w:pPr>
            <w:hyperlink r:id="rId17">
              <w:r>
                <w:rPr>
                  <w:rStyle w:val="InternetLink"/>
                </w:rPr>
                <w:t xml:space="preserve">Amended and Restated Bylaws </w:t>
              </w:r>
            </w:hyperlink>
          </w:p>
        </w:tc>
        <w:tc>
          <w:tcPr>
            <w:tcW w:w="20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pPr>
            <w:r>
              <w:rPr/>
              <w:t>8-K</w:t>
            </w:r>
          </w:p>
        </w:tc>
        <w:tc>
          <w:tcPr>
            <w:tcW w:w="201"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center"/>
              <w:rPr/>
            </w:pPr>
            <w:r>
              <w:rPr/>
              <w:t>001-40602</w:t>
            </w:r>
          </w:p>
        </w:tc>
        <w:tc>
          <w:tcPr>
            <w:tcW w:w="201"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center"/>
              <w:rPr/>
            </w:pPr>
            <w:r>
              <w:rPr/>
              <w:t>3.2</w:t>
            </w:r>
          </w:p>
        </w:tc>
        <w:tc>
          <w:tcPr>
            <w:tcW w:w="20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center"/>
              <w:rPr/>
            </w:pPr>
            <w:r>
              <w:rPr/>
              <w:t>7/20/2021</w:t>
            </w:r>
          </w:p>
        </w:tc>
        <w:tc>
          <w:tcPr>
            <w:tcW w:w="20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c>
          <w:tcPr>
            <w:tcW w:w="626" w:type="dxa"/>
            <w:gridSpan w:val="2"/>
            <w:tcBorders/>
            <w:vAlign w:val="center"/>
          </w:tcPr>
          <w:p>
            <w:pPr>
              <w:pStyle w:val="TableContents"/>
              <w:bidi w:val="0"/>
              <w:spacing w:before="0" w:after="283"/>
              <w:jc w:val="left"/>
              <w:rPr>
                <w:sz w:val="4"/>
                <w:szCs w:val="4"/>
              </w:rPr>
            </w:pPr>
            <w:r>
              <w:rPr>
                <w:sz w:val="4"/>
                <w:szCs w:val="4"/>
              </w:rPr>
            </w:r>
          </w:p>
        </w:tc>
        <w:tc>
          <w:tcPr>
            <w:tcW w:w="1141"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1093" w:type="dxa"/>
            <w:gridSpan w:val="2"/>
            <w:tcBorders/>
            <w:vAlign w:val="center"/>
          </w:tcPr>
          <w:p>
            <w:pPr>
              <w:pStyle w:val="TableContents"/>
              <w:bidi w:val="0"/>
              <w:spacing w:before="0" w:after="283"/>
              <w:jc w:val="left"/>
              <w:rPr>
                <w:sz w:val="4"/>
                <w:szCs w:val="4"/>
              </w:rPr>
            </w:pPr>
            <w:r>
              <w:rPr>
                <w:sz w:val="4"/>
                <w:szCs w:val="4"/>
              </w:rPr>
            </w:r>
          </w:p>
        </w:tc>
        <w:tc>
          <w:tcPr>
            <w:tcW w:w="947"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  </w:t>
            </w:r>
            <w:r>
              <w:rPr/>
              <w:t>4.1</w:t>
            </w:r>
          </w:p>
        </w:tc>
        <w:tc>
          <w:tcPr>
            <w:tcW w:w="316" w:type="dxa"/>
            <w:tcBorders/>
            <w:vAlign w:val="bottom"/>
          </w:tcPr>
          <w:p>
            <w:pPr>
              <w:pStyle w:val="TableContents"/>
              <w:bidi w:val="0"/>
              <w:spacing w:before="0" w:after="283"/>
              <w:jc w:val="left"/>
              <w:rPr/>
            </w:pPr>
            <w:r>
              <w:rPr/>
              <w:t>  </w:t>
            </w:r>
          </w:p>
        </w:tc>
        <w:tc>
          <w:tcPr>
            <w:tcW w:w="4700" w:type="dxa"/>
            <w:tcBorders/>
          </w:tcPr>
          <w:p>
            <w:pPr>
              <w:pStyle w:val="TableContents"/>
              <w:bidi w:val="0"/>
              <w:spacing w:before="0" w:after="283"/>
              <w:jc w:val="left"/>
              <w:rPr/>
            </w:pPr>
            <w:hyperlink r:id="rId18">
              <w:r>
                <w:rPr>
                  <w:rStyle w:val="InternetLink"/>
                </w:rPr>
                <w:t xml:space="preserve">Specimen stock certificate evidencing the shares of common stock </w:t>
              </w:r>
            </w:hyperlink>
          </w:p>
        </w:tc>
        <w:tc>
          <w:tcPr>
            <w:tcW w:w="20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pPr>
            <w:r>
              <w:rPr/>
              <w:t>S-1</w:t>
            </w:r>
          </w:p>
        </w:tc>
        <w:tc>
          <w:tcPr>
            <w:tcW w:w="201"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center"/>
              <w:rPr/>
            </w:pPr>
            <w:r>
              <w:rPr/>
              <w:t>333-257436</w:t>
            </w:r>
          </w:p>
        </w:tc>
        <w:tc>
          <w:tcPr>
            <w:tcW w:w="201"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center"/>
              <w:rPr/>
            </w:pPr>
            <w:r>
              <w:rPr/>
              <w:t>4.1</w:t>
            </w:r>
          </w:p>
        </w:tc>
        <w:tc>
          <w:tcPr>
            <w:tcW w:w="20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center"/>
              <w:rPr/>
            </w:pPr>
            <w:r>
              <w:rPr/>
              <w:t>6/25/2021</w:t>
            </w:r>
          </w:p>
        </w:tc>
        <w:tc>
          <w:tcPr>
            <w:tcW w:w="20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c>
          <w:tcPr>
            <w:tcW w:w="626" w:type="dxa"/>
            <w:gridSpan w:val="2"/>
            <w:tcBorders/>
            <w:vAlign w:val="center"/>
          </w:tcPr>
          <w:p>
            <w:pPr>
              <w:pStyle w:val="TableContents"/>
              <w:bidi w:val="0"/>
              <w:spacing w:before="0" w:after="283"/>
              <w:jc w:val="left"/>
              <w:rPr>
                <w:sz w:val="4"/>
                <w:szCs w:val="4"/>
              </w:rPr>
            </w:pPr>
            <w:r>
              <w:rPr>
                <w:sz w:val="4"/>
                <w:szCs w:val="4"/>
              </w:rPr>
            </w:r>
          </w:p>
        </w:tc>
        <w:tc>
          <w:tcPr>
            <w:tcW w:w="1141"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1093" w:type="dxa"/>
            <w:gridSpan w:val="2"/>
            <w:tcBorders/>
            <w:vAlign w:val="center"/>
          </w:tcPr>
          <w:p>
            <w:pPr>
              <w:pStyle w:val="TableContents"/>
              <w:bidi w:val="0"/>
              <w:spacing w:before="0" w:after="283"/>
              <w:jc w:val="left"/>
              <w:rPr>
                <w:sz w:val="4"/>
                <w:szCs w:val="4"/>
              </w:rPr>
            </w:pPr>
            <w:r>
              <w:rPr>
                <w:sz w:val="4"/>
                <w:szCs w:val="4"/>
              </w:rPr>
            </w:r>
          </w:p>
        </w:tc>
        <w:tc>
          <w:tcPr>
            <w:tcW w:w="947"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  </w:t>
            </w:r>
            <w:r>
              <w:rPr/>
              <w:t>5.1</w:t>
            </w:r>
          </w:p>
        </w:tc>
        <w:tc>
          <w:tcPr>
            <w:tcW w:w="316" w:type="dxa"/>
            <w:tcBorders/>
            <w:vAlign w:val="bottom"/>
          </w:tcPr>
          <w:p>
            <w:pPr>
              <w:pStyle w:val="TableContents"/>
              <w:bidi w:val="0"/>
              <w:spacing w:before="0" w:after="283"/>
              <w:jc w:val="left"/>
              <w:rPr/>
            </w:pPr>
            <w:r>
              <w:rPr/>
              <w:t>  </w:t>
            </w:r>
          </w:p>
        </w:tc>
        <w:tc>
          <w:tcPr>
            <w:tcW w:w="4700" w:type="dxa"/>
            <w:tcBorders/>
          </w:tcPr>
          <w:p>
            <w:pPr>
              <w:pStyle w:val="TableContents"/>
              <w:bidi w:val="0"/>
              <w:spacing w:before="0" w:after="283"/>
              <w:jc w:val="left"/>
              <w:rPr/>
            </w:pPr>
            <w:hyperlink w:anchor="d154998dex51.htm">
              <w:r>
                <w:rPr>
                  <w:rStyle w:val="InternetLink"/>
                </w:rPr>
                <w:t xml:space="preserve">Opinion of Latham &amp; Watkins LLP </w:t>
              </w:r>
            </w:hyperlink>
          </w:p>
        </w:tc>
        <w:tc>
          <w:tcPr>
            <w:tcW w:w="20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center"/>
              <w:rPr/>
            </w:pPr>
            <w:r>
              <w:rPr/>
              <w:t>X</w:t>
            </w:r>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c>
          <w:tcPr>
            <w:tcW w:w="626" w:type="dxa"/>
            <w:gridSpan w:val="2"/>
            <w:tcBorders/>
            <w:vAlign w:val="center"/>
          </w:tcPr>
          <w:p>
            <w:pPr>
              <w:pStyle w:val="TableContents"/>
              <w:bidi w:val="0"/>
              <w:spacing w:before="0" w:after="283"/>
              <w:jc w:val="left"/>
              <w:rPr>
                <w:sz w:val="4"/>
                <w:szCs w:val="4"/>
              </w:rPr>
            </w:pPr>
            <w:r>
              <w:rPr>
                <w:sz w:val="4"/>
                <w:szCs w:val="4"/>
              </w:rPr>
            </w:r>
          </w:p>
        </w:tc>
        <w:tc>
          <w:tcPr>
            <w:tcW w:w="1141"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1093" w:type="dxa"/>
            <w:gridSpan w:val="2"/>
            <w:tcBorders/>
            <w:vAlign w:val="center"/>
          </w:tcPr>
          <w:p>
            <w:pPr>
              <w:pStyle w:val="TableContents"/>
              <w:bidi w:val="0"/>
              <w:spacing w:before="0" w:after="283"/>
              <w:jc w:val="left"/>
              <w:rPr>
                <w:sz w:val="4"/>
                <w:szCs w:val="4"/>
              </w:rPr>
            </w:pPr>
            <w:r>
              <w:rPr>
                <w:sz w:val="4"/>
                <w:szCs w:val="4"/>
              </w:rPr>
            </w:r>
          </w:p>
        </w:tc>
        <w:tc>
          <w:tcPr>
            <w:tcW w:w="947"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 </w:t>
            </w:r>
            <w:r>
              <w:rPr/>
              <w:t>10.1</w:t>
            </w:r>
          </w:p>
        </w:tc>
        <w:tc>
          <w:tcPr>
            <w:tcW w:w="316" w:type="dxa"/>
            <w:tcBorders/>
            <w:vAlign w:val="bottom"/>
          </w:tcPr>
          <w:p>
            <w:pPr>
              <w:pStyle w:val="TableContents"/>
              <w:bidi w:val="0"/>
              <w:spacing w:before="0" w:after="283"/>
              <w:jc w:val="left"/>
              <w:rPr/>
            </w:pPr>
            <w:r>
              <w:rPr/>
              <w:t>  </w:t>
            </w:r>
          </w:p>
        </w:tc>
        <w:tc>
          <w:tcPr>
            <w:tcW w:w="4700" w:type="dxa"/>
            <w:tcBorders/>
          </w:tcPr>
          <w:p>
            <w:pPr>
              <w:pStyle w:val="TableContents"/>
              <w:bidi w:val="0"/>
              <w:spacing w:before="0" w:after="283"/>
              <w:jc w:val="left"/>
              <w:rPr/>
            </w:pPr>
            <w:hyperlink w:anchor="d154998dex101.htm">
              <w:r>
                <w:rPr>
                  <w:rStyle w:val="InternetLink"/>
                </w:rPr>
                <w:t xml:space="preserve">Erasca, Inc. 2026 Employment Inducement Incentive Award Plan and form of stock option grant notice and stock option agreement and form of restricted stock unit grant notice and restricted stock unit agreement thereunder </w:t>
              </w:r>
            </w:hyperlink>
          </w:p>
        </w:tc>
        <w:tc>
          <w:tcPr>
            <w:tcW w:w="20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center"/>
              <w:rPr/>
            </w:pPr>
            <w:r>
              <w:rPr/>
              <w:t>X</w:t>
            </w:r>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c>
          <w:tcPr>
            <w:tcW w:w="626" w:type="dxa"/>
            <w:gridSpan w:val="2"/>
            <w:tcBorders/>
            <w:vAlign w:val="center"/>
          </w:tcPr>
          <w:p>
            <w:pPr>
              <w:pStyle w:val="TableContents"/>
              <w:bidi w:val="0"/>
              <w:spacing w:before="0" w:after="283"/>
              <w:jc w:val="left"/>
              <w:rPr>
                <w:sz w:val="4"/>
                <w:szCs w:val="4"/>
              </w:rPr>
            </w:pPr>
            <w:r>
              <w:rPr>
                <w:sz w:val="4"/>
                <w:szCs w:val="4"/>
              </w:rPr>
            </w:r>
          </w:p>
        </w:tc>
        <w:tc>
          <w:tcPr>
            <w:tcW w:w="1141"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1093" w:type="dxa"/>
            <w:gridSpan w:val="2"/>
            <w:tcBorders/>
            <w:vAlign w:val="center"/>
          </w:tcPr>
          <w:p>
            <w:pPr>
              <w:pStyle w:val="TableContents"/>
              <w:bidi w:val="0"/>
              <w:spacing w:before="0" w:after="283"/>
              <w:jc w:val="left"/>
              <w:rPr>
                <w:sz w:val="4"/>
                <w:szCs w:val="4"/>
              </w:rPr>
            </w:pPr>
            <w:r>
              <w:rPr>
                <w:sz w:val="4"/>
                <w:szCs w:val="4"/>
              </w:rPr>
            </w:r>
          </w:p>
        </w:tc>
        <w:tc>
          <w:tcPr>
            <w:tcW w:w="947"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 </w:t>
            </w:r>
            <w:r>
              <w:rPr/>
              <w:t>23.1</w:t>
            </w:r>
          </w:p>
        </w:tc>
        <w:tc>
          <w:tcPr>
            <w:tcW w:w="316" w:type="dxa"/>
            <w:tcBorders/>
            <w:vAlign w:val="bottom"/>
          </w:tcPr>
          <w:p>
            <w:pPr>
              <w:pStyle w:val="TableContents"/>
              <w:bidi w:val="0"/>
              <w:spacing w:before="0" w:after="283"/>
              <w:jc w:val="left"/>
              <w:rPr/>
            </w:pPr>
            <w:r>
              <w:rPr/>
              <w:t>  </w:t>
            </w:r>
          </w:p>
        </w:tc>
        <w:tc>
          <w:tcPr>
            <w:tcW w:w="4700" w:type="dxa"/>
            <w:tcBorders/>
          </w:tcPr>
          <w:p>
            <w:pPr>
              <w:pStyle w:val="TableContents"/>
              <w:bidi w:val="0"/>
              <w:spacing w:before="0" w:after="283"/>
              <w:jc w:val="left"/>
              <w:rPr/>
            </w:pPr>
            <w:hyperlink w:anchor="d154998dex231.htm">
              <w:r>
                <w:rPr>
                  <w:rStyle w:val="InternetLink"/>
                </w:rPr>
                <w:t xml:space="preserve">Consent of KPMG LLP, independent registered public accounting firm </w:t>
              </w:r>
            </w:hyperlink>
          </w:p>
        </w:tc>
        <w:tc>
          <w:tcPr>
            <w:tcW w:w="20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center"/>
              <w:rPr/>
            </w:pPr>
            <w:r>
              <w:rPr/>
              <w:t>X</w:t>
            </w:r>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c>
          <w:tcPr>
            <w:tcW w:w="626" w:type="dxa"/>
            <w:gridSpan w:val="2"/>
            <w:tcBorders/>
            <w:vAlign w:val="center"/>
          </w:tcPr>
          <w:p>
            <w:pPr>
              <w:pStyle w:val="TableContents"/>
              <w:bidi w:val="0"/>
              <w:spacing w:before="0" w:after="283"/>
              <w:jc w:val="left"/>
              <w:rPr>
                <w:sz w:val="4"/>
                <w:szCs w:val="4"/>
              </w:rPr>
            </w:pPr>
            <w:r>
              <w:rPr>
                <w:sz w:val="4"/>
                <w:szCs w:val="4"/>
              </w:rPr>
            </w:r>
          </w:p>
        </w:tc>
        <w:tc>
          <w:tcPr>
            <w:tcW w:w="1141"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1093" w:type="dxa"/>
            <w:gridSpan w:val="2"/>
            <w:tcBorders/>
            <w:vAlign w:val="center"/>
          </w:tcPr>
          <w:p>
            <w:pPr>
              <w:pStyle w:val="TableContents"/>
              <w:bidi w:val="0"/>
              <w:spacing w:before="0" w:after="283"/>
              <w:jc w:val="left"/>
              <w:rPr>
                <w:sz w:val="4"/>
                <w:szCs w:val="4"/>
              </w:rPr>
            </w:pPr>
            <w:r>
              <w:rPr>
                <w:sz w:val="4"/>
                <w:szCs w:val="4"/>
              </w:rPr>
            </w:r>
          </w:p>
        </w:tc>
        <w:tc>
          <w:tcPr>
            <w:tcW w:w="947"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 </w:t>
            </w:r>
            <w:r>
              <w:rPr/>
              <w:t>23.2</w:t>
            </w:r>
          </w:p>
        </w:tc>
        <w:tc>
          <w:tcPr>
            <w:tcW w:w="316" w:type="dxa"/>
            <w:tcBorders/>
            <w:vAlign w:val="bottom"/>
          </w:tcPr>
          <w:p>
            <w:pPr>
              <w:pStyle w:val="TableContents"/>
              <w:bidi w:val="0"/>
              <w:spacing w:before="0" w:after="283"/>
              <w:jc w:val="left"/>
              <w:rPr/>
            </w:pPr>
            <w:r>
              <w:rPr/>
              <w:t>  </w:t>
            </w:r>
          </w:p>
        </w:tc>
        <w:tc>
          <w:tcPr>
            <w:tcW w:w="4700" w:type="dxa"/>
            <w:tcBorders/>
          </w:tcPr>
          <w:p>
            <w:pPr>
              <w:pStyle w:val="TableContents"/>
              <w:bidi w:val="0"/>
              <w:spacing w:before="0" w:after="283"/>
              <w:jc w:val="left"/>
              <w:rPr/>
            </w:pPr>
            <w:hyperlink w:anchor="d154998dex51.htm">
              <w:r>
                <w:rPr>
                  <w:rStyle w:val="InternetLink"/>
                </w:rPr>
                <w:t xml:space="preserve">Consent of Latham &amp; Watkins LLP (included in Exhibit 5.1) </w:t>
              </w:r>
            </w:hyperlink>
          </w:p>
        </w:tc>
        <w:tc>
          <w:tcPr>
            <w:tcW w:w="20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center"/>
              <w:rPr/>
            </w:pPr>
            <w:r>
              <w:rPr/>
              <w:t>X</w:t>
            </w:r>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c>
          <w:tcPr>
            <w:tcW w:w="626" w:type="dxa"/>
            <w:gridSpan w:val="2"/>
            <w:tcBorders/>
            <w:vAlign w:val="center"/>
          </w:tcPr>
          <w:p>
            <w:pPr>
              <w:pStyle w:val="TableContents"/>
              <w:bidi w:val="0"/>
              <w:spacing w:before="0" w:after="283"/>
              <w:jc w:val="left"/>
              <w:rPr>
                <w:sz w:val="4"/>
                <w:szCs w:val="4"/>
              </w:rPr>
            </w:pPr>
            <w:r>
              <w:rPr>
                <w:sz w:val="4"/>
                <w:szCs w:val="4"/>
              </w:rPr>
            </w:r>
          </w:p>
        </w:tc>
        <w:tc>
          <w:tcPr>
            <w:tcW w:w="1141"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1093" w:type="dxa"/>
            <w:gridSpan w:val="2"/>
            <w:tcBorders/>
            <w:vAlign w:val="center"/>
          </w:tcPr>
          <w:p>
            <w:pPr>
              <w:pStyle w:val="TableContents"/>
              <w:bidi w:val="0"/>
              <w:spacing w:before="0" w:after="283"/>
              <w:jc w:val="left"/>
              <w:rPr>
                <w:sz w:val="4"/>
                <w:szCs w:val="4"/>
              </w:rPr>
            </w:pPr>
            <w:r>
              <w:rPr>
                <w:sz w:val="4"/>
                <w:szCs w:val="4"/>
              </w:rPr>
            </w:r>
          </w:p>
        </w:tc>
        <w:tc>
          <w:tcPr>
            <w:tcW w:w="947"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 </w:t>
            </w:r>
            <w:r>
              <w:rPr/>
              <w:t>24.1</w:t>
            </w:r>
          </w:p>
        </w:tc>
        <w:tc>
          <w:tcPr>
            <w:tcW w:w="316" w:type="dxa"/>
            <w:tcBorders/>
            <w:vAlign w:val="bottom"/>
          </w:tcPr>
          <w:p>
            <w:pPr>
              <w:pStyle w:val="TableContents"/>
              <w:bidi w:val="0"/>
              <w:spacing w:before="0" w:after="283"/>
              <w:jc w:val="left"/>
              <w:rPr/>
            </w:pPr>
            <w:r>
              <w:rPr/>
              <w:t>  </w:t>
            </w:r>
          </w:p>
        </w:tc>
        <w:tc>
          <w:tcPr>
            <w:tcW w:w="4700" w:type="dxa"/>
            <w:tcBorders/>
          </w:tcPr>
          <w:p>
            <w:pPr>
              <w:pStyle w:val="TableContents"/>
              <w:bidi w:val="0"/>
              <w:spacing w:before="0" w:after="283"/>
              <w:jc w:val="left"/>
              <w:rPr/>
            </w:pPr>
            <w:hyperlink w:anchor="tx154998_1">
              <w:r>
                <w:rPr>
                  <w:rStyle w:val="InternetLink"/>
                </w:rPr>
                <w:t xml:space="preserve">Power of Attorney (see signature page) </w:t>
              </w:r>
            </w:hyperlink>
          </w:p>
        </w:tc>
        <w:tc>
          <w:tcPr>
            <w:tcW w:w="20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center"/>
              <w:rPr/>
            </w:pPr>
            <w:r>
              <w:rPr/>
              <w:t>X</w:t>
            </w:r>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5016" w:type="dxa"/>
            <w:gridSpan w:val="2"/>
            <w:tcBorders/>
            <w:vAlign w:val="center"/>
          </w:tcPr>
          <w:p>
            <w:pPr>
              <w:pStyle w:val="TableContents"/>
              <w:bidi w:val="0"/>
              <w:spacing w:before="0" w:after="283"/>
              <w:jc w:val="left"/>
              <w:rPr>
                <w:sz w:val="4"/>
                <w:szCs w:val="4"/>
              </w:rPr>
            </w:pPr>
            <w:r>
              <w:rPr>
                <w:sz w:val="4"/>
                <w:szCs w:val="4"/>
              </w:rPr>
            </w:r>
          </w:p>
        </w:tc>
        <w:tc>
          <w:tcPr>
            <w:tcW w:w="626" w:type="dxa"/>
            <w:gridSpan w:val="2"/>
            <w:tcBorders/>
            <w:vAlign w:val="center"/>
          </w:tcPr>
          <w:p>
            <w:pPr>
              <w:pStyle w:val="TableContents"/>
              <w:bidi w:val="0"/>
              <w:spacing w:before="0" w:after="283"/>
              <w:jc w:val="left"/>
              <w:rPr>
                <w:sz w:val="4"/>
                <w:szCs w:val="4"/>
              </w:rPr>
            </w:pPr>
            <w:r>
              <w:rPr>
                <w:sz w:val="4"/>
                <w:szCs w:val="4"/>
              </w:rPr>
            </w:r>
          </w:p>
        </w:tc>
        <w:tc>
          <w:tcPr>
            <w:tcW w:w="1141" w:type="dxa"/>
            <w:gridSpan w:val="2"/>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before="0" w:after="283"/>
              <w:jc w:val="left"/>
              <w:rPr>
                <w:sz w:val="4"/>
                <w:szCs w:val="4"/>
              </w:rPr>
            </w:pPr>
            <w:r>
              <w:rPr>
                <w:sz w:val="4"/>
                <w:szCs w:val="4"/>
              </w:rPr>
            </w:r>
          </w:p>
        </w:tc>
        <w:tc>
          <w:tcPr>
            <w:tcW w:w="1093" w:type="dxa"/>
            <w:gridSpan w:val="2"/>
            <w:tcBorders/>
            <w:vAlign w:val="center"/>
          </w:tcPr>
          <w:p>
            <w:pPr>
              <w:pStyle w:val="TableContents"/>
              <w:bidi w:val="0"/>
              <w:spacing w:before="0" w:after="283"/>
              <w:jc w:val="left"/>
              <w:rPr>
                <w:sz w:val="4"/>
                <w:szCs w:val="4"/>
              </w:rPr>
            </w:pPr>
            <w:r>
              <w:rPr>
                <w:sz w:val="4"/>
                <w:szCs w:val="4"/>
              </w:rPr>
            </w:r>
          </w:p>
        </w:tc>
        <w:tc>
          <w:tcPr>
            <w:tcW w:w="947"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107</w:t>
            </w:r>
          </w:p>
        </w:tc>
        <w:tc>
          <w:tcPr>
            <w:tcW w:w="316" w:type="dxa"/>
            <w:tcBorders/>
            <w:vAlign w:val="bottom"/>
          </w:tcPr>
          <w:p>
            <w:pPr>
              <w:pStyle w:val="TableContents"/>
              <w:bidi w:val="0"/>
              <w:spacing w:before="0" w:after="283"/>
              <w:jc w:val="left"/>
              <w:rPr/>
            </w:pPr>
            <w:r>
              <w:rPr/>
              <w:t>  </w:t>
            </w:r>
          </w:p>
        </w:tc>
        <w:tc>
          <w:tcPr>
            <w:tcW w:w="4700" w:type="dxa"/>
            <w:tcBorders/>
          </w:tcPr>
          <w:p>
            <w:pPr>
              <w:pStyle w:val="TableContents"/>
              <w:bidi w:val="0"/>
              <w:spacing w:before="0" w:after="283"/>
              <w:jc w:val="left"/>
              <w:rPr/>
            </w:pPr>
            <w:hyperlink w:anchor="d154998dexfilingfees.htm">
              <w:r>
                <w:rPr>
                  <w:rStyle w:val="InternetLink"/>
                </w:rPr>
                <w:t xml:space="preserve">Filing Fee Table. </w:t>
              </w:r>
            </w:hyperlink>
          </w:p>
        </w:tc>
        <w:tc>
          <w:tcPr>
            <w:tcW w:w="20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center"/>
              <w:rPr/>
            </w:pPr>
            <w:r>
              <w:rPr/>
              <w:t>X</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this registration statement or any material change to such information in this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do not apply if this registration statement is on Form S-8 and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(h)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x154998_1"/>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August 11,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3"/>
        <w:gridCol w:w="60"/>
        <w:gridCol w:w="3649"/>
      </w:tblGrid>
      <w:tr>
        <w:trPr/>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ERASCA, INC.</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tcPr>
          <w:p>
            <w:pPr>
              <w:pStyle w:val="TableContents"/>
              <w:bidi w:val="0"/>
              <w:spacing w:before="0" w:after="283"/>
              <w:jc w:val="left"/>
              <w:rPr/>
            </w:pPr>
            <w:r>
              <w:rPr/>
              <w:t>/s/ Jonathan E. Lim</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Jonathan E. Lim, M.D.</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Chairman, Chief Executive Officer and Co-Founder</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hereby constitutes and appoints Jonathan E. Lim and David M. Chacko, and each of them singly (with full power to each of them to act alone), his or her attorneys-in-fact, each with the full power of substitution, for him or her in any and all capacities, to sign this registration statement, and any amendments thereto (including post-effective amendments), and to file the same, with all exhibits thereto and other documents in connection therewith, with the SEC, hereby ratifying and confirming all that each of said attorneys-in-fact, or his or her substitute or substitutes, may do or cause to be done by virtue hereof. Pursuant to the requirements of the Securities Act, this registration statement has been signed below by the following persons on behalf of the Registrant and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66"/>
        <w:gridCol w:w="120"/>
        <w:gridCol w:w="4351"/>
        <w:gridCol w:w="106"/>
        <w:gridCol w:w="1862"/>
      </w:tblGrid>
      <w:tr>
        <w:trPr/>
        <w:tc>
          <w:tcPr>
            <w:tcW w:w="37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51"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3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6" w:type="dxa"/>
            <w:tcBorders/>
            <w:vAlign w:val="bottom"/>
          </w:tcPr>
          <w:p>
            <w:pPr>
              <w:pStyle w:val="TableContents"/>
              <w:bidi w:val="0"/>
              <w:spacing w:before="0" w:after="283"/>
              <w:jc w:val="left"/>
              <w:rPr/>
            </w:pPr>
            <w:r>
              <w:rPr/>
              <w:t> </w:t>
            </w:r>
          </w:p>
        </w:tc>
        <w:tc>
          <w:tcPr>
            <w:tcW w:w="186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66" w:type="dxa"/>
            <w:tcBorders/>
            <w:vAlign w:val="center"/>
          </w:tcPr>
          <w:p>
            <w:pPr>
              <w:pStyle w:val="TableContents"/>
              <w:bidi w:val="0"/>
              <w:spacing w:before="0" w:after="283"/>
              <w:jc w:val="left"/>
              <w:rPr>
                <w:sz w:val="4"/>
                <w:szCs w:val="4"/>
              </w:rPr>
            </w:pPr>
            <w:r>
              <w:rPr>
                <w:sz w:val="4"/>
                <w:szCs w:val="4"/>
              </w:rPr>
            </w:r>
          </w:p>
        </w:tc>
        <w:tc>
          <w:tcPr>
            <w:tcW w:w="4471" w:type="dxa"/>
            <w:gridSpan w:val="2"/>
            <w:tcBorders/>
            <w:vAlign w:val="center"/>
          </w:tcPr>
          <w:p>
            <w:pPr>
              <w:pStyle w:val="TableContents"/>
              <w:bidi w:val="0"/>
              <w:spacing w:before="0" w:after="283"/>
              <w:jc w:val="left"/>
              <w:rPr>
                <w:sz w:val="4"/>
                <w:szCs w:val="4"/>
              </w:rPr>
            </w:pPr>
            <w:r>
              <w:rPr>
                <w:sz w:val="4"/>
                <w:szCs w:val="4"/>
              </w:rPr>
            </w:r>
          </w:p>
        </w:tc>
        <w:tc>
          <w:tcPr>
            <w:tcW w:w="1968" w:type="dxa"/>
            <w:gridSpan w:val="2"/>
            <w:tcBorders/>
            <w:vAlign w:val="center"/>
          </w:tcPr>
          <w:p>
            <w:pPr>
              <w:pStyle w:val="TableContents"/>
              <w:bidi w:val="0"/>
              <w:spacing w:before="0" w:after="283"/>
              <w:jc w:val="left"/>
              <w:rPr>
                <w:sz w:val="4"/>
                <w:szCs w:val="4"/>
              </w:rPr>
            </w:pPr>
            <w:r>
              <w:rPr>
                <w:sz w:val="4"/>
                <w:szCs w:val="4"/>
              </w:rPr>
            </w:r>
          </w:p>
        </w:tc>
      </w:tr>
      <w:tr>
        <w:trPr/>
        <w:tc>
          <w:tcPr>
            <w:tcW w:w="37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Jonathan E. Lim</w:t>
            </w:r>
          </w:p>
          <w:p>
            <w:pPr>
              <w:pStyle w:val="TableContents"/>
              <w:bidi w:val="0"/>
              <w:spacing w:before="0" w:after="20"/>
              <w:jc w:val="left"/>
              <w:rPr>
                <w:rFonts w:ascii="Times New Roman" w:hAnsi="Times New Roman"/>
                <w:sz w:val="20"/>
              </w:rPr>
            </w:pPr>
            <w:r>
              <w:rPr>
                <w:rFonts w:ascii="Times New Roman" w:hAnsi="Times New Roman"/>
                <w:sz w:val="20"/>
              </w:rPr>
              <w:t>Jonathan E. Lim, M.D.</w:t>
            </w:r>
          </w:p>
        </w:tc>
        <w:tc>
          <w:tcPr>
            <w:tcW w:w="120" w:type="dxa"/>
            <w:tcBorders/>
            <w:vAlign w:val="bottom"/>
          </w:tcPr>
          <w:p>
            <w:pPr>
              <w:pStyle w:val="TableContents"/>
              <w:bidi w:val="0"/>
              <w:spacing w:before="0" w:after="283"/>
              <w:jc w:val="left"/>
              <w:rPr/>
            </w:pPr>
            <w:r>
              <w:rPr/>
              <w:t>  </w:t>
            </w:r>
          </w:p>
        </w:tc>
        <w:tc>
          <w:tcPr>
            <w:tcW w:w="4351" w:type="dxa"/>
            <w:tcBorders/>
          </w:tcPr>
          <w:p>
            <w:pPr>
              <w:pStyle w:val="TableContents"/>
              <w:bidi w:val="0"/>
              <w:spacing w:before="0" w:after="0"/>
              <w:jc w:val="center"/>
              <w:rPr>
                <w:rFonts w:ascii="Times New Roman" w:hAnsi="Times New Roman"/>
                <w:sz w:val="20"/>
              </w:rPr>
            </w:pPr>
            <w:r>
              <w:rPr>
                <w:rFonts w:ascii="Times New Roman" w:hAnsi="Times New Roman"/>
                <w:sz w:val="20"/>
              </w:rPr>
              <w:t>Chairman, Chief Executive Officer and Co-Founder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106" w:type="dxa"/>
            <w:tcBorders/>
            <w:vAlign w:val="bottom"/>
          </w:tcPr>
          <w:p>
            <w:pPr>
              <w:pStyle w:val="TableContents"/>
              <w:bidi w:val="0"/>
              <w:spacing w:before="0" w:after="283"/>
              <w:jc w:val="left"/>
              <w:rPr/>
            </w:pPr>
            <w:r>
              <w:rPr/>
              <w:t> </w:t>
            </w:r>
          </w:p>
        </w:tc>
        <w:tc>
          <w:tcPr>
            <w:tcW w:w="1862" w:type="dxa"/>
            <w:tcBorders/>
          </w:tcPr>
          <w:p>
            <w:pPr>
              <w:pStyle w:val="TableContents"/>
              <w:bidi w:val="0"/>
              <w:spacing w:before="0" w:after="283"/>
              <w:jc w:val="center"/>
              <w:rPr/>
            </w:pPr>
            <w:r>
              <w:rPr/>
              <w:t>August 11, 2026</w:t>
            </w:r>
          </w:p>
        </w:tc>
      </w:tr>
      <w:tr>
        <w:trPr>
          <w:trHeight w:val="240" w:hRule="atLeast"/>
        </w:trPr>
        <w:tc>
          <w:tcPr>
            <w:tcW w:w="3766" w:type="dxa"/>
            <w:tcBorders/>
            <w:vAlign w:val="center"/>
          </w:tcPr>
          <w:p>
            <w:pPr>
              <w:pStyle w:val="TableContents"/>
              <w:bidi w:val="0"/>
              <w:spacing w:before="0" w:after="283"/>
              <w:jc w:val="left"/>
              <w:rPr>
                <w:sz w:val="4"/>
                <w:szCs w:val="4"/>
              </w:rPr>
            </w:pPr>
            <w:r>
              <w:rPr>
                <w:sz w:val="4"/>
                <w:szCs w:val="4"/>
              </w:rPr>
            </w:r>
          </w:p>
        </w:tc>
        <w:tc>
          <w:tcPr>
            <w:tcW w:w="4471" w:type="dxa"/>
            <w:gridSpan w:val="2"/>
            <w:tcBorders/>
            <w:vAlign w:val="center"/>
          </w:tcPr>
          <w:p>
            <w:pPr>
              <w:pStyle w:val="TableContents"/>
              <w:bidi w:val="0"/>
              <w:spacing w:before="0" w:after="283"/>
              <w:jc w:val="left"/>
              <w:rPr>
                <w:sz w:val="4"/>
                <w:szCs w:val="4"/>
              </w:rPr>
            </w:pPr>
            <w:r>
              <w:rPr>
                <w:sz w:val="4"/>
                <w:szCs w:val="4"/>
              </w:rPr>
            </w:r>
          </w:p>
        </w:tc>
        <w:tc>
          <w:tcPr>
            <w:tcW w:w="1968" w:type="dxa"/>
            <w:gridSpan w:val="2"/>
            <w:tcBorders/>
            <w:vAlign w:val="center"/>
          </w:tcPr>
          <w:p>
            <w:pPr>
              <w:pStyle w:val="TableContents"/>
              <w:bidi w:val="0"/>
              <w:spacing w:before="0" w:after="283"/>
              <w:jc w:val="left"/>
              <w:rPr>
                <w:sz w:val="4"/>
                <w:szCs w:val="4"/>
              </w:rPr>
            </w:pPr>
            <w:r>
              <w:rPr>
                <w:sz w:val="4"/>
                <w:szCs w:val="4"/>
              </w:rPr>
            </w:r>
          </w:p>
        </w:tc>
      </w:tr>
      <w:tr>
        <w:trPr/>
        <w:tc>
          <w:tcPr>
            <w:tcW w:w="37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David M. Chacko</w:t>
            </w:r>
          </w:p>
          <w:p>
            <w:pPr>
              <w:pStyle w:val="TableContents"/>
              <w:bidi w:val="0"/>
              <w:spacing w:before="0" w:after="20"/>
              <w:jc w:val="left"/>
              <w:rPr>
                <w:rFonts w:ascii="Times New Roman" w:hAnsi="Times New Roman"/>
                <w:sz w:val="20"/>
              </w:rPr>
            </w:pPr>
            <w:r>
              <w:rPr>
                <w:rFonts w:ascii="Times New Roman" w:hAnsi="Times New Roman"/>
                <w:sz w:val="20"/>
              </w:rPr>
              <w:t>David M. Chacko, M.D.</w:t>
            </w:r>
          </w:p>
        </w:tc>
        <w:tc>
          <w:tcPr>
            <w:tcW w:w="120" w:type="dxa"/>
            <w:tcBorders/>
            <w:vAlign w:val="bottom"/>
          </w:tcPr>
          <w:p>
            <w:pPr>
              <w:pStyle w:val="TableContents"/>
              <w:bidi w:val="0"/>
              <w:spacing w:before="0" w:after="283"/>
              <w:jc w:val="left"/>
              <w:rPr/>
            </w:pPr>
            <w:r>
              <w:rPr/>
              <w:t>  </w:t>
            </w:r>
          </w:p>
        </w:tc>
        <w:tc>
          <w:tcPr>
            <w:tcW w:w="4351"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 and Chief Business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and accounting officer)</w:t>
            </w:r>
          </w:p>
        </w:tc>
        <w:tc>
          <w:tcPr>
            <w:tcW w:w="106" w:type="dxa"/>
            <w:tcBorders/>
            <w:vAlign w:val="bottom"/>
          </w:tcPr>
          <w:p>
            <w:pPr>
              <w:pStyle w:val="TableContents"/>
              <w:bidi w:val="0"/>
              <w:spacing w:before="0" w:after="283"/>
              <w:jc w:val="left"/>
              <w:rPr/>
            </w:pPr>
            <w:r>
              <w:rPr/>
              <w:t> </w:t>
            </w:r>
          </w:p>
        </w:tc>
        <w:tc>
          <w:tcPr>
            <w:tcW w:w="1862" w:type="dxa"/>
            <w:tcBorders/>
          </w:tcPr>
          <w:p>
            <w:pPr>
              <w:pStyle w:val="TableContents"/>
              <w:bidi w:val="0"/>
              <w:spacing w:before="0" w:after="283"/>
              <w:jc w:val="center"/>
              <w:rPr/>
            </w:pPr>
            <w:r>
              <w:rPr/>
              <w:t>August 11, 2026</w:t>
            </w:r>
          </w:p>
        </w:tc>
      </w:tr>
      <w:tr>
        <w:trPr>
          <w:trHeight w:val="240" w:hRule="atLeast"/>
        </w:trPr>
        <w:tc>
          <w:tcPr>
            <w:tcW w:w="3766" w:type="dxa"/>
            <w:tcBorders/>
            <w:vAlign w:val="center"/>
          </w:tcPr>
          <w:p>
            <w:pPr>
              <w:pStyle w:val="TableContents"/>
              <w:bidi w:val="0"/>
              <w:spacing w:before="0" w:after="283"/>
              <w:jc w:val="left"/>
              <w:rPr>
                <w:sz w:val="4"/>
                <w:szCs w:val="4"/>
              </w:rPr>
            </w:pPr>
            <w:r>
              <w:rPr>
                <w:sz w:val="4"/>
                <w:szCs w:val="4"/>
              </w:rPr>
            </w:r>
          </w:p>
        </w:tc>
        <w:tc>
          <w:tcPr>
            <w:tcW w:w="4471" w:type="dxa"/>
            <w:gridSpan w:val="2"/>
            <w:tcBorders/>
            <w:vAlign w:val="center"/>
          </w:tcPr>
          <w:p>
            <w:pPr>
              <w:pStyle w:val="TableContents"/>
              <w:bidi w:val="0"/>
              <w:spacing w:before="0" w:after="283"/>
              <w:jc w:val="left"/>
              <w:rPr>
                <w:sz w:val="4"/>
                <w:szCs w:val="4"/>
              </w:rPr>
            </w:pPr>
            <w:r>
              <w:rPr>
                <w:sz w:val="4"/>
                <w:szCs w:val="4"/>
              </w:rPr>
            </w:r>
          </w:p>
        </w:tc>
        <w:tc>
          <w:tcPr>
            <w:tcW w:w="1968" w:type="dxa"/>
            <w:gridSpan w:val="2"/>
            <w:tcBorders/>
            <w:vAlign w:val="center"/>
          </w:tcPr>
          <w:p>
            <w:pPr>
              <w:pStyle w:val="TableContents"/>
              <w:bidi w:val="0"/>
              <w:spacing w:before="0" w:after="283"/>
              <w:jc w:val="left"/>
              <w:rPr>
                <w:sz w:val="4"/>
                <w:szCs w:val="4"/>
              </w:rPr>
            </w:pPr>
            <w:r>
              <w:rPr>
                <w:sz w:val="4"/>
                <w:szCs w:val="4"/>
              </w:rPr>
            </w:r>
          </w:p>
        </w:tc>
      </w:tr>
      <w:tr>
        <w:trPr/>
        <w:tc>
          <w:tcPr>
            <w:tcW w:w="37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James A. Bristol</w:t>
            </w:r>
          </w:p>
          <w:p>
            <w:pPr>
              <w:pStyle w:val="TableContents"/>
              <w:bidi w:val="0"/>
              <w:spacing w:before="0" w:after="20"/>
              <w:jc w:val="left"/>
              <w:rPr>
                <w:rFonts w:ascii="Times New Roman" w:hAnsi="Times New Roman"/>
                <w:sz w:val="20"/>
              </w:rPr>
            </w:pPr>
            <w:r>
              <w:rPr>
                <w:rFonts w:ascii="Times New Roman" w:hAnsi="Times New Roman"/>
                <w:sz w:val="20"/>
              </w:rPr>
              <w:t>James A. Bristol, Ph.D.</w:t>
            </w:r>
          </w:p>
        </w:tc>
        <w:tc>
          <w:tcPr>
            <w:tcW w:w="120" w:type="dxa"/>
            <w:tcBorders/>
            <w:vAlign w:val="bottom"/>
          </w:tcPr>
          <w:p>
            <w:pPr>
              <w:pStyle w:val="TableContents"/>
              <w:bidi w:val="0"/>
              <w:spacing w:before="0" w:after="283"/>
              <w:jc w:val="left"/>
              <w:rPr/>
            </w:pPr>
            <w:r>
              <w:rPr/>
              <w:t>  </w:t>
            </w:r>
          </w:p>
        </w:tc>
        <w:tc>
          <w:tcPr>
            <w:tcW w:w="4351"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862" w:type="dxa"/>
            <w:tcBorders/>
          </w:tcPr>
          <w:p>
            <w:pPr>
              <w:pStyle w:val="TableContents"/>
              <w:bidi w:val="0"/>
              <w:spacing w:before="0" w:after="283"/>
              <w:jc w:val="center"/>
              <w:rPr/>
            </w:pPr>
            <w:r>
              <w:rPr/>
              <w:t>August 11, 2026</w:t>
            </w:r>
          </w:p>
        </w:tc>
      </w:tr>
      <w:tr>
        <w:trPr>
          <w:trHeight w:val="240" w:hRule="atLeast"/>
        </w:trPr>
        <w:tc>
          <w:tcPr>
            <w:tcW w:w="3766" w:type="dxa"/>
            <w:tcBorders/>
            <w:vAlign w:val="center"/>
          </w:tcPr>
          <w:p>
            <w:pPr>
              <w:pStyle w:val="TableContents"/>
              <w:bidi w:val="0"/>
              <w:spacing w:before="0" w:after="283"/>
              <w:jc w:val="left"/>
              <w:rPr>
                <w:sz w:val="4"/>
                <w:szCs w:val="4"/>
              </w:rPr>
            </w:pPr>
            <w:r>
              <w:rPr>
                <w:sz w:val="4"/>
                <w:szCs w:val="4"/>
              </w:rPr>
            </w:r>
          </w:p>
        </w:tc>
        <w:tc>
          <w:tcPr>
            <w:tcW w:w="4471" w:type="dxa"/>
            <w:gridSpan w:val="2"/>
            <w:tcBorders/>
            <w:vAlign w:val="center"/>
          </w:tcPr>
          <w:p>
            <w:pPr>
              <w:pStyle w:val="TableContents"/>
              <w:bidi w:val="0"/>
              <w:spacing w:before="0" w:after="283"/>
              <w:jc w:val="left"/>
              <w:rPr>
                <w:sz w:val="4"/>
                <w:szCs w:val="4"/>
              </w:rPr>
            </w:pPr>
            <w:r>
              <w:rPr>
                <w:sz w:val="4"/>
                <w:szCs w:val="4"/>
              </w:rPr>
            </w:r>
          </w:p>
        </w:tc>
        <w:tc>
          <w:tcPr>
            <w:tcW w:w="1968" w:type="dxa"/>
            <w:gridSpan w:val="2"/>
            <w:tcBorders/>
            <w:vAlign w:val="center"/>
          </w:tcPr>
          <w:p>
            <w:pPr>
              <w:pStyle w:val="TableContents"/>
              <w:bidi w:val="0"/>
              <w:spacing w:before="0" w:after="283"/>
              <w:jc w:val="left"/>
              <w:rPr>
                <w:sz w:val="4"/>
                <w:szCs w:val="4"/>
              </w:rPr>
            </w:pPr>
            <w:r>
              <w:rPr>
                <w:sz w:val="4"/>
                <w:szCs w:val="4"/>
              </w:rPr>
            </w:r>
          </w:p>
        </w:tc>
      </w:tr>
      <w:tr>
        <w:trPr/>
        <w:tc>
          <w:tcPr>
            <w:tcW w:w="37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Alexander W. Casdin</w:t>
            </w:r>
          </w:p>
          <w:p>
            <w:pPr>
              <w:pStyle w:val="TableContents"/>
              <w:bidi w:val="0"/>
              <w:spacing w:before="0" w:after="20"/>
              <w:jc w:val="left"/>
              <w:rPr>
                <w:rFonts w:ascii="Times New Roman" w:hAnsi="Times New Roman"/>
                <w:sz w:val="20"/>
              </w:rPr>
            </w:pPr>
            <w:r>
              <w:rPr>
                <w:rFonts w:ascii="Times New Roman" w:hAnsi="Times New Roman"/>
                <w:sz w:val="20"/>
              </w:rPr>
              <w:t>Alexander W. Casdin</w:t>
            </w:r>
          </w:p>
        </w:tc>
        <w:tc>
          <w:tcPr>
            <w:tcW w:w="120" w:type="dxa"/>
            <w:tcBorders/>
            <w:vAlign w:val="bottom"/>
          </w:tcPr>
          <w:p>
            <w:pPr>
              <w:pStyle w:val="TableContents"/>
              <w:bidi w:val="0"/>
              <w:spacing w:before="0" w:after="283"/>
              <w:jc w:val="left"/>
              <w:rPr/>
            </w:pPr>
            <w:r>
              <w:rPr/>
              <w:t>  </w:t>
            </w:r>
          </w:p>
        </w:tc>
        <w:tc>
          <w:tcPr>
            <w:tcW w:w="4351"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862" w:type="dxa"/>
            <w:tcBorders/>
          </w:tcPr>
          <w:p>
            <w:pPr>
              <w:pStyle w:val="TableContents"/>
              <w:bidi w:val="0"/>
              <w:spacing w:before="0" w:after="283"/>
              <w:jc w:val="center"/>
              <w:rPr/>
            </w:pPr>
            <w:r>
              <w:rPr/>
              <w:t>August 11, 2026</w:t>
            </w:r>
          </w:p>
        </w:tc>
      </w:tr>
      <w:tr>
        <w:trPr>
          <w:trHeight w:val="240" w:hRule="atLeast"/>
        </w:trPr>
        <w:tc>
          <w:tcPr>
            <w:tcW w:w="3766" w:type="dxa"/>
            <w:tcBorders/>
            <w:vAlign w:val="center"/>
          </w:tcPr>
          <w:p>
            <w:pPr>
              <w:pStyle w:val="TableContents"/>
              <w:bidi w:val="0"/>
              <w:spacing w:before="0" w:after="283"/>
              <w:jc w:val="left"/>
              <w:rPr>
                <w:sz w:val="4"/>
                <w:szCs w:val="4"/>
              </w:rPr>
            </w:pPr>
            <w:r>
              <w:rPr>
                <w:sz w:val="4"/>
                <w:szCs w:val="4"/>
              </w:rPr>
            </w:r>
          </w:p>
        </w:tc>
        <w:tc>
          <w:tcPr>
            <w:tcW w:w="4471" w:type="dxa"/>
            <w:gridSpan w:val="2"/>
            <w:tcBorders/>
            <w:vAlign w:val="center"/>
          </w:tcPr>
          <w:p>
            <w:pPr>
              <w:pStyle w:val="TableContents"/>
              <w:bidi w:val="0"/>
              <w:spacing w:before="0" w:after="283"/>
              <w:jc w:val="left"/>
              <w:rPr>
                <w:sz w:val="4"/>
                <w:szCs w:val="4"/>
              </w:rPr>
            </w:pPr>
            <w:r>
              <w:rPr>
                <w:sz w:val="4"/>
                <w:szCs w:val="4"/>
              </w:rPr>
            </w:r>
          </w:p>
        </w:tc>
        <w:tc>
          <w:tcPr>
            <w:tcW w:w="1968" w:type="dxa"/>
            <w:gridSpan w:val="2"/>
            <w:tcBorders/>
            <w:vAlign w:val="center"/>
          </w:tcPr>
          <w:p>
            <w:pPr>
              <w:pStyle w:val="TableContents"/>
              <w:bidi w:val="0"/>
              <w:spacing w:before="0" w:after="283"/>
              <w:jc w:val="left"/>
              <w:rPr>
                <w:sz w:val="4"/>
                <w:szCs w:val="4"/>
              </w:rPr>
            </w:pPr>
            <w:r>
              <w:rPr>
                <w:sz w:val="4"/>
                <w:szCs w:val="4"/>
              </w:rPr>
            </w:r>
          </w:p>
        </w:tc>
      </w:tr>
      <w:tr>
        <w:trPr/>
        <w:tc>
          <w:tcPr>
            <w:tcW w:w="37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Julie Hambleton</w:t>
            </w:r>
          </w:p>
          <w:p>
            <w:pPr>
              <w:pStyle w:val="TableContents"/>
              <w:bidi w:val="0"/>
              <w:spacing w:before="0" w:after="20"/>
              <w:jc w:val="left"/>
              <w:rPr>
                <w:rFonts w:ascii="Times New Roman" w:hAnsi="Times New Roman"/>
                <w:sz w:val="20"/>
              </w:rPr>
            </w:pPr>
            <w:r>
              <w:rPr>
                <w:rFonts w:ascii="Times New Roman" w:hAnsi="Times New Roman"/>
                <w:sz w:val="20"/>
              </w:rPr>
              <w:t>Julie Hambleton, M.D.</w:t>
            </w:r>
          </w:p>
        </w:tc>
        <w:tc>
          <w:tcPr>
            <w:tcW w:w="120" w:type="dxa"/>
            <w:tcBorders/>
            <w:vAlign w:val="bottom"/>
          </w:tcPr>
          <w:p>
            <w:pPr>
              <w:pStyle w:val="TableContents"/>
              <w:bidi w:val="0"/>
              <w:spacing w:before="0" w:after="283"/>
              <w:jc w:val="left"/>
              <w:rPr/>
            </w:pPr>
            <w:r>
              <w:rPr/>
              <w:t>  </w:t>
            </w:r>
          </w:p>
        </w:tc>
        <w:tc>
          <w:tcPr>
            <w:tcW w:w="4351"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862" w:type="dxa"/>
            <w:tcBorders/>
          </w:tcPr>
          <w:p>
            <w:pPr>
              <w:pStyle w:val="TableContents"/>
              <w:bidi w:val="0"/>
              <w:spacing w:before="0" w:after="283"/>
              <w:jc w:val="center"/>
              <w:rPr/>
            </w:pPr>
            <w:r>
              <w:rPr/>
              <w:t>August 11, 2026</w:t>
            </w:r>
          </w:p>
        </w:tc>
      </w:tr>
      <w:tr>
        <w:trPr>
          <w:trHeight w:val="240" w:hRule="atLeast"/>
        </w:trPr>
        <w:tc>
          <w:tcPr>
            <w:tcW w:w="3766" w:type="dxa"/>
            <w:tcBorders/>
            <w:vAlign w:val="center"/>
          </w:tcPr>
          <w:p>
            <w:pPr>
              <w:pStyle w:val="TableContents"/>
              <w:bidi w:val="0"/>
              <w:spacing w:before="0" w:after="283"/>
              <w:jc w:val="left"/>
              <w:rPr>
                <w:sz w:val="4"/>
                <w:szCs w:val="4"/>
              </w:rPr>
            </w:pPr>
            <w:r>
              <w:rPr>
                <w:sz w:val="4"/>
                <w:szCs w:val="4"/>
              </w:rPr>
            </w:r>
          </w:p>
        </w:tc>
        <w:tc>
          <w:tcPr>
            <w:tcW w:w="4471" w:type="dxa"/>
            <w:gridSpan w:val="2"/>
            <w:tcBorders/>
            <w:vAlign w:val="center"/>
          </w:tcPr>
          <w:p>
            <w:pPr>
              <w:pStyle w:val="TableContents"/>
              <w:bidi w:val="0"/>
              <w:spacing w:before="0" w:after="283"/>
              <w:jc w:val="left"/>
              <w:rPr>
                <w:sz w:val="4"/>
                <w:szCs w:val="4"/>
              </w:rPr>
            </w:pPr>
            <w:r>
              <w:rPr>
                <w:sz w:val="4"/>
                <w:szCs w:val="4"/>
              </w:rPr>
            </w:r>
          </w:p>
        </w:tc>
        <w:tc>
          <w:tcPr>
            <w:tcW w:w="1968" w:type="dxa"/>
            <w:gridSpan w:val="2"/>
            <w:tcBorders/>
            <w:vAlign w:val="center"/>
          </w:tcPr>
          <w:p>
            <w:pPr>
              <w:pStyle w:val="TableContents"/>
              <w:bidi w:val="0"/>
              <w:spacing w:before="0" w:after="283"/>
              <w:jc w:val="left"/>
              <w:rPr>
                <w:sz w:val="4"/>
                <w:szCs w:val="4"/>
              </w:rPr>
            </w:pPr>
            <w:r>
              <w:rPr>
                <w:sz w:val="4"/>
                <w:szCs w:val="4"/>
              </w:rPr>
            </w:r>
          </w:p>
        </w:tc>
      </w:tr>
      <w:tr>
        <w:trPr/>
        <w:tc>
          <w:tcPr>
            <w:tcW w:w="37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Valerie Harding-Start</w:t>
            </w:r>
          </w:p>
          <w:p>
            <w:pPr>
              <w:pStyle w:val="TableContents"/>
              <w:bidi w:val="0"/>
              <w:spacing w:before="0" w:after="20"/>
              <w:jc w:val="left"/>
              <w:rPr>
                <w:rFonts w:ascii="Times New Roman" w:hAnsi="Times New Roman"/>
                <w:sz w:val="20"/>
              </w:rPr>
            </w:pPr>
            <w:r>
              <w:rPr>
                <w:rFonts w:ascii="Times New Roman" w:hAnsi="Times New Roman"/>
                <w:sz w:val="20"/>
              </w:rPr>
              <w:t>Valerie Harding-Start, Ph.D.</w:t>
            </w:r>
          </w:p>
        </w:tc>
        <w:tc>
          <w:tcPr>
            <w:tcW w:w="120" w:type="dxa"/>
            <w:tcBorders/>
            <w:vAlign w:val="bottom"/>
          </w:tcPr>
          <w:p>
            <w:pPr>
              <w:pStyle w:val="TableContents"/>
              <w:bidi w:val="0"/>
              <w:spacing w:before="0" w:after="283"/>
              <w:jc w:val="left"/>
              <w:rPr/>
            </w:pPr>
            <w:r>
              <w:rPr/>
              <w:t>  </w:t>
            </w:r>
          </w:p>
        </w:tc>
        <w:tc>
          <w:tcPr>
            <w:tcW w:w="4351"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862" w:type="dxa"/>
            <w:tcBorders/>
          </w:tcPr>
          <w:p>
            <w:pPr>
              <w:pStyle w:val="TableContents"/>
              <w:bidi w:val="0"/>
              <w:spacing w:before="0" w:after="283"/>
              <w:jc w:val="center"/>
              <w:rPr/>
            </w:pPr>
            <w:r>
              <w:rPr/>
              <w:t>August 11, 2026</w:t>
            </w:r>
          </w:p>
        </w:tc>
      </w:tr>
      <w:tr>
        <w:trPr>
          <w:trHeight w:val="240" w:hRule="atLeast"/>
        </w:trPr>
        <w:tc>
          <w:tcPr>
            <w:tcW w:w="3766" w:type="dxa"/>
            <w:tcBorders/>
            <w:vAlign w:val="center"/>
          </w:tcPr>
          <w:p>
            <w:pPr>
              <w:pStyle w:val="TableContents"/>
              <w:bidi w:val="0"/>
              <w:spacing w:before="0" w:after="283"/>
              <w:jc w:val="left"/>
              <w:rPr>
                <w:sz w:val="4"/>
                <w:szCs w:val="4"/>
              </w:rPr>
            </w:pPr>
            <w:r>
              <w:rPr>
                <w:sz w:val="4"/>
                <w:szCs w:val="4"/>
              </w:rPr>
            </w:r>
          </w:p>
        </w:tc>
        <w:tc>
          <w:tcPr>
            <w:tcW w:w="4471" w:type="dxa"/>
            <w:gridSpan w:val="2"/>
            <w:tcBorders/>
            <w:vAlign w:val="center"/>
          </w:tcPr>
          <w:p>
            <w:pPr>
              <w:pStyle w:val="TableContents"/>
              <w:bidi w:val="0"/>
              <w:spacing w:before="0" w:after="283"/>
              <w:jc w:val="left"/>
              <w:rPr>
                <w:sz w:val="4"/>
                <w:szCs w:val="4"/>
              </w:rPr>
            </w:pPr>
            <w:r>
              <w:rPr>
                <w:sz w:val="4"/>
                <w:szCs w:val="4"/>
              </w:rPr>
            </w:r>
          </w:p>
        </w:tc>
        <w:tc>
          <w:tcPr>
            <w:tcW w:w="1968" w:type="dxa"/>
            <w:gridSpan w:val="2"/>
            <w:tcBorders/>
            <w:vAlign w:val="center"/>
          </w:tcPr>
          <w:p>
            <w:pPr>
              <w:pStyle w:val="TableContents"/>
              <w:bidi w:val="0"/>
              <w:spacing w:before="0" w:after="283"/>
              <w:jc w:val="left"/>
              <w:rPr>
                <w:sz w:val="4"/>
                <w:szCs w:val="4"/>
              </w:rPr>
            </w:pPr>
            <w:r>
              <w:rPr>
                <w:sz w:val="4"/>
                <w:szCs w:val="4"/>
              </w:rPr>
            </w:r>
          </w:p>
        </w:tc>
      </w:tr>
      <w:tr>
        <w:trPr/>
        <w:tc>
          <w:tcPr>
            <w:tcW w:w="37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Jean I. Liu</w:t>
            </w:r>
          </w:p>
          <w:p>
            <w:pPr>
              <w:pStyle w:val="TableContents"/>
              <w:bidi w:val="0"/>
              <w:spacing w:before="0" w:after="20"/>
              <w:jc w:val="left"/>
              <w:rPr>
                <w:rFonts w:ascii="Times New Roman" w:hAnsi="Times New Roman"/>
                <w:sz w:val="20"/>
              </w:rPr>
            </w:pPr>
            <w:r>
              <w:rPr>
                <w:rFonts w:ascii="Times New Roman" w:hAnsi="Times New Roman"/>
                <w:sz w:val="20"/>
              </w:rPr>
              <w:t>Jean I. Liu, J.D.</w:t>
            </w:r>
          </w:p>
        </w:tc>
        <w:tc>
          <w:tcPr>
            <w:tcW w:w="120" w:type="dxa"/>
            <w:tcBorders/>
            <w:vAlign w:val="bottom"/>
          </w:tcPr>
          <w:p>
            <w:pPr>
              <w:pStyle w:val="TableContents"/>
              <w:bidi w:val="0"/>
              <w:spacing w:before="0" w:after="283"/>
              <w:jc w:val="left"/>
              <w:rPr/>
            </w:pPr>
            <w:r>
              <w:rPr/>
              <w:t>  </w:t>
            </w:r>
          </w:p>
        </w:tc>
        <w:tc>
          <w:tcPr>
            <w:tcW w:w="4351"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862" w:type="dxa"/>
            <w:tcBorders/>
          </w:tcPr>
          <w:p>
            <w:pPr>
              <w:pStyle w:val="TableContents"/>
              <w:bidi w:val="0"/>
              <w:spacing w:before="0" w:after="283"/>
              <w:jc w:val="center"/>
              <w:rPr/>
            </w:pPr>
            <w:r>
              <w:rPr/>
              <w:t>August 11, 2026</w:t>
            </w:r>
          </w:p>
        </w:tc>
      </w:tr>
      <w:tr>
        <w:trPr>
          <w:trHeight w:val="240" w:hRule="atLeast"/>
        </w:trPr>
        <w:tc>
          <w:tcPr>
            <w:tcW w:w="3766" w:type="dxa"/>
            <w:tcBorders/>
            <w:vAlign w:val="center"/>
          </w:tcPr>
          <w:p>
            <w:pPr>
              <w:pStyle w:val="TableContents"/>
              <w:bidi w:val="0"/>
              <w:spacing w:before="0" w:after="283"/>
              <w:jc w:val="left"/>
              <w:rPr>
                <w:sz w:val="4"/>
                <w:szCs w:val="4"/>
              </w:rPr>
            </w:pPr>
            <w:r>
              <w:rPr>
                <w:sz w:val="4"/>
                <w:szCs w:val="4"/>
              </w:rPr>
            </w:r>
          </w:p>
        </w:tc>
        <w:tc>
          <w:tcPr>
            <w:tcW w:w="4471" w:type="dxa"/>
            <w:gridSpan w:val="2"/>
            <w:tcBorders/>
            <w:vAlign w:val="center"/>
          </w:tcPr>
          <w:p>
            <w:pPr>
              <w:pStyle w:val="TableContents"/>
              <w:bidi w:val="0"/>
              <w:spacing w:before="0" w:after="283"/>
              <w:jc w:val="left"/>
              <w:rPr>
                <w:sz w:val="4"/>
                <w:szCs w:val="4"/>
              </w:rPr>
            </w:pPr>
            <w:r>
              <w:rPr>
                <w:sz w:val="4"/>
                <w:szCs w:val="4"/>
              </w:rPr>
            </w:r>
          </w:p>
        </w:tc>
        <w:tc>
          <w:tcPr>
            <w:tcW w:w="1968" w:type="dxa"/>
            <w:gridSpan w:val="2"/>
            <w:tcBorders/>
            <w:vAlign w:val="center"/>
          </w:tcPr>
          <w:p>
            <w:pPr>
              <w:pStyle w:val="TableContents"/>
              <w:bidi w:val="0"/>
              <w:spacing w:before="0" w:after="283"/>
              <w:jc w:val="left"/>
              <w:rPr>
                <w:sz w:val="4"/>
                <w:szCs w:val="4"/>
              </w:rPr>
            </w:pPr>
            <w:r>
              <w:rPr>
                <w:sz w:val="4"/>
                <w:szCs w:val="4"/>
              </w:rPr>
            </w:r>
          </w:p>
        </w:tc>
      </w:tr>
      <w:tr>
        <w:trPr/>
        <w:tc>
          <w:tcPr>
            <w:tcW w:w="37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Pratik S. Multani</w:t>
            </w:r>
          </w:p>
          <w:p>
            <w:pPr>
              <w:pStyle w:val="TableContents"/>
              <w:bidi w:val="0"/>
              <w:spacing w:before="0" w:after="20"/>
              <w:jc w:val="left"/>
              <w:rPr>
                <w:rFonts w:ascii="Times New Roman" w:hAnsi="Times New Roman"/>
                <w:sz w:val="20"/>
              </w:rPr>
            </w:pPr>
            <w:r>
              <w:rPr>
                <w:rFonts w:ascii="Times New Roman" w:hAnsi="Times New Roman"/>
                <w:sz w:val="20"/>
              </w:rPr>
              <w:t>Pratik S. Multani, M.D.</w:t>
            </w:r>
          </w:p>
        </w:tc>
        <w:tc>
          <w:tcPr>
            <w:tcW w:w="120" w:type="dxa"/>
            <w:tcBorders/>
            <w:vAlign w:val="bottom"/>
          </w:tcPr>
          <w:p>
            <w:pPr>
              <w:pStyle w:val="TableContents"/>
              <w:bidi w:val="0"/>
              <w:spacing w:before="0" w:after="283"/>
              <w:jc w:val="left"/>
              <w:rPr/>
            </w:pPr>
            <w:r>
              <w:rPr/>
              <w:t>  </w:t>
            </w:r>
          </w:p>
        </w:tc>
        <w:tc>
          <w:tcPr>
            <w:tcW w:w="4351"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862" w:type="dxa"/>
            <w:tcBorders/>
          </w:tcPr>
          <w:p>
            <w:pPr>
              <w:pStyle w:val="TableContents"/>
              <w:bidi w:val="0"/>
              <w:spacing w:before="0" w:after="283"/>
              <w:jc w:val="center"/>
              <w:rPr/>
            </w:pPr>
            <w:r>
              <w:rPr/>
              <w:t>August 11, 2026</w:t>
            </w:r>
          </w:p>
        </w:tc>
      </w:tr>
      <w:tr>
        <w:trPr>
          <w:trHeight w:val="240" w:hRule="atLeast"/>
        </w:trPr>
        <w:tc>
          <w:tcPr>
            <w:tcW w:w="3766" w:type="dxa"/>
            <w:tcBorders/>
            <w:vAlign w:val="center"/>
          </w:tcPr>
          <w:p>
            <w:pPr>
              <w:pStyle w:val="TableContents"/>
              <w:bidi w:val="0"/>
              <w:spacing w:before="0" w:after="283"/>
              <w:jc w:val="left"/>
              <w:rPr>
                <w:sz w:val="4"/>
                <w:szCs w:val="4"/>
              </w:rPr>
            </w:pPr>
            <w:r>
              <w:rPr>
                <w:sz w:val="4"/>
                <w:szCs w:val="4"/>
              </w:rPr>
            </w:r>
          </w:p>
        </w:tc>
        <w:tc>
          <w:tcPr>
            <w:tcW w:w="4471" w:type="dxa"/>
            <w:gridSpan w:val="2"/>
            <w:tcBorders/>
            <w:vAlign w:val="center"/>
          </w:tcPr>
          <w:p>
            <w:pPr>
              <w:pStyle w:val="TableContents"/>
              <w:bidi w:val="0"/>
              <w:spacing w:before="0" w:after="283"/>
              <w:jc w:val="left"/>
              <w:rPr>
                <w:sz w:val="4"/>
                <w:szCs w:val="4"/>
              </w:rPr>
            </w:pPr>
            <w:r>
              <w:rPr>
                <w:sz w:val="4"/>
                <w:szCs w:val="4"/>
              </w:rPr>
            </w:r>
          </w:p>
        </w:tc>
        <w:tc>
          <w:tcPr>
            <w:tcW w:w="1968" w:type="dxa"/>
            <w:gridSpan w:val="2"/>
            <w:tcBorders/>
            <w:vAlign w:val="center"/>
          </w:tcPr>
          <w:p>
            <w:pPr>
              <w:pStyle w:val="TableContents"/>
              <w:bidi w:val="0"/>
              <w:spacing w:before="0" w:after="283"/>
              <w:jc w:val="left"/>
              <w:rPr>
                <w:sz w:val="4"/>
                <w:szCs w:val="4"/>
              </w:rPr>
            </w:pPr>
            <w:r>
              <w:rPr>
                <w:sz w:val="4"/>
                <w:szCs w:val="4"/>
              </w:rPr>
            </w:r>
          </w:p>
        </w:tc>
      </w:tr>
      <w:tr>
        <w:trPr/>
        <w:tc>
          <w:tcPr>
            <w:tcW w:w="37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Michael D. Varney</w:t>
            </w:r>
          </w:p>
          <w:p>
            <w:pPr>
              <w:pStyle w:val="TableContents"/>
              <w:bidi w:val="0"/>
              <w:spacing w:before="0" w:after="20"/>
              <w:jc w:val="left"/>
              <w:rPr>
                <w:rFonts w:ascii="Times New Roman" w:hAnsi="Times New Roman"/>
                <w:sz w:val="20"/>
              </w:rPr>
            </w:pPr>
            <w:r>
              <w:rPr>
                <w:rFonts w:ascii="Times New Roman" w:hAnsi="Times New Roman"/>
                <w:sz w:val="20"/>
              </w:rPr>
              <w:t>Michael D. Varney, Ph.D.</w:t>
            </w:r>
          </w:p>
        </w:tc>
        <w:tc>
          <w:tcPr>
            <w:tcW w:w="120" w:type="dxa"/>
            <w:tcBorders/>
            <w:vAlign w:val="bottom"/>
          </w:tcPr>
          <w:p>
            <w:pPr>
              <w:pStyle w:val="TableContents"/>
              <w:bidi w:val="0"/>
              <w:spacing w:before="0" w:after="283"/>
              <w:jc w:val="left"/>
              <w:rPr/>
            </w:pPr>
            <w:r>
              <w:rPr/>
              <w:t>  </w:t>
            </w:r>
          </w:p>
        </w:tc>
        <w:tc>
          <w:tcPr>
            <w:tcW w:w="4351" w:type="dxa"/>
            <w:tcBorders/>
          </w:tcPr>
          <w:p>
            <w:pPr>
              <w:pStyle w:val="TableContents"/>
              <w:bidi w:val="0"/>
              <w:spacing w:before="0" w:after="283"/>
              <w:jc w:val="center"/>
              <w:rPr/>
            </w:pPr>
            <w:r>
              <w:rPr/>
              <w:t>Director and Chair of Research and Development</w:t>
            </w:r>
          </w:p>
        </w:tc>
        <w:tc>
          <w:tcPr>
            <w:tcW w:w="106" w:type="dxa"/>
            <w:tcBorders/>
            <w:vAlign w:val="bottom"/>
          </w:tcPr>
          <w:p>
            <w:pPr>
              <w:pStyle w:val="TableContents"/>
              <w:bidi w:val="0"/>
              <w:spacing w:before="0" w:after="283"/>
              <w:jc w:val="left"/>
              <w:rPr/>
            </w:pPr>
            <w:r>
              <w:rPr/>
              <w:t> </w:t>
            </w:r>
          </w:p>
        </w:tc>
        <w:tc>
          <w:tcPr>
            <w:tcW w:w="1862" w:type="dxa"/>
            <w:tcBorders/>
          </w:tcPr>
          <w:p>
            <w:pPr>
              <w:pStyle w:val="TableContents"/>
              <w:bidi w:val="0"/>
              <w:spacing w:before="0" w:after="283"/>
              <w:jc w:val="center"/>
              <w:rPr/>
            </w:pPr>
            <w:r>
              <w:rPr/>
              <w:t>August 11,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right"/>
        <w:rPr>
          <w:rFonts w:ascii="Times New Roman" w:hAnsi="Times New Roman"/>
          <w:b/>
          <w:sz w:val="20"/>
        </w:rPr>
      </w:pPr>
      <w:bookmarkStart w:id="3" w:name="d154998dex51.htm"/>
      <w:bookmarkStart w:id="4" w:name="ksd154998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30"/>
        <w:gridCol w:w="86"/>
        <w:gridCol w:w="1714"/>
        <w:gridCol w:w="175"/>
        <w:gridCol w:w="2700"/>
      </w:tblGrid>
      <w:tr>
        <w:trPr/>
        <w:tc>
          <w:tcPr>
            <w:tcW w:w="5530"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r>
      <w:tr>
        <w:trPr/>
        <w:tc>
          <w:tcPr>
            <w:tcW w:w="5530"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4589" w:type="dxa"/>
            <w:gridSpan w:val="3"/>
            <w:tcBorders/>
          </w:tcPr>
          <w:p>
            <w:pPr>
              <w:pStyle w:val="TableContents"/>
              <w:bidi w:val="0"/>
              <w:spacing w:before="0" w:after="283"/>
              <w:jc w:val="left"/>
              <w:rPr/>
            </w:pPr>
            <w:r>
              <w:rPr/>
              <w:t>12670 High Bluff Drive</w:t>
            </w:r>
          </w:p>
        </w:tc>
      </w:tr>
      <w:tr>
        <w:trPr/>
        <w:tc>
          <w:tcPr>
            <w:tcW w:w="5530"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4589" w:type="dxa"/>
            <w:gridSpan w:val="3"/>
            <w:tcBorders/>
          </w:tcPr>
          <w:p>
            <w:pPr>
              <w:pStyle w:val="TableContents"/>
              <w:bidi w:val="0"/>
              <w:spacing w:before="0" w:after="283"/>
              <w:jc w:val="left"/>
              <w:rPr/>
            </w:pPr>
            <w:r>
              <w:rPr/>
              <w:t>San Diego, California 92130</w:t>
            </w:r>
          </w:p>
        </w:tc>
      </w:tr>
      <w:tr>
        <w:trPr/>
        <w:tc>
          <w:tcPr>
            <w:tcW w:w="5530"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4589" w:type="dxa"/>
            <w:gridSpan w:val="3"/>
            <w:tcBorders/>
          </w:tcPr>
          <w:p>
            <w:pPr>
              <w:pStyle w:val="TableContents"/>
              <w:bidi w:val="0"/>
              <w:spacing w:before="0" w:after="283"/>
              <w:jc w:val="left"/>
              <w:rPr/>
            </w:pPr>
            <w:r>
              <w:rPr/>
              <w:t>Tel: +1.858.523.5400 Fax: +1.858.523.5450</w:t>
            </w:r>
          </w:p>
        </w:tc>
      </w:tr>
      <w:tr>
        <w:trPr/>
        <w:tc>
          <w:tcPr>
            <w:tcW w:w="5530" w:type="dxa"/>
            <w:vMerge w:val="restart"/>
            <w:tcBorders/>
            <w:vAlign w:val="center"/>
          </w:tcPr>
          <w:p>
            <w:pPr>
              <w:pStyle w:val="TableContents"/>
              <w:bidi w:val="0"/>
              <w:spacing w:before="0" w:after="283"/>
              <w:jc w:val="left"/>
              <w:rPr/>
            </w:pPr>
            <w:r>
              <w:rPr/>
              <w:drawing>
                <wp:inline distT="0" distB="0" distL="0" distR="0">
                  <wp:extent cx="2314575"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9"/>
                          <a:stretch>
                            <a:fillRect/>
                          </a:stretch>
                        </pic:blipFill>
                        <pic:spPr bwMode="auto">
                          <a:xfrm>
                            <a:off x="0" y="0"/>
                            <a:ext cx="2314575" cy="266700"/>
                          </a:xfrm>
                          <a:prstGeom prst="rect">
                            <a:avLst/>
                          </a:prstGeom>
                        </pic:spPr>
                      </pic:pic>
                    </a:graphicData>
                  </a:graphic>
                </wp:inline>
              </w:drawing>
            </w:r>
            <w:r>
              <w:rPr/>
              <w:t xml:space="preserve"> </w:t>
            </w:r>
          </w:p>
        </w:tc>
        <w:tc>
          <w:tcPr>
            <w:tcW w:w="86" w:type="dxa"/>
            <w:tcBorders/>
            <w:vAlign w:val="bottom"/>
          </w:tcPr>
          <w:p>
            <w:pPr>
              <w:pStyle w:val="TableContents"/>
              <w:bidi w:val="0"/>
              <w:spacing w:before="0" w:after="283"/>
              <w:jc w:val="left"/>
              <w:rPr/>
            </w:pPr>
            <w:r>
              <w:rPr/>
              <w:t> </w:t>
            </w:r>
          </w:p>
        </w:tc>
        <w:tc>
          <w:tcPr>
            <w:tcW w:w="4589" w:type="dxa"/>
            <w:gridSpan w:val="3"/>
            <w:tcBorders/>
          </w:tcPr>
          <w:p>
            <w:pPr>
              <w:pStyle w:val="TableContents"/>
              <w:bidi w:val="0"/>
              <w:spacing w:before="0" w:after="283"/>
              <w:jc w:val="left"/>
              <w:rPr/>
            </w:pPr>
            <w:r>
              <w:rPr/>
              <w:t>www.lw.com</w:t>
            </w:r>
          </w:p>
        </w:tc>
      </w:tr>
      <w:tr>
        <w:trPr/>
        <w:tc>
          <w:tcPr>
            <w:tcW w:w="5530" w:type="dxa"/>
            <w:vMerge w:val="continue"/>
            <w:tcBorders/>
            <w:vAlign w:val="center"/>
          </w:tcPr>
          <w:p>
            <w:pPr>
              <w:pStyle w:val="Normal"/>
              <w:bidi w:val="0"/>
              <w:jc w:val="left"/>
              <w:rPr/>
            </w:pPr>
            <w:r>
              <w:rPr/>
            </w:r>
          </w:p>
        </w:tc>
        <w:tc>
          <w:tcPr>
            <w:tcW w:w="86" w:type="dxa"/>
            <w:tcBorders/>
            <w:vAlign w:val="bottom"/>
          </w:tcPr>
          <w:p>
            <w:pPr>
              <w:pStyle w:val="TableContents"/>
              <w:bidi w:val="0"/>
              <w:spacing w:before="0" w:after="283"/>
              <w:jc w:val="left"/>
              <w:rPr/>
            </w:pPr>
            <w:r>
              <w:rPr/>
              <w:t> </w:t>
            </w:r>
          </w:p>
        </w:tc>
        <w:tc>
          <w:tcPr>
            <w:tcW w:w="4589" w:type="dxa"/>
            <w:gridSpan w:val="3"/>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FIRM / AFFILIATE OFFICES</w:t>
            </w:r>
          </w:p>
        </w:tc>
      </w:tr>
      <w:tr>
        <w:trPr/>
        <w:tc>
          <w:tcPr>
            <w:tcW w:w="5530" w:type="dxa"/>
            <w:vMerge w:val="continue"/>
            <w:tcBorders/>
            <w:vAlign w:val="center"/>
          </w:tcPr>
          <w:p>
            <w:pPr>
              <w:pStyle w:val="Normal"/>
              <w:bidi w:val="0"/>
              <w:jc w:val="left"/>
              <w:rPr/>
            </w:pPr>
            <w:r>
              <w:rPr/>
            </w:r>
          </w:p>
        </w:tc>
        <w:tc>
          <w:tcPr>
            <w:tcW w:w="86" w:type="dxa"/>
            <w:tcBorders/>
            <w:vAlign w:val="bottom"/>
          </w:tcPr>
          <w:p>
            <w:pPr>
              <w:pStyle w:val="TableContents"/>
              <w:bidi w:val="0"/>
              <w:spacing w:before="0" w:after="283"/>
              <w:jc w:val="left"/>
              <w:rPr/>
            </w:pPr>
            <w:r>
              <w:rPr/>
              <w:t> </w:t>
            </w:r>
          </w:p>
        </w:tc>
        <w:tc>
          <w:tcPr>
            <w:tcW w:w="1714" w:type="dxa"/>
            <w:tcBorders/>
          </w:tcPr>
          <w:p>
            <w:pPr>
              <w:pStyle w:val="TableContents"/>
              <w:bidi w:val="0"/>
              <w:spacing w:before="0" w:after="283"/>
              <w:jc w:val="left"/>
              <w:rPr/>
            </w:pPr>
            <w:r>
              <w:rPr/>
              <w:t>Austin</w:t>
            </w:r>
          </w:p>
        </w:tc>
        <w:tc>
          <w:tcPr>
            <w:tcW w:w="175" w:type="dxa"/>
            <w:tcBorders/>
            <w:vAlign w:val="bottom"/>
          </w:tcPr>
          <w:p>
            <w:pPr>
              <w:pStyle w:val="TableContents"/>
              <w:bidi w:val="0"/>
              <w:spacing w:before="0" w:after="283"/>
              <w:jc w:val="left"/>
              <w:rPr/>
            </w:pPr>
            <w:r>
              <w:rPr/>
              <w:t>  </w:t>
            </w:r>
          </w:p>
        </w:tc>
        <w:tc>
          <w:tcPr>
            <w:tcW w:w="2700" w:type="dxa"/>
            <w:tcBorders/>
          </w:tcPr>
          <w:p>
            <w:pPr>
              <w:pStyle w:val="TableContents"/>
              <w:bidi w:val="0"/>
              <w:spacing w:before="0" w:after="283"/>
              <w:jc w:val="left"/>
              <w:rPr/>
            </w:pPr>
            <w:r>
              <w:rPr/>
              <w:t>Milan</w:t>
            </w:r>
          </w:p>
        </w:tc>
      </w:tr>
      <w:tr>
        <w:trPr/>
        <w:tc>
          <w:tcPr>
            <w:tcW w:w="5530"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14" w:type="dxa"/>
            <w:tcBorders/>
          </w:tcPr>
          <w:p>
            <w:pPr>
              <w:pStyle w:val="TableContents"/>
              <w:bidi w:val="0"/>
              <w:spacing w:before="0" w:after="283"/>
              <w:jc w:val="left"/>
              <w:rPr/>
            </w:pPr>
            <w:r>
              <w:rPr/>
              <w:t>Beijing</w:t>
            </w:r>
          </w:p>
        </w:tc>
        <w:tc>
          <w:tcPr>
            <w:tcW w:w="175" w:type="dxa"/>
            <w:tcBorders/>
            <w:vAlign w:val="bottom"/>
          </w:tcPr>
          <w:p>
            <w:pPr>
              <w:pStyle w:val="TableContents"/>
              <w:bidi w:val="0"/>
              <w:spacing w:before="0" w:after="283"/>
              <w:jc w:val="left"/>
              <w:rPr/>
            </w:pPr>
            <w:r>
              <w:rPr/>
              <w:t>  </w:t>
            </w:r>
          </w:p>
        </w:tc>
        <w:tc>
          <w:tcPr>
            <w:tcW w:w="2700" w:type="dxa"/>
            <w:tcBorders/>
          </w:tcPr>
          <w:p>
            <w:pPr>
              <w:pStyle w:val="TableContents"/>
              <w:bidi w:val="0"/>
              <w:spacing w:before="0" w:after="283"/>
              <w:jc w:val="left"/>
              <w:rPr/>
            </w:pPr>
            <w:r>
              <w:rPr/>
              <w:t>Munich</w:t>
            </w:r>
          </w:p>
        </w:tc>
      </w:tr>
      <w:tr>
        <w:trPr/>
        <w:tc>
          <w:tcPr>
            <w:tcW w:w="5530"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14" w:type="dxa"/>
            <w:tcBorders/>
          </w:tcPr>
          <w:p>
            <w:pPr>
              <w:pStyle w:val="TableContents"/>
              <w:bidi w:val="0"/>
              <w:spacing w:before="0" w:after="283"/>
              <w:jc w:val="left"/>
              <w:rPr/>
            </w:pPr>
            <w:r>
              <w:rPr/>
              <w:t>Boston</w:t>
            </w:r>
          </w:p>
        </w:tc>
        <w:tc>
          <w:tcPr>
            <w:tcW w:w="175" w:type="dxa"/>
            <w:tcBorders/>
            <w:vAlign w:val="bottom"/>
          </w:tcPr>
          <w:p>
            <w:pPr>
              <w:pStyle w:val="TableContents"/>
              <w:bidi w:val="0"/>
              <w:spacing w:before="0" w:after="283"/>
              <w:jc w:val="left"/>
              <w:rPr/>
            </w:pPr>
            <w:r>
              <w:rPr/>
              <w:t>  </w:t>
            </w:r>
          </w:p>
        </w:tc>
        <w:tc>
          <w:tcPr>
            <w:tcW w:w="2700" w:type="dxa"/>
            <w:tcBorders/>
          </w:tcPr>
          <w:p>
            <w:pPr>
              <w:pStyle w:val="TableContents"/>
              <w:bidi w:val="0"/>
              <w:spacing w:before="0" w:after="283"/>
              <w:jc w:val="left"/>
              <w:rPr/>
            </w:pPr>
            <w:r>
              <w:rPr/>
              <w:t>New York</w:t>
            </w:r>
          </w:p>
        </w:tc>
      </w:tr>
      <w:tr>
        <w:trPr/>
        <w:tc>
          <w:tcPr>
            <w:tcW w:w="5530"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14" w:type="dxa"/>
            <w:tcBorders/>
          </w:tcPr>
          <w:p>
            <w:pPr>
              <w:pStyle w:val="TableContents"/>
              <w:bidi w:val="0"/>
              <w:spacing w:before="0" w:after="283"/>
              <w:jc w:val="left"/>
              <w:rPr/>
            </w:pPr>
            <w:r>
              <w:rPr/>
              <w:t>Brussels</w:t>
            </w:r>
          </w:p>
        </w:tc>
        <w:tc>
          <w:tcPr>
            <w:tcW w:w="175" w:type="dxa"/>
            <w:tcBorders/>
            <w:vAlign w:val="bottom"/>
          </w:tcPr>
          <w:p>
            <w:pPr>
              <w:pStyle w:val="TableContents"/>
              <w:bidi w:val="0"/>
              <w:spacing w:before="0" w:after="283"/>
              <w:jc w:val="left"/>
              <w:rPr/>
            </w:pPr>
            <w:r>
              <w:rPr/>
              <w:t>  </w:t>
            </w:r>
          </w:p>
        </w:tc>
        <w:tc>
          <w:tcPr>
            <w:tcW w:w="2700" w:type="dxa"/>
            <w:tcBorders/>
          </w:tcPr>
          <w:p>
            <w:pPr>
              <w:pStyle w:val="TableContents"/>
              <w:bidi w:val="0"/>
              <w:spacing w:before="0" w:after="283"/>
              <w:jc w:val="left"/>
              <w:rPr/>
            </w:pPr>
            <w:r>
              <w:rPr/>
              <w:t>Orange County</w:t>
            </w:r>
          </w:p>
        </w:tc>
      </w:tr>
      <w:tr>
        <w:trPr/>
        <w:tc>
          <w:tcPr>
            <w:tcW w:w="5530"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14" w:type="dxa"/>
            <w:tcBorders/>
          </w:tcPr>
          <w:p>
            <w:pPr>
              <w:pStyle w:val="TableContents"/>
              <w:bidi w:val="0"/>
              <w:spacing w:before="0" w:after="283"/>
              <w:jc w:val="left"/>
              <w:rPr/>
            </w:pPr>
            <w:r>
              <w:rPr/>
              <w:t>Chicago</w:t>
            </w:r>
          </w:p>
        </w:tc>
        <w:tc>
          <w:tcPr>
            <w:tcW w:w="175" w:type="dxa"/>
            <w:tcBorders/>
            <w:vAlign w:val="bottom"/>
          </w:tcPr>
          <w:p>
            <w:pPr>
              <w:pStyle w:val="TableContents"/>
              <w:bidi w:val="0"/>
              <w:spacing w:before="0" w:after="283"/>
              <w:jc w:val="left"/>
              <w:rPr/>
            </w:pPr>
            <w:r>
              <w:rPr/>
              <w:t>  </w:t>
            </w:r>
          </w:p>
        </w:tc>
        <w:tc>
          <w:tcPr>
            <w:tcW w:w="2700" w:type="dxa"/>
            <w:tcBorders/>
          </w:tcPr>
          <w:p>
            <w:pPr>
              <w:pStyle w:val="TableContents"/>
              <w:bidi w:val="0"/>
              <w:spacing w:before="0" w:after="283"/>
              <w:jc w:val="left"/>
              <w:rPr/>
            </w:pPr>
            <w:r>
              <w:rPr/>
              <w:t>Paris</w:t>
            </w:r>
          </w:p>
        </w:tc>
      </w:tr>
      <w:tr>
        <w:trPr/>
        <w:tc>
          <w:tcPr>
            <w:tcW w:w="5530"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14" w:type="dxa"/>
            <w:tcBorders/>
          </w:tcPr>
          <w:p>
            <w:pPr>
              <w:pStyle w:val="TableContents"/>
              <w:bidi w:val="0"/>
              <w:spacing w:before="0" w:after="283"/>
              <w:jc w:val="left"/>
              <w:rPr/>
            </w:pPr>
            <w:r>
              <w:rPr/>
              <w:t>Dubai</w:t>
            </w:r>
          </w:p>
        </w:tc>
        <w:tc>
          <w:tcPr>
            <w:tcW w:w="175" w:type="dxa"/>
            <w:tcBorders/>
            <w:vAlign w:val="bottom"/>
          </w:tcPr>
          <w:p>
            <w:pPr>
              <w:pStyle w:val="TableContents"/>
              <w:bidi w:val="0"/>
              <w:spacing w:before="0" w:after="283"/>
              <w:jc w:val="left"/>
              <w:rPr/>
            </w:pPr>
            <w:r>
              <w:rPr/>
              <w:t>  </w:t>
            </w:r>
          </w:p>
        </w:tc>
        <w:tc>
          <w:tcPr>
            <w:tcW w:w="2700" w:type="dxa"/>
            <w:tcBorders/>
          </w:tcPr>
          <w:p>
            <w:pPr>
              <w:pStyle w:val="TableContents"/>
              <w:bidi w:val="0"/>
              <w:spacing w:before="0" w:after="283"/>
              <w:jc w:val="left"/>
              <w:rPr/>
            </w:pPr>
            <w:r>
              <w:rPr/>
              <w:t>Riyadh</w:t>
            </w:r>
          </w:p>
        </w:tc>
      </w:tr>
      <w:tr>
        <w:trPr/>
        <w:tc>
          <w:tcPr>
            <w:tcW w:w="5530" w:type="dxa"/>
            <w:tcBorders/>
          </w:tcPr>
          <w:p>
            <w:pPr>
              <w:pStyle w:val="TableContents"/>
              <w:bidi w:val="0"/>
              <w:spacing w:before="0" w:after="283"/>
              <w:jc w:val="left"/>
              <w:rPr/>
            </w:pPr>
            <w:r>
              <w:rPr/>
              <w:t>August 11, 2026</w:t>
            </w:r>
          </w:p>
        </w:tc>
        <w:tc>
          <w:tcPr>
            <w:tcW w:w="86" w:type="dxa"/>
            <w:tcBorders/>
            <w:vAlign w:val="bottom"/>
          </w:tcPr>
          <w:p>
            <w:pPr>
              <w:pStyle w:val="TableContents"/>
              <w:bidi w:val="0"/>
              <w:spacing w:before="0" w:after="283"/>
              <w:jc w:val="left"/>
              <w:rPr/>
            </w:pPr>
            <w:r>
              <w:rPr/>
              <w:t> </w:t>
            </w:r>
          </w:p>
        </w:tc>
        <w:tc>
          <w:tcPr>
            <w:tcW w:w="1714" w:type="dxa"/>
            <w:tcBorders/>
          </w:tcPr>
          <w:p>
            <w:pPr>
              <w:pStyle w:val="TableContents"/>
              <w:bidi w:val="0"/>
              <w:spacing w:before="0" w:after="283"/>
              <w:jc w:val="left"/>
              <w:rPr/>
            </w:pPr>
            <w:r>
              <w:rPr/>
              <w:t>Düsseldorf</w:t>
            </w:r>
          </w:p>
        </w:tc>
        <w:tc>
          <w:tcPr>
            <w:tcW w:w="175" w:type="dxa"/>
            <w:tcBorders/>
            <w:vAlign w:val="bottom"/>
          </w:tcPr>
          <w:p>
            <w:pPr>
              <w:pStyle w:val="TableContents"/>
              <w:bidi w:val="0"/>
              <w:spacing w:before="0" w:after="283"/>
              <w:jc w:val="left"/>
              <w:rPr/>
            </w:pPr>
            <w:r>
              <w:rPr/>
              <w:t>  </w:t>
            </w:r>
          </w:p>
        </w:tc>
        <w:tc>
          <w:tcPr>
            <w:tcW w:w="2700" w:type="dxa"/>
            <w:tcBorders/>
          </w:tcPr>
          <w:p>
            <w:pPr>
              <w:pStyle w:val="TableContents"/>
              <w:bidi w:val="0"/>
              <w:spacing w:before="0" w:after="283"/>
              <w:jc w:val="left"/>
              <w:rPr/>
            </w:pPr>
            <w:r>
              <w:rPr/>
              <w:t>San Diego</w:t>
            </w:r>
          </w:p>
        </w:tc>
      </w:tr>
      <w:tr>
        <w:trPr/>
        <w:tc>
          <w:tcPr>
            <w:tcW w:w="5530"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14" w:type="dxa"/>
            <w:tcBorders/>
          </w:tcPr>
          <w:p>
            <w:pPr>
              <w:pStyle w:val="TableContents"/>
              <w:bidi w:val="0"/>
              <w:spacing w:before="0" w:after="283"/>
              <w:jc w:val="left"/>
              <w:rPr/>
            </w:pPr>
            <w:r>
              <w:rPr/>
              <w:t>Frankfurt</w:t>
            </w:r>
          </w:p>
        </w:tc>
        <w:tc>
          <w:tcPr>
            <w:tcW w:w="175" w:type="dxa"/>
            <w:tcBorders/>
            <w:vAlign w:val="bottom"/>
          </w:tcPr>
          <w:p>
            <w:pPr>
              <w:pStyle w:val="TableContents"/>
              <w:bidi w:val="0"/>
              <w:spacing w:before="0" w:after="283"/>
              <w:jc w:val="left"/>
              <w:rPr/>
            </w:pPr>
            <w:r>
              <w:rPr/>
              <w:t>  </w:t>
            </w:r>
          </w:p>
        </w:tc>
        <w:tc>
          <w:tcPr>
            <w:tcW w:w="2700" w:type="dxa"/>
            <w:tcBorders/>
          </w:tcPr>
          <w:p>
            <w:pPr>
              <w:pStyle w:val="TableContents"/>
              <w:bidi w:val="0"/>
              <w:spacing w:before="0" w:after="283"/>
              <w:jc w:val="left"/>
              <w:rPr/>
            </w:pPr>
            <w:r>
              <w:rPr/>
              <w:t>San Francisco</w:t>
            </w:r>
          </w:p>
        </w:tc>
      </w:tr>
      <w:tr>
        <w:trPr/>
        <w:tc>
          <w:tcPr>
            <w:tcW w:w="5530"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14" w:type="dxa"/>
            <w:tcBorders/>
          </w:tcPr>
          <w:p>
            <w:pPr>
              <w:pStyle w:val="TableContents"/>
              <w:bidi w:val="0"/>
              <w:spacing w:before="0" w:after="283"/>
              <w:jc w:val="left"/>
              <w:rPr/>
            </w:pPr>
            <w:r>
              <w:rPr/>
              <w:t>Hamburg</w:t>
            </w:r>
          </w:p>
        </w:tc>
        <w:tc>
          <w:tcPr>
            <w:tcW w:w="175" w:type="dxa"/>
            <w:tcBorders/>
            <w:vAlign w:val="bottom"/>
          </w:tcPr>
          <w:p>
            <w:pPr>
              <w:pStyle w:val="TableContents"/>
              <w:bidi w:val="0"/>
              <w:spacing w:before="0" w:after="283"/>
              <w:jc w:val="left"/>
              <w:rPr/>
            </w:pPr>
            <w:r>
              <w:rPr/>
              <w:t>  </w:t>
            </w:r>
          </w:p>
        </w:tc>
        <w:tc>
          <w:tcPr>
            <w:tcW w:w="2700" w:type="dxa"/>
            <w:tcBorders/>
          </w:tcPr>
          <w:p>
            <w:pPr>
              <w:pStyle w:val="TableContents"/>
              <w:bidi w:val="0"/>
              <w:spacing w:before="0" w:after="283"/>
              <w:jc w:val="left"/>
              <w:rPr/>
            </w:pPr>
            <w:r>
              <w:rPr/>
              <w:t>Seoul</w:t>
            </w:r>
          </w:p>
        </w:tc>
      </w:tr>
      <w:tr>
        <w:trPr/>
        <w:tc>
          <w:tcPr>
            <w:tcW w:w="5530"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14" w:type="dxa"/>
            <w:tcBorders/>
          </w:tcPr>
          <w:p>
            <w:pPr>
              <w:pStyle w:val="TableContents"/>
              <w:bidi w:val="0"/>
              <w:spacing w:before="0" w:after="283"/>
              <w:jc w:val="left"/>
              <w:rPr/>
            </w:pPr>
            <w:r>
              <w:rPr/>
              <w:t>Hong Kong</w:t>
            </w:r>
          </w:p>
        </w:tc>
        <w:tc>
          <w:tcPr>
            <w:tcW w:w="175" w:type="dxa"/>
            <w:tcBorders/>
            <w:vAlign w:val="bottom"/>
          </w:tcPr>
          <w:p>
            <w:pPr>
              <w:pStyle w:val="TableContents"/>
              <w:bidi w:val="0"/>
              <w:spacing w:before="0" w:after="283"/>
              <w:jc w:val="left"/>
              <w:rPr/>
            </w:pPr>
            <w:r>
              <w:rPr/>
              <w:t>  </w:t>
            </w:r>
          </w:p>
        </w:tc>
        <w:tc>
          <w:tcPr>
            <w:tcW w:w="2700" w:type="dxa"/>
            <w:tcBorders/>
          </w:tcPr>
          <w:p>
            <w:pPr>
              <w:pStyle w:val="TableContents"/>
              <w:bidi w:val="0"/>
              <w:spacing w:before="0" w:after="283"/>
              <w:jc w:val="left"/>
              <w:rPr/>
            </w:pPr>
            <w:r>
              <w:rPr/>
              <w:t>Silicon Valley</w:t>
            </w:r>
          </w:p>
        </w:tc>
      </w:tr>
      <w:tr>
        <w:trPr/>
        <w:tc>
          <w:tcPr>
            <w:tcW w:w="5530"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14" w:type="dxa"/>
            <w:tcBorders/>
          </w:tcPr>
          <w:p>
            <w:pPr>
              <w:pStyle w:val="TableContents"/>
              <w:bidi w:val="0"/>
              <w:spacing w:before="0" w:after="283"/>
              <w:jc w:val="left"/>
              <w:rPr/>
            </w:pPr>
            <w:r>
              <w:rPr/>
              <w:t>Houston</w:t>
            </w:r>
          </w:p>
        </w:tc>
        <w:tc>
          <w:tcPr>
            <w:tcW w:w="175" w:type="dxa"/>
            <w:tcBorders/>
            <w:vAlign w:val="bottom"/>
          </w:tcPr>
          <w:p>
            <w:pPr>
              <w:pStyle w:val="TableContents"/>
              <w:bidi w:val="0"/>
              <w:spacing w:before="0" w:after="283"/>
              <w:jc w:val="left"/>
              <w:rPr/>
            </w:pPr>
            <w:r>
              <w:rPr/>
              <w:t>  </w:t>
            </w:r>
          </w:p>
        </w:tc>
        <w:tc>
          <w:tcPr>
            <w:tcW w:w="2700" w:type="dxa"/>
            <w:tcBorders/>
          </w:tcPr>
          <w:p>
            <w:pPr>
              <w:pStyle w:val="TableContents"/>
              <w:bidi w:val="0"/>
              <w:spacing w:before="0" w:after="283"/>
              <w:jc w:val="left"/>
              <w:rPr/>
            </w:pPr>
            <w:r>
              <w:rPr/>
              <w:t>Singapore</w:t>
            </w:r>
          </w:p>
        </w:tc>
      </w:tr>
      <w:tr>
        <w:trPr/>
        <w:tc>
          <w:tcPr>
            <w:tcW w:w="5530"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14" w:type="dxa"/>
            <w:tcBorders/>
          </w:tcPr>
          <w:p>
            <w:pPr>
              <w:pStyle w:val="TableContents"/>
              <w:bidi w:val="0"/>
              <w:spacing w:before="0" w:after="283"/>
              <w:jc w:val="left"/>
              <w:rPr/>
            </w:pPr>
            <w:r>
              <w:rPr/>
              <w:t>London</w:t>
            </w:r>
          </w:p>
        </w:tc>
        <w:tc>
          <w:tcPr>
            <w:tcW w:w="175" w:type="dxa"/>
            <w:tcBorders/>
            <w:vAlign w:val="bottom"/>
          </w:tcPr>
          <w:p>
            <w:pPr>
              <w:pStyle w:val="TableContents"/>
              <w:bidi w:val="0"/>
              <w:spacing w:before="0" w:after="283"/>
              <w:jc w:val="left"/>
              <w:rPr/>
            </w:pPr>
            <w:r>
              <w:rPr/>
              <w:t>  </w:t>
            </w:r>
          </w:p>
        </w:tc>
        <w:tc>
          <w:tcPr>
            <w:tcW w:w="2700" w:type="dxa"/>
            <w:tcBorders/>
          </w:tcPr>
          <w:p>
            <w:pPr>
              <w:pStyle w:val="TableContents"/>
              <w:bidi w:val="0"/>
              <w:spacing w:before="0" w:after="283"/>
              <w:jc w:val="left"/>
              <w:rPr/>
            </w:pPr>
            <w:r>
              <w:rPr/>
              <w:t>Tel Aviv</w:t>
            </w:r>
          </w:p>
        </w:tc>
      </w:tr>
      <w:tr>
        <w:trPr/>
        <w:tc>
          <w:tcPr>
            <w:tcW w:w="5530"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14" w:type="dxa"/>
            <w:tcBorders/>
          </w:tcPr>
          <w:p>
            <w:pPr>
              <w:pStyle w:val="TableContents"/>
              <w:bidi w:val="0"/>
              <w:spacing w:before="0" w:after="283"/>
              <w:jc w:val="left"/>
              <w:rPr/>
            </w:pPr>
            <w:r>
              <w:rPr/>
              <w:t>Los Angeles</w:t>
            </w:r>
          </w:p>
        </w:tc>
        <w:tc>
          <w:tcPr>
            <w:tcW w:w="175" w:type="dxa"/>
            <w:tcBorders/>
            <w:vAlign w:val="bottom"/>
          </w:tcPr>
          <w:p>
            <w:pPr>
              <w:pStyle w:val="TableContents"/>
              <w:bidi w:val="0"/>
              <w:spacing w:before="0" w:after="283"/>
              <w:jc w:val="left"/>
              <w:rPr/>
            </w:pPr>
            <w:r>
              <w:rPr/>
              <w:t>  </w:t>
            </w:r>
          </w:p>
        </w:tc>
        <w:tc>
          <w:tcPr>
            <w:tcW w:w="2700" w:type="dxa"/>
            <w:tcBorders/>
          </w:tcPr>
          <w:p>
            <w:pPr>
              <w:pStyle w:val="TableContents"/>
              <w:bidi w:val="0"/>
              <w:spacing w:before="0" w:after="283"/>
              <w:jc w:val="left"/>
              <w:rPr/>
            </w:pPr>
            <w:r>
              <w:rPr/>
              <w:t>Tokyo</w:t>
            </w:r>
          </w:p>
        </w:tc>
      </w:tr>
      <w:tr>
        <w:trPr/>
        <w:tc>
          <w:tcPr>
            <w:tcW w:w="5530"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14" w:type="dxa"/>
            <w:tcBorders/>
          </w:tcPr>
          <w:p>
            <w:pPr>
              <w:pStyle w:val="TableContents"/>
              <w:bidi w:val="0"/>
              <w:spacing w:before="0" w:after="283"/>
              <w:jc w:val="left"/>
              <w:rPr/>
            </w:pPr>
            <w:r>
              <w:rPr/>
              <w:t>Madrid</w:t>
            </w:r>
          </w:p>
        </w:tc>
        <w:tc>
          <w:tcPr>
            <w:tcW w:w="175" w:type="dxa"/>
            <w:tcBorders/>
            <w:vAlign w:val="bottom"/>
          </w:tcPr>
          <w:p>
            <w:pPr>
              <w:pStyle w:val="TableContents"/>
              <w:bidi w:val="0"/>
              <w:spacing w:before="0" w:after="283"/>
              <w:jc w:val="left"/>
              <w:rPr/>
            </w:pPr>
            <w:r>
              <w:rPr/>
              <w:t>  </w:t>
            </w:r>
          </w:p>
        </w:tc>
        <w:tc>
          <w:tcPr>
            <w:tcW w:w="2700" w:type="dxa"/>
            <w:tcBorders/>
          </w:tcPr>
          <w:p>
            <w:pPr>
              <w:pStyle w:val="TableContents"/>
              <w:bidi w:val="0"/>
              <w:spacing w:before="0" w:after="283"/>
              <w:jc w:val="left"/>
              <w:rPr/>
            </w:pPr>
            <w:r>
              <w:rPr/>
              <w:t>Washington, D.C.</w:t>
            </w:r>
          </w:p>
        </w:tc>
      </w:tr>
    </w:tbl>
    <w:p>
      <w:pPr>
        <w:pStyle w:val="TextBody"/>
        <w:bidi w:val="0"/>
        <w:spacing w:before="240" w:after="0"/>
        <w:jc w:val="left"/>
        <w:rPr>
          <w:rFonts w:ascii="Times New Roman" w:hAnsi="Times New Roman"/>
          <w:sz w:val="20"/>
        </w:rPr>
      </w:pPr>
      <w:r>
        <w:rPr>
          <w:rFonts w:ascii="Times New Roman" w:hAnsi="Times New Roman"/>
          <w:sz w:val="20"/>
        </w:rPr>
        <w:t xml:space="preserve">Erasca, Inc. </w:t>
      </w:r>
    </w:p>
    <w:p>
      <w:pPr>
        <w:pStyle w:val="TextBody"/>
        <w:bidi w:val="0"/>
        <w:spacing w:before="0" w:after="0"/>
        <w:jc w:val="left"/>
        <w:rPr>
          <w:rFonts w:ascii="Times New Roman" w:hAnsi="Times New Roman"/>
          <w:sz w:val="20"/>
        </w:rPr>
      </w:pPr>
      <w:r>
        <w:rPr>
          <w:rFonts w:ascii="Times New Roman" w:hAnsi="Times New Roman"/>
          <w:sz w:val="20"/>
        </w:rPr>
        <w:t xml:space="preserve">3115 Merryfield Row, Suite 300 </w:t>
      </w:r>
    </w:p>
    <w:p>
      <w:pPr>
        <w:pStyle w:val="TextBody"/>
        <w:bidi w:val="0"/>
        <w:spacing w:before="0" w:after="0"/>
        <w:jc w:val="left"/>
        <w:rPr>
          <w:rFonts w:ascii="Times New Roman" w:hAnsi="Times New Roman"/>
          <w:sz w:val="20"/>
        </w:rPr>
      </w:pPr>
      <w:r>
        <w:rPr>
          <w:rFonts w:ascii="Times New Roman" w:hAnsi="Times New Roman"/>
          <w:sz w:val="20"/>
        </w:rPr>
        <w:t xml:space="preserve">San Diego, CA 92121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on Form S-8; 6,200,000 Shares of Common Stock, par value $0.0001 per share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addressees set forth above: </w:t>
      </w:r>
    </w:p>
    <w:p>
      <w:pPr>
        <w:pStyle w:val="TextBody"/>
        <w:bidi w:val="0"/>
        <w:spacing w:before="120" w:after="0"/>
        <w:jc w:val="left"/>
        <w:rPr>
          <w:rFonts w:ascii="Times New Roman" w:hAnsi="Times New Roman"/>
          <w:sz w:val="20"/>
        </w:rPr>
      </w:pPr>
      <w:r>
        <w:rPr>
          <w:rFonts w:ascii="Times New Roman" w:hAnsi="Times New Roman"/>
          <w:sz w:val="20"/>
        </w:rPr>
        <w:t>We have acted as special counsel to Erasca, Inc., a Delaware corporation (the “</w:t>
      </w:r>
      <w:r>
        <w:rPr>
          <w:rFonts w:ascii="Times New Roman" w:hAnsi="Times New Roman"/>
          <w:b/>
          <w:i/>
          <w:sz w:val="20"/>
        </w:rPr>
        <w:t>Company</w:t>
      </w:r>
      <w:r>
        <w:rPr>
          <w:rFonts w:ascii="Times New Roman" w:hAnsi="Times New Roman"/>
          <w:sz w:val="20"/>
        </w:rPr>
        <w:t>”), in connection with the proposed issuance of an aggregate of 6,200,000 shares of common stock, $0.0001 par value per share (the “</w:t>
      </w:r>
      <w:r>
        <w:rPr>
          <w:rFonts w:ascii="Times New Roman" w:hAnsi="Times New Roman"/>
          <w:b/>
          <w:i/>
          <w:sz w:val="20"/>
        </w:rPr>
        <w:t>Shares</w:t>
      </w:r>
      <w:r>
        <w:rPr>
          <w:rFonts w:ascii="Times New Roman" w:hAnsi="Times New Roman"/>
          <w:sz w:val="20"/>
        </w:rPr>
        <w:t>”), of the Company, pursuant to the Company’s 2026 Employment Inducement Incentive Award Plan (the “</w:t>
      </w:r>
      <w:r>
        <w:rPr>
          <w:rFonts w:ascii="Times New Roman" w:hAnsi="Times New Roman"/>
          <w:b/>
          <w:i/>
          <w:sz w:val="20"/>
        </w:rPr>
        <w:t>Plan</w:t>
      </w:r>
      <w:r>
        <w:rPr>
          <w:rFonts w:ascii="Times New Roman" w:hAnsi="Times New Roman"/>
          <w:sz w:val="20"/>
        </w:rPr>
        <w:t>”). The Shares are included in a Registration Statement on Form S-8 under the Securities Act of 1933, as amended (the “</w:t>
      </w:r>
      <w:r>
        <w:rPr>
          <w:rFonts w:ascii="Times New Roman" w:hAnsi="Times New Roman"/>
          <w:b/>
          <w:i/>
          <w:sz w:val="20"/>
        </w:rPr>
        <w:t>Act</w:t>
      </w:r>
      <w:r>
        <w:rPr>
          <w:rFonts w:ascii="Times New Roman" w:hAnsi="Times New Roman"/>
          <w:sz w:val="20"/>
        </w:rPr>
        <w:t>”), filed with the Securities and Exchange Commission (the “</w:t>
      </w:r>
      <w:r>
        <w:rPr>
          <w:rFonts w:ascii="Times New Roman" w:hAnsi="Times New Roman"/>
          <w:b/>
          <w:i/>
          <w:sz w:val="20"/>
        </w:rPr>
        <w:t>Commission</w:t>
      </w:r>
      <w:r>
        <w:rPr>
          <w:rFonts w:ascii="Times New Roman" w:hAnsi="Times New Roman"/>
          <w:sz w:val="20"/>
        </w:rPr>
        <w:t>”) on August 11, 2026 (the “</w:t>
      </w:r>
      <w:r>
        <w:rPr>
          <w:rFonts w:ascii="Times New Roman" w:hAnsi="Times New Roman"/>
          <w:b/>
          <w:i/>
          <w:sz w:val="20"/>
        </w:rPr>
        <w:t>Registration Statement</w:t>
      </w:r>
      <w:r>
        <w:rPr>
          <w:rFonts w:ascii="Times New Roman" w:hAnsi="Times New Roman"/>
          <w:sz w:val="20"/>
        </w:rPr>
        <w:t xml:space="preserve">”). This opinion is being furnished in connection with the requirements of Item 601(b)(5) of Regulation S-K under the Act, and no opinion is expressed herein as to any matter pertaining to the contents of the Registration Statement, other than as expressly stated herein with respect to the issue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 </w:t>
      </w:r>
    </w:p>
    <w:p>
      <w:pPr>
        <w:pStyle w:val="TextBody"/>
        <w:bidi w:val="0"/>
        <w:spacing w:before="240" w:after="0"/>
        <w:jc w:val="left"/>
        <w:rPr>
          <w:rFonts w:ascii="Times New Roman" w:hAnsi="Times New Roman"/>
          <w:sz w:val="20"/>
        </w:rPr>
      </w:pPr>
      <w:r>
        <w:rPr>
          <w:rFonts w:ascii="Times New Roman" w:hAnsi="Times New Roman"/>
          <w:sz w:val="20"/>
        </w:rPr>
        <w:t xml:space="preserve">In our examination, we have assumed the genuineness of all signatures, the authenticity of all documents submitted to us as originals and the conformity to authentic original documents of all documents submitted to us as copies.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as of the date hereof, when the Shares have been duly registered on the books of the transfer agent and registrar therefor in the name or on behalf of the recipients, or certificates representing the Shares (in the form of the specimen certificate filed as an exhibit to the Company’s Registration Statement on Form S-1) have been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August 11, 2026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p>
      <w:pPr>
        <w:pStyle w:val="TextBody"/>
        <w:bidi w:val="0"/>
        <w:spacing w:before="0" w:after="0"/>
        <w:jc w:val="left"/>
        <w:rPr/>
      </w:pPr>
      <w:r>
        <w:rPr/>
        <w:drawing>
          <wp:inline distT="0" distB="0" distL="0" distR="0">
            <wp:extent cx="1628775" cy="200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0"/>
                    <a:stretch>
                      <a:fillRect/>
                    </a:stretch>
                  </pic:blipFill>
                  <pic:spPr bwMode="auto">
                    <a:xfrm>
                      <a:off x="0" y="0"/>
                      <a:ext cx="1628775" cy="2000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manually signed by an authorized officer of the transfer agent and registrar therefor, and subject to the Company completing all actions and proceedings required on its part to be taken prior to the issuance of the Shares, and when the Shares have been issued by the Company in the circumstances contemplated by the Plan for legal consideration in excess of par value, the issuance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Sincerely,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 Latham &amp; Watkins LLP</w:t>
            </w:r>
          </w:p>
        </w:tc>
      </w:tr>
    </w:tbl>
    <w:p>
      <w:pPr>
        <w:pStyle w:val="TextBody"/>
        <w:bidi w:val="0"/>
        <w:spacing w:before="0" w:after="0"/>
        <w:jc w:val="right"/>
        <w:rPr>
          <w:rFonts w:ascii="Times New Roman" w:hAnsi="Times New Roman"/>
          <w:b/>
          <w:sz w:val="20"/>
        </w:rPr>
      </w:pPr>
      <w:bookmarkStart w:id="5" w:name="d154998dex101.htm"/>
      <w:bookmarkStart w:id="6" w:name="ksd154998dex101"/>
      <w:bookmarkEnd w:id="5"/>
      <w:bookmarkEnd w:id="6"/>
      <w:r>
        <w:rPr>
          <w:rFonts w:ascii="Times New Roman" w:hAnsi="Times New Roman"/>
          <w:b/>
          <w:sz w:val="20"/>
        </w:rPr>
        <w:t xml:space="preserve">Exhibit 10.1 </w:t>
      </w:r>
      <w:r>
        <w:br w:type="page"/>
      </w:r>
    </w:p>
    <w:p>
      <w:pPr>
        <w:pStyle w:val="TextBody"/>
        <w:bidi w:val="0"/>
        <w:spacing w:before="0" w:after="0"/>
        <w:jc w:val="left"/>
        <w:rPr/>
      </w:pPr>
      <w:r>
        <w:rPr/>
        <w:t>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ERASCA, INC.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2026 EMPLOYMENT INDUCEMENT INCENTIVE AWARD PLAN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PURPOSE </w:t>
      </w:r>
    </w:p>
    <w:p>
      <w:pPr>
        <w:pStyle w:val="TextBody"/>
        <w:bidi w:val="0"/>
        <w:spacing w:before="240" w:after="0"/>
        <w:jc w:val="left"/>
        <w:rPr>
          <w:rFonts w:ascii="Times New Roman" w:hAnsi="Times New Roman"/>
          <w:sz w:val="20"/>
        </w:rPr>
      </w:pPr>
      <w:r>
        <w:rPr>
          <w:rFonts w:ascii="Times New Roman" w:hAnsi="Times New Roman"/>
          <w:sz w:val="20"/>
        </w:rPr>
        <w:t xml:space="preserve">The Plan’s purpose is to enhance the Company’s ability to attract, retain and motivate Eligible Persons who are expected to make important contributions to the Company by providing these individuals with equity ownership opportunities and/or equity-linked compensatory opportunities. Capitalized terms used in the Plan are defined in Article XI.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ELIGIBILITY </w:t>
      </w:r>
    </w:p>
    <w:p>
      <w:pPr>
        <w:pStyle w:val="TextBody"/>
        <w:bidi w:val="0"/>
        <w:spacing w:before="240" w:after="0"/>
        <w:jc w:val="left"/>
        <w:rPr>
          <w:rFonts w:ascii="Times New Roman" w:hAnsi="Times New Roman"/>
          <w:sz w:val="20"/>
        </w:rPr>
      </w:pPr>
      <w:r>
        <w:rPr>
          <w:rFonts w:ascii="Times New Roman" w:hAnsi="Times New Roman"/>
          <w:sz w:val="20"/>
        </w:rPr>
        <w:t xml:space="preserve">Eligible Persons are eligible to be granted Awards under the Plan, subject to the limitations described herein.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ADMINISTRATION AND DELEGATION </w:t>
      </w:r>
    </w:p>
    <w:p>
      <w:pPr>
        <w:pStyle w:val="TextBody"/>
        <w:bidi w:val="0"/>
        <w:spacing w:before="240" w:after="0"/>
        <w:jc w:val="left"/>
        <w:rPr>
          <w:rFonts w:ascii="Times New Roman" w:hAnsi="Times New Roman"/>
          <w:sz w:val="20"/>
        </w:rPr>
      </w:pPr>
      <w:r>
        <w:rPr>
          <w:rFonts w:ascii="Times New Roman" w:hAnsi="Times New Roman"/>
          <w:sz w:val="20"/>
        </w:rPr>
        <w:t>3.1 </w:t>
      </w:r>
      <w:r>
        <w:rPr>
          <w:rFonts w:ascii="Times New Roman" w:hAnsi="Times New Roman"/>
          <w:sz w:val="20"/>
          <w:u w:val="single"/>
        </w:rPr>
        <w:t>Administration</w:t>
      </w:r>
      <w:r>
        <w:rPr>
          <w:rFonts w:ascii="Times New Roman" w:hAnsi="Times New Roman"/>
          <w:sz w:val="20"/>
        </w:rPr>
        <w:t xml:space="preserve">. The Plan is administered by the Committee. The Administrator has authority to determine which Eligible Persons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 The Board may abolish the Committee or re-vest in itself any previously delegated authority at any time, provided, however, that any action taken by the Board in connection with the administration of the Plan shall not be deemed approved by the Board unless such actions are approved by a majority of the Independent Directors. </w:t>
      </w:r>
    </w:p>
    <w:p>
      <w:pPr>
        <w:pStyle w:val="TextBody"/>
        <w:bidi w:val="0"/>
        <w:spacing w:before="240" w:after="0"/>
        <w:jc w:val="left"/>
        <w:rPr>
          <w:rFonts w:ascii="Times New Roman" w:hAnsi="Times New Roman"/>
          <w:sz w:val="20"/>
        </w:rPr>
      </w:pPr>
      <w:r>
        <w:rPr>
          <w:rFonts w:ascii="Times New Roman" w:hAnsi="Times New Roman"/>
          <w:sz w:val="20"/>
        </w:rPr>
        <w:t>3.2 </w:t>
      </w:r>
      <w:r>
        <w:rPr>
          <w:rFonts w:ascii="Times New Roman" w:hAnsi="Times New Roman"/>
          <w:sz w:val="20"/>
          <w:u w:val="single"/>
        </w:rPr>
        <w:t>Actions Required Upon Grant of Award</w:t>
      </w:r>
      <w:r>
        <w:rPr>
          <w:rFonts w:ascii="Times New Roman" w:hAnsi="Times New Roman"/>
          <w:sz w:val="20"/>
        </w:rPr>
        <w:t xml:space="preserve">. Following the issuance of any Award under the Plan, the Company shall, in accordance with the listing requirements of the applicable securities exchange, (a) promptly issue a press release disclosing the material terms of the grant, including the recipient(s) of the grant and the number of shares involved (and if the disclosure relates to an award to only one person, or to executive officers, or the award was individually negotiated, then the disclosure must include the identity of the recipient), and (b) notify the applicable securities exchange of such grant no later than the earlier to occur of (i) five calendar days after entering into the agreement to issue the Award or (ii) the date of the public announcement of the Award.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STOCK AVAILABLE FOR AWARDS </w:t>
      </w:r>
    </w:p>
    <w:p>
      <w:pPr>
        <w:pStyle w:val="TextBody"/>
        <w:bidi w:val="0"/>
        <w:spacing w:before="240" w:after="0"/>
        <w:jc w:val="left"/>
        <w:rPr>
          <w:rFonts w:ascii="Times New Roman" w:hAnsi="Times New Roman"/>
          <w:sz w:val="20"/>
        </w:rPr>
      </w:pPr>
      <w:r>
        <w:rPr>
          <w:rFonts w:ascii="Times New Roman" w:hAnsi="Times New Roman"/>
          <w:sz w:val="20"/>
        </w:rPr>
        <w:t>4.1 </w:t>
      </w:r>
      <w:r>
        <w:rPr>
          <w:rFonts w:ascii="Times New Roman" w:hAnsi="Times New Roman"/>
          <w:sz w:val="20"/>
          <w:u w:val="single"/>
        </w:rPr>
        <w:t>Number of Shares</w:t>
      </w:r>
      <w:r>
        <w:rPr>
          <w:rFonts w:ascii="Times New Roman" w:hAnsi="Times New Roman"/>
          <w:sz w:val="20"/>
        </w:rPr>
        <w:t xml:space="preserve">. Subject to adjustment under Article VIII and the terms of this Article IV, Awards may be made under the Plan covering up to the Overall Share Limit. Shares issued under the Plan may consist of authorized but unissued Shares or treasury Shares. </w:t>
      </w:r>
    </w:p>
    <w:p>
      <w:pPr>
        <w:pStyle w:val="TextBody"/>
        <w:bidi w:val="0"/>
        <w:spacing w:before="240" w:after="0"/>
        <w:jc w:val="left"/>
        <w:rPr>
          <w:rFonts w:ascii="Times New Roman" w:hAnsi="Times New Roman"/>
          <w:sz w:val="20"/>
        </w:rPr>
      </w:pPr>
      <w:r>
        <w:rPr>
          <w:rFonts w:ascii="Times New Roman" w:hAnsi="Times New Roman"/>
          <w:sz w:val="20"/>
        </w:rPr>
        <w:t>4.2 </w:t>
      </w:r>
      <w:r>
        <w:rPr>
          <w:rFonts w:ascii="Times New Roman" w:hAnsi="Times New Roman"/>
          <w:sz w:val="20"/>
          <w:u w:val="single"/>
        </w:rPr>
        <w:t>Share Recycling</w:t>
      </w:r>
      <w:r>
        <w:rPr>
          <w:rFonts w:ascii="Times New Roman" w:hAnsi="Times New Roman"/>
          <w:sz w:val="20"/>
        </w:rPr>
        <w:t xml:space="preserve">. If all or any part of an Award expires, lapses or is terminated, exchanged for or settled in cash, surrendered, repurchased, canceled without having been fully exercised or forfeited, in any case, in a manner that results in the Company acquiring Shares covered by the Award at a price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greater than the price (as adjusted to reflect any Equity Restructuring) paid by the Participant for such Shares or not issuing any Shares covered by the Award, the unused Shares covered by the Award will, as applicable, become or again be available for Award grants under the Plan. Further, Shares delivered (either by actual delivery or attestation) to the Company by a Participant to satisfy the applicable exercise or purchase price of an Award and/or to satisfy any applicable tax withholding obligation with respect to an Award (including Shares retained by the Company from the Award being exercised or purchased and/or creating the tax obligation) will, as applicable, become or again be available for Award grants under the Plan. The payment of Dividend Equivalents in cash in conjunction with any outstanding Awards shall not count against the Overall Share Limit.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STOCK OPTIONS AND STOCK APPRECIATION RIGHTS </w:t>
      </w:r>
    </w:p>
    <w:p>
      <w:pPr>
        <w:pStyle w:val="TextBody"/>
        <w:bidi w:val="0"/>
        <w:spacing w:before="240" w:after="0"/>
        <w:jc w:val="left"/>
        <w:rPr>
          <w:rFonts w:ascii="Times New Roman" w:hAnsi="Times New Roman"/>
          <w:sz w:val="20"/>
        </w:rPr>
      </w:pPr>
      <w:r>
        <w:rPr>
          <w:rFonts w:ascii="Times New Roman" w:hAnsi="Times New Roman"/>
          <w:sz w:val="20"/>
        </w:rPr>
        <w:t>5.1 </w:t>
      </w:r>
      <w:r>
        <w:rPr>
          <w:rFonts w:ascii="Times New Roman" w:hAnsi="Times New Roman"/>
          <w:sz w:val="20"/>
          <w:u w:val="single"/>
        </w:rPr>
        <w:t>General</w:t>
      </w:r>
      <w:r>
        <w:rPr>
          <w:rFonts w:ascii="Times New Roman" w:hAnsi="Times New Roman"/>
          <w:sz w:val="20"/>
        </w:rPr>
        <w:t xml:space="preserve">. The Administrator may grant Options or Stock Appreciation Rights to Eligible Persons subject to the limitations in the Plan.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 All Options granted under the Plan shall be Non-Qualified Stock Options. </w:t>
      </w:r>
    </w:p>
    <w:p>
      <w:pPr>
        <w:pStyle w:val="TextBody"/>
        <w:bidi w:val="0"/>
        <w:spacing w:before="240" w:after="0"/>
        <w:jc w:val="left"/>
        <w:rPr>
          <w:rFonts w:ascii="Times New Roman" w:hAnsi="Times New Roman"/>
          <w:sz w:val="20"/>
        </w:rPr>
      </w:pPr>
      <w:r>
        <w:rPr>
          <w:rFonts w:ascii="Times New Roman" w:hAnsi="Times New Roman"/>
          <w:sz w:val="20"/>
        </w:rPr>
        <w:t>5.2 </w:t>
      </w:r>
      <w:r>
        <w:rPr>
          <w:rFonts w:ascii="Times New Roman" w:hAnsi="Times New Roman"/>
          <w:sz w:val="20"/>
          <w:u w:val="single"/>
        </w:rPr>
        <w:t>Exercise Price</w:t>
      </w:r>
      <w:r>
        <w:rPr>
          <w:rFonts w:ascii="Times New Roman" w:hAnsi="Times New Roman"/>
          <w:sz w:val="20"/>
        </w:rPr>
        <w:t xml:space="preserve">. The Administrator will establish each Option’s and Stock Appreciation Right’s exercise price and specify the exercise price in the Award Agreement. The exercise price will not be less than 100% of the Fair Market Value on the grant date of the Option or Stock Appreciation Right. </w:t>
      </w:r>
    </w:p>
    <w:p>
      <w:pPr>
        <w:pStyle w:val="TextBody"/>
        <w:bidi w:val="0"/>
        <w:spacing w:before="240" w:after="0"/>
        <w:jc w:val="left"/>
        <w:rPr>
          <w:rFonts w:ascii="Times New Roman" w:hAnsi="Times New Roman"/>
          <w:sz w:val="20"/>
        </w:rPr>
      </w:pPr>
      <w:r>
        <w:rPr>
          <w:rFonts w:ascii="Times New Roman" w:hAnsi="Times New Roman"/>
          <w:sz w:val="20"/>
        </w:rPr>
        <w:t>5.3 </w:t>
      </w:r>
      <w:r>
        <w:rPr>
          <w:rFonts w:ascii="Times New Roman" w:hAnsi="Times New Roman"/>
          <w:sz w:val="20"/>
          <w:u w:val="single"/>
        </w:rPr>
        <w:t>Duration</w:t>
      </w:r>
      <w:r>
        <w:rPr>
          <w:rFonts w:ascii="Times New Roman" w:hAnsi="Times New Roman"/>
          <w:sz w:val="20"/>
        </w:rPr>
        <w:t xml:space="preserve">. Each Option or Stock Appreciation Right will be exercisable at such times and as specified in the Award Agreement, provided that the term of an Option or Stock Appreciation Right will not exceed ten (10) years. Notwithstanding the foregoing and unless determined otherwise by the Company, to the extent permitted under Applicable Laws,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 </w:t>
      </w:r>
    </w:p>
    <w:p>
      <w:pPr>
        <w:pStyle w:val="TextBody"/>
        <w:bidi w:val="0"/>
        <w:spacing w:before="240" w:after="0"/>
        <w:jc w:val="left"/>
        <w:rPr>
          <w:rFonts w:ascii="Times New Roman" w:hAnsi="Times New Roman"/>
          <w:sz w:val="20"/>
        </w:rPr>
      </w:pPr>
      <w:r>
        <w:rPr>
          <w:rFonts w:ascii="Times New Roman" w:hAnsi="Times New Roman"/>
          <w:sz w:val="20"/>
        </w:rPr>
        <w:t>5.4 </w:t>
      </w:r>
      <w:r>
        <w:rPr>
          <w:rFonts w:ascii="Times New Roman" w:hAnsi="Times New Roman"/>
          <w:sz w:val="20"/>
          <w:u w:val="single"/>
        </w:rPr>
        <w:t>Exercise</w:t>
      </w:r>
      <w:r>
        <w:rPr>
          <w:rFonts w:ascii="Times New Roman" w:hAnsi="Times New Roman"/>
          <w:sz w:val="20"/>
        </w:rPr>
        <w:t xml:space="preserve">.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 </w:t>
      </w:r>
    </w:p>
    <w:p>
      <w:pPr>
        <w:pStyle w:val="TextBody"/>
        <w:bidi w:val="0"/>
        <w:spacing w:before="240" w:after="0"/>
        <w:jc w:val="left"/>
        <w:rPr>
          <w:rFonts w:ascii="Times New Roman" w:hAnsi="Times New Roman"/>
          <w:sz w:val="20"/>
        </w:rPr>
      </w:pPr>
      <w:r>
        <w:rPr>
          <w:rFonts w:ascii="Times New Roman" w:hAnsi="Times New Roman"/>
          <w:sz w:val="20"/>
        </w:rPr>
        <w:t>5.5 </w:t>
      </w:r>
      <w:r>
        <w:rPr>
          <w:rFonts w:ascii="Times New Roman" w:hAnsi="Times New Roman"/>
          <w:sz w:val="20"/>
          <w:u w:val="single"/>
        </w:rPr>
        <w:t>Payment Upon Exercise</w:t>
      </w:r>
      <w:r>
        <w:rPr>
          <w:rFonts w:ascii="Times New Roman" w:hAnsi="Times New Roman"/>
          <w:sz w:val="20"/>
        </w:rPr>
        <w:t xml:space="preserve">. Subject to Section 10.8, any Company insider trading policy (including blackout periods) and Applicable Laws, the exercise price of an Option must be paid by: </w:t>
      </w:r>
    </w:p>
    <w:p>
      <w:pPr>
        <w:pStyle w:val="TextBody"/>
        <w:bidi w:val="0"/>
        <w:spacing w:before="240" w:after="0"/>
        <w:jc w:val="left"/>
        <w:rPr>
          <w:rFonts w:ascii="Times New Roman" w:hAnsi="Times New Roman"/>
          <w:sz w:val="20"/>
        </w:rPr>
      </w:pPr>
      <w:r>
        <w:rPr>
          <w:rFonts w:ascii="Times New Roman" w:hAnsi="Times New Roman"/>
          <w:sz w:val="20"/>
        </w:rPr>
        <w:t xml:space="preserve">(a) cash, wire transfer of immediately available funds or by check payable to the order of the Company, provided that the Company may limit the use of one of the foregoing payment forms if one or more of the payment forms below is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there is a public market for Shares at the time of exercise, unless the Company otherwise determines, (A) delivery (including electronically or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permitted by the Administrator, delivery (either by actual delivery or attestation) of Shares owned by the Participant valued at their fair market value; </w:t>
      </w:r>
    </w:p>
    <w:p>
      <w:pPr>
        <w:pStyle w:val="TextBody"/>
        <w:bidi w:val="0"/>
        <w:spacing w:before="240" w:after="0"/>
        <w:jc w:val="left"/>
        <w:rPr>
          <w:rFonts w:ascii="Times New Roman" w:hAnsi="Times New Roman"/>
          <w:sz w:val="20"/>
        </w:rPr>
      </w:pPr>
      <w:r>
        <w:rPr>
          <w:rFonts w:ascii="Times New Roman" w:hAnsi="Times New Roman"/>
          <w:sz w:val="20"/>
        </w:rPr>
        <w:t xml:space="preserve">(d) to the extent permitted by the Administrator, surrendering Shares then issuable upon the Option’s exercise valued at their fair market value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(e) to the extent permitted by the Administrator, delivery of a promissory note or any other property that the Administrator determines is good and valuable consideration; or </w:t>
      </w:r>
    </w:p>
    <w:p>
      <w:pPr>
        <w:pStyle w:val="TextBody"/>
        <w:bidi w:val="0"/>
        <w:spacing w:before="240" w:after="0"/>
        <w:jc w:val="left"/>
        <w:rPr>
          <w:rFonts w:ascii="Times New Roman" w:hAnsi="Times New Roman"/>
          <w:sz w:val="20"/>
        </w:rPr>
      </w:pPr>
      <w:r>
        <w:rPr>
          <w:rFonts w:ascii="Times New Roman" w:hAnsi="Times New Roman"/>
          <w:sz w:val="20"/>
        </w:rPr>
        <w:t xml:space="preserve">(f) to the extent permitted by the Company, any combination of the above payment forms approved by the Administrator.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RESTRICTED STOCK UNITS </w:t>
      </w:r>
    </w:p>
    <w:p>
      <w:pPr>
        <w:pStyle w:val="TextBody"/>
        <w:bidi w:val="0"/>
        <w:spacing w:before="240" w:after="0"/>
        <w:jc w:val="left"/>
        <w:rPr>
          <w:rFonts w:ascii="Times New Roman" w:hAnsi="Times New Roman"/>
          <w:sz w:val="20"/>
        </w:rPr>
      </w:pPr>
      <w:r>
        <w:rPr>
          <w:rFonts w:ascii="Times New Roman" w:hAnsi="Times New Roman"/>
          <w:sz w:val="20"/>
        </w:rPr>
        <w:t>6.1 </w:t>
      </w:r>
      <w:r>
        <w:rPr>
          <w:rFonts w:ascii="Times New Roman" w:hAnsi="Times New Roman"/>
          <w:sz w:val="20"/>
          <w:u w:val="single"/>
        </w:rPr>
        <w:t>General</w:t>
      </w:r>
      <w:r>
        <w:rPr>
          <w:rFonts w:ascii="Times New Roman" w:hAnsi="Times New Roman"/>
          <w:sz w:val="20"/>
        </w:rPr>
        <w:t xml:space="preserve">. The Administrator may grant Restricted Stock, or the right to purchase Restricted Stock, to any Eligible Person,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Eligible Persons Restricted Stock Units, which may be subject to vesting and forfeiture conditions during the applicable restriction period or periods, as set forth in an Award Agreement. </w:t>
      </w:r>
    </w:p>
    <w:p>
      <w:pPr>
        <w:pStyle w:val="TextBody"/>
        <w:bidi w:val="0"/>
        <w:spacing w:before="240" w:after="0"/>
        <w:jc w:val="left"/>
        <w:rPr>
          <w:rFonts w:ascii="Times New Roman" w:hAnsi="Times New Roman"/>
          <w:sz w:val="20"/>
        </w:rPr>
      </w:pPr>
      <w:r>
        <w:rPr>
          <w:rFonts w:ascii="Times New Roman" w:hAnsi="Times New Roman"/>
          <w:sz w:val="20"/>
        </w:rPr>
        <w:t>6.2 </w:t>
      </w:r>
      <w:r>
        <w:rPr>
          <w:rFonts w:ascii="Times New Roman" w:hAnsi="Times New Roman"/>
          <w:sz w:val="20"/>
          <w:u w:val="single"/>
        </w:rPr>
        <w:t>Restricted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Dividends</w:t>
      </w:r>
      <w:r>
        <w:rPr>
          <w:rFonts w:ascii="Times New Roman" w:hAnsi="Times New Roman"/>
          <w:sz w:val="20"/>
        </w:rPr>
        <w:t xml:space="preserve">.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Notwithstanding anything to the contrary herein, unless otherwise determined by the Administrator, with respect to any award of Restricted Stock, dividends which are paid to holders of Common Stock prior to vesting shall only be paid out to a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Stock Certificates</w:t>
      </w:r>
      <w:r>
        <w:rPr>
          <w:rFonts w:ascii="Times New Roman" w:hAnsi="Times New Roman"/>
          <w:sz w:val="20"/>
        </w:rPr>
        <w:t xml:space="preserve">. The Company may require that the Participant deposit in escrow with the Company (or its designee) any stock certificates issued in respect of Shares of Restricted Stock, together with a stock power endorsed in blank. </w:t>
      </w:r>
    </w:p>
    <w:p>
      <w:pPr>
        <w:pStyle w:val="TextBody"/>
        <w:bidi w:val="0"/>
        <w:spacing w:before="240" w:after="0"/>
        <w:jc w:val="left"/>
        <w:rPr>
          <w:rFonts w:ascii="Times New Roman" w:hAnsi="Times New Roman"/>
          <w:sz w:val="20"/>
        </w:rPr>
      </w:pPr>
      <w:r>
        <w:rPr>
          <w:rFonts w:ascii="Times New Roman" w:hAnsi="Times New Roman"/>
          <w:sz w:val="20"/>
        </w:rPr>
        <w:t>6.3 </w:t>
      </w:r>
      <w:r>
        <w:rPr>
          <w:rFonts w:ascii="Times New Roman" w:hAnsi="Times New Roman"/>
          <w:sz w:val="20"/>
          <w:u w:val="single"/>
        </w:rPr>
        <w:t>Restricted Stock Units.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(a) </w:t>
      </w:r>
      <w:r>
        <w:rPr>
          <w:rFonts w:ascii="Times New Roman" w:hAnsi="Times New Roman"/>
          <w:sz w:val="20"/>
          <w:u w:val="single"/>
        </w:rPr>
        <w:t>Settlement</w:t>
      </w:r>
      <w:r>
        <w:rPr>
          <w:rFonts w:ascii="Times New Roman" w:hAnsi="Times New Roman"/>
          <w:sz w:val="20"/>
        </w:rPr>
        <w:t xml:space="preserve">.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Stockholder Rights</w:t>
      </w:r>
      <w:r>
        <w:rPr>
          <w:rFonts w:ascii="Times New Roman" w:hAnsi="Times New Roman"/>
          <w:sz w:val="20"/>
        </w:rPr>
        <w:t xml:space="preserve">. A Participant will have no rights of a stockholder with respect to Shares subject to any Restricted Stock Unit unless and until the Shares are delivered in settlement of the Restricted Stock Unit.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OTHER STOCK OR CASH BASED AWARDS; DIVIDEND EQUIVALENTS </w:t>
      </w:r>
    </w:p>
    <w:p>
      <w:pPr>
        <w:pStyle w:val="TextBody"/>
        <w:bidi w:val="0"/>
        <w:spacing w:before="240" w:after="0"/>
        <w:jc w:val="left"/>
        <w:rPr>
          <w:rFonts w:ascii="Times New Roman" w:hAnsi="Times New Roman"/>
          <w:sz w:val="20"/>
        </w:rPr>
      </w:pPr>
      <w:r>
        <w:rPr>
          <w:rFonts w:ascii="Times New Roman" w:hAnsi="Times New Roman"/>
          <w:sz w:val="20"/>
        </w:rPr>
        <w:t>7.1 </w:t>
      </w:r>
      <w:r>
        <w:rPr>
          <w:rFonts w:ascii="Times New Roman" w:hAnsi="Times New Roman"/>
          <w:sz w:val="20"/>
          <w:u w:val="single"/>
        </w:rPr>
        <w:t>Other Stock or Cash Based Awards</w:t>
      </w:r>
      <w:r>
        <w:rPr>
          <w:rFonts w:ascii="Times New Roman" w:hAnsi="Times New Roman"/>
          <w:sz w:val="20"/>
        </w:rPr>
        <w:t xml:space="preserve">.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w:t>
      </w:r>
    </w:p>
    <w:p>
      <w:pPr>
        <w:pStyle w:val="TextBody"/>
        <w:bidi w:val="0"/>
        <w:spacing w:before="240" w:after="0"/>
        <w:jc w:val="left"/>
        <w:rPr>
          <w:rFonts w:ascii="Times New Roman" w:hAnsi="Times New Roman"/>
          <w:sz w:val="20"/>
        </w:rPr>
      </w:pPr>
      <w:r>
        <w:rPr>
          <w:rFonts w:ascii="Times New Roman" w:hAnsi="Times New Roman"/>
          <w:sz w:val="20"/>
        </w:rPr>
        <w:t>7.2 </w:t>
      </w:r>
      <w:r>
        <w:rPr>
          <w:rFonts w:ascii="Times New Roman" w:hAnsi="Times New Roman"/>
          <w:sz w:val="20"/>
          <w:u w:val="single"/>
        </w:rPr>
        <w:t>Dividend Equivalents</w:t>
      </w:r>
      <w:r>
        <w:rPr>
          <w:rFonts w:ascii="Times New Roman" w:hAnsi="Times New Roman"/>
          <w:sz w:val="20"/>
        </w:rPr>
        <w:t xml:space="preserve">. A grant of Restricted Stock Units or Other Stock or Cash Based Award may provide a Participant with the right to receive Dividend Equivalents, and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respect to which the Dividend Equivalents are paid and subject to other terms and conditions as set forth in the Award Agreement. Notwithstanding anything to the contrary herein, unless otherwise determined by the Administrator, Dividend Equivalents with respect to an Award shall only be paid out to a Participant to the extent that the vesting conditions are subsequently satisfied. All such Dividend Equivalent payments will be made no later than March 15 of the calendar year following the calendar year in which the right to the Dividend Equivalent payment becomes nonforfeitable, unless determined otherwise by the Administrator or unless deferred in a manner intended to comply with Section 409A.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ADJUSTMENTS FOR CHANGES IN COMMON STOCK </w:t>
      </w:r>
    </w:p>
    <w:p>
      <w:pPr>
        <w:pStyle w:val="TextBody"/>
        <w:bidi w:val="0"/>
        <w:spacing w:before="0" w:after="0"/>
        <w:jc w:val="center"/>
        <w:rPr>
          <w:rFonts w:ascii="Times New Roman" w:hAnsi="Times New Roman"/>
          <w:b/>
          <w:sz w:val="20"/>
        </w:rPr>
      </w:pPr>
      <w:r>
        <w:rPr>
          <w:rFonts w:ascii="Times New Roman" w:hAnsi="Times New Roman"/>
          <w:b/>
          <w:sz w:val="20"/>
        </w:rPr>
        <w:t xml:space="preserve">AND CERTAIN OTHER EVENTS </w:t>
      </w:r>
    </w:p>
    <w:p>
      <w:pPr>
        <w:pStyle w:val="TextBody"/>
        <w:bidi w:val="0"/>
        <w:spacing w:before="240" w:after="0"/>
        <w:jc w:val="left"/>
        <w:rPr>
          <w:rFonts w:ascii="Times New Roman" w:hAnsi="Times New Roman"/>
          <w:sz w:val="20"/>
        </w:rPr>
      </w:pPr>
      <w:r>
        <w:rPr>
          <w:rFonts w:ascii="Times New Roman" w:hAnsi="Times New Roman"/>
          <w:sz w:val="20"/>
        </w:rPr>
        <w:t>8.1 </w:t>
      </w:r>
      <w:r>
        <w:rPr>
          <w:rFonts w:ascii="Times New Roman" w:hAnsi="Times New Roman"/>
          <w:sz w:val="20"/>
          <w:u w:val="single"/>
        </w:rPr>
        <w:t xml:space="preserve">Equity Restructuring(a) </w:t>
      </w:r>
      <w:r>
        <w:rPr>
          <w:rFonts w:ascii="Times New Roman" w:hAnsi="Times New Roman"/>
          <w:sz w:val="20"/>
        </w:rPr>
        <w:t xml:space="preserve">.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 </w:t>
      </w:r>
    </w:p>
    <w:p>
      <w:pPr>
        <w:pStyle w:val="TextBody"/>
        <w:bidi w:val="0"/>
        <w:spacing w:before="240" w:after="0"/>
        <w:jc w:val="left"/>
        <w:rPr>
          <w:rFonts w:ascii="Times New Roman" w:hAnsi="Times New Roman"/>
          <w:sz w:val="20"/>
        </w:rPr>
      </w:pPr>
      <w:r>
        <w:rPr>
          <w:rFonts w:ascii="Times New Roman" w:hAnsi="Times New Roman"/>
          <w:sz w:val="20"/>
        </w:rPr>
        <w:t>8.2 </w:t>
      </w:r>
      <w:r>
        <w:rPr>
          <w:rFonts w:ascii="Times New Roman" w:hAnsi="Times New Roman"/>
          <w:sz w:val="20"/>
          <w:u w:val="single"/>
        </w:rPr>
        <w:t>Corporate Transactions</w:t>
      </w:r>
      <w:r>
        <w:rPr>
          <w:rFonts w:ascii="Times New Roman" w:hAnsi="Times New Roman"/>
          <w:sz w:val="20"/>
        </w:rPr>
        <w:t xml:space="preserve">.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(a) To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 provided, further, that Awards held by members of the Board will be settled in Shares on or immediately prior to the applicable event if the Administrator takes action under this clause (a); </w:t>
      </w:r>
    </w:p>
    <w:p>
      <w:pPr>
        <w:pStyle w:val="TextBody"/>
        <w:bidi w:val="0"/>
        <w:spacing w:before="240" w:after="0"/>
        <w:jc w:val="left"/>
        <w:rPr>
          <w:rFonts w:ascii="Times New Roman" w:hAnsi="Times New Roman"/>
          <w:sz w:val="20"/>
        </w:rPr>
      </w:pPr>
      <w:r>
        <w:rPr>
          <w:rFonts w:ascii="Times New Roman" w:hAnsi="Times New Roman"/>
          <w:sz w:val="20"/>
        </w:rPr>
        <w:t xml:space="preserve">(b) To provide that such Award shall vest and, to the extent applicable, be exercisable as to all Shares covered thereby, notwithstanding anything to the contrary in the Plan or the provisions of such Award; </w:t>
      </w:r>
    </w:p>
    <w:p>
      <w:pPr>
        <w:pStyle w:val="TextBody"/>
        <w:bidi w:val="0"/>
        <w:spacing w:before="240" w:after="0"/>
        <w:jc w:val="left"/>
        <w:rPr>
          <w:rFonts w:ascii="Times New Roman" w:hAnsi="Times New Roman"/>
          <w:sz w:val="20"/>
        </w:rPr>
      </w:pPr>
      <w:r>
        <w:rPr>
          <w:rFonts w:ascii="Times New Roman" w:hAnsi="Times New Roman"/>
          <w:sz w:val="20"/>
        </w:rPr>
        <w:t xml:space="preserve">(c) To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(d) To make adjustments in the number and type of Shares (or other securities or property) subject to outstanding Awards and/or with respect to which Awards may be granted under the Plan (including, but not limited to, adjustments of the limitations in Article IV on the maximum number and kind of shares which may be issued) and/or in the terms and conditions of (including the grant or exercise price or applicable performance goals), and the criteria included in, outstanding Awards; </w:t>
      </w:r>
    </w:p>
    <w:p>
      <w:pPr>
        <w:pStyle w:val="TextBody"/>
        <w:bidi w:val="0"/>
        <w:spacing w:before="240" w:after="0"/>
        <w:jc w:val="left"/>
        <w:rPr>
          <w:rFonts w:ascii="Times New Roman" w:hAnsi="Times New Roman"/>
          <w:sz w:val="20"/>
        </w:rPr>
      </w:pPr>
      <w:r>
        <w:rPr>
          <w:rFonts w:ascii="Times New Roman" w:hAnsi="Times New Roman"/>
          <w:sz w:val="20"/>
        </w:rPr>
        <w:t xml:space="preserve">(e) To replace such Award with other rights or property selected by the Administrator; and/or </w:t>
      </w:r>
    </w:p>
    <w:p>
      <w:pPr>
        <w:pStyle w:val="TextBody"/>
        <w:bidi w:val="0"/>
        <w:spacing w:before="240" w:after="0"/>
        <w:jc w:val="left"/>
        <w:rPr>
          <w:rFonts w:ascii="Times New Roman" w:hAnsi="Times New Roman"/>
          <w:sz w:val="20"/>
        </w:rPr>
      </w:pPr>
      <w:r>
        <w:rPr>
          <w:rFonts w:ascii="Times New Roman" w:hAnsi="Times New Roman"/>
          <w:sz w:val="20"/>
        </w:rPr>
        <w:t xml:space="preserve">(f) To provide that the Award will terminate and cannot vest, be exercised or become payable after the applicable event. </w:t>
      </w:r>
    </w:p>
    <w:p>
      <w:pPr>
        <w:pStyle w:val="TextBody"/>
        <w:bidi w:val="0"/>
        <w:spacing w:before="240" w:after="0"/>
        <w:jc w:val="left"/>
        <w:rPr>
          <w:rFonts w:ascii="Times New Roman" w:hAnsi="Times New Roman"/>
          <w:sz w:val="20"/>
        </w:rPr>
      </w:pPr>
      <w:r>
        <w:rPr>
          <w:rFonts w:ascii="Times New Roman" w:hAnsi="Times New Roman"/>
          <w:sz w:val="20"/>
        </w:rPr>
        <w:t>8.3 </w:t>
      </w:r>
      <w:r>
        <w:rPr>
          <w:rFonts w:ascii="Times New Roman" w:hAnsi="Times New Roman"/>
          <w:sz w:val="20"/>
          <w:u w:val="single"/>
        </w:rPr>
        <w:t>Effect of Non-Assumption in a Change in Control</w:t>
      </w:r>
      <w:r>
        <w:rPr>
          <w:rFonts w:ascii="Times New Roman" w:hAnsi="Times New Roman"/>
          <w:sz w:val="20"/>
        </w:rPr>
        <w:t>. Notwithstanding the provisions of Section 8.2, if a Change in Control occurs and a Participant’s Awards are not continued, converted, assumed, or replaced with a substantially similar award by (a) the Company, or (b) a successor entity or its parent or subsidiary (an “</w:t>
      </w:r>
      <w:r>
        <w:rPr>
          <w:rFonts w:ascii="Times New Roman" w:hAnsi="Times New Roman"/>
          <w:b/>
          <w:i/>
          <w:sz w:val="20"/>
        </w:rPr>
        <w:t>Assumption</w:t>
      </w:r>
      <w:r>
        <w:rPr>
          <w:rFonts w:ascii="Times New Roman" w:hAnsi="Times New Roman"/>
          <w:sz w:val="20"/>
        </w:rPr>
        <w:t xml:space="preserve">”), and provided that the Participant has not had a Termination of Service, then, immediately prior to the Change in Control, such Awards shall become fully vested, exercisable and/or payable, as applicable, and all forfeiture, repurchase and other restrictions on such Awards shall lapse, in which case, such Awards shall be canceled upon the consummation of the Change in Control in exchange for the right to receive the Change in Control consideration payable to other holders of Common Stock (i) which may be on such terms and conditions as apply generally to holders of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under the Change in Control documents (including, without limitation, any escrow, earn-out or other deferred consideration provisions) or such other terms and conditions as the Administrator may provide, and (ii) determined by reference to the number of Shares subject to such Awards and net of any applicable exercise price; </w:t>
      </w:r>
      <w:r>
        <w:rPr>
          <w:rFonts w:ascii="Times New Roman" w:hAnsi="Times New Roman"/>
          <w:i/>
          <w:sz w:val="20"/>
        </w:rPr>
        <w:t>provided that</w:t>
      </w:r>
      <w:r>
        <w:rPr>
          <w:rFonts w:ascii="Times New Roman" w:hAnsi="Times New Roman"/>
          <w:sz w:val="20"/>
        </w:rPr>
        <w:t xml:space="preserve"> to the extent that any Awards constitute “nonqualified 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w:t>
      </w:r>
      <w:r>
        <w:rPr>
          <w:rFonts w:ascii="Times New Roman" w:hAnsi="Times New Roman"/>
          <w:i/>
          <w:sz w:val="20"/>
        </w:rPr>
        <w:t>provided, further</w:t>
      </w:r>
      <w:r>
        <w:rPr>
          <w:rFonts w:ascii="Times New Roman" w:hAnsi="Times New Roman"/>
          <w:sz w:val="20"/>
        </w:rPr>
        <w:t xml:space="preserve">, that if the amount to which a Participant would be entitled upon the settlement or exercise of such Award at the time of the Change in Control is equal to or less than zero, then such Award may be terminated without payment. An Award will be considered replaced with a comparable award if the Award is exchanged for an amount of cash or other property with a value equal to the amount that could have been obtained upon the settlement of such Award in such Change in Control (as determined by the Administrator), even if such cash or other property payable with respect to the unvested portion of such Award remains subject to similar vesting provisions following such Change in Control. Notwithstanding the foregoing, the Administrator will have full and final authority to determine whether an Assumption of an Award has occurred in connection with a Change in Control. </w:t>
      </w:r>
    </w:p>
    <w:p>
      <w:pPr>
        <w:pStyle w:val="TextBody"/>
        <w:bidi w:val="0"/>
        <w:spacing w:before="240" w:after="0"/>
        <w:jc w:val="left"/>
        <w:rPr>
          <w:rFonts w:ascii="Times New Roman" w:hAnsi="Times New Roman"/>
          <w:sz w:val="20"/>
        </w:rPr>
      </w:pPr>
      <w:r>
        <w:rPr>
          <w:rFonts w:ascii="Times New Roman" w:hAnsi="Times New Roman"/>
          <w:sz w:val="20"/>
        </w:rPr>
        <w:t>8.4 </w:t>
      </w:r>
      <w:r>
        <w:rPr>
          <w:rFonts w:ascii="Times New Roman" w:hAnsi="Times New Roman"/>
          <w:sz w:val="20"/>
          <w:u w:val="single"/>
        </w:rPr>
        <w:t>Administrative Stand Still</w:t>
      </w:r>
      <w:r>
        <w:rPr>
          <w:rFonts w:ascii="Times New Roman" w:hAnsi="Times New Roman"/>
          <w:sz w:val="20"/>
        </w:rPr>
        <w:t xml:space="preserve">.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including any Equity Restructuring or any securities offering or other similar transaction, for administrative convenience, the Administrator may refuse to permit the exercise of any Award for up to sixty (60) days before or after such transaction. </w:t>
      </w:r>
    </w:p>
    <w:p>
      <w:pPr>
        <w:pStyle w:val="TextBody"/>
        <w:bidi w:val="0"/>
        <w:spacing w:before="240" w:after="0"/>
        <w:jc w:val="left"/>
        <w:rPr>
          <w:rFonts w:ascii="Times New Roman" w:hAnsi="Times New Roman"/>
          <w:sz w:val="20"/>
        </w:rPr>
      </w:pPr>
      <w:r>
        <w:rPr>
          <w:rFonts w:ascii="Times New Roman" w:hAnsi="Times New Roman"/>
          <w:sz w:val="20"/>
        </w:rPr>
        <w:t>8.5 </w:t>
      </w:r>
      <w:r>
        <w:rPr>
          <w:rFonts w:ascii="Times New Roman" w:hAnsi="Times New Roman"/>
          <w:sz w:val="20"/>
          <w:u w:val="single"/>
        </w:rPr>
        <w:t>General</w:t>
      </w:r>
      <w:r>
        <w:rPr>
          <w:rFonts w:ascii="Times New Roman" w:hAnsi="Times New Roman"/>
          <w:sz w:val="20"/>
        </w:rPr>
        <w:t xml:space="preserve">.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APPLICABLE TO AWARDS </w:t>
      </w:r>
    </w:p>
    <w:p>
      <w:pPr>
        <w:pStyle w:val="TextBody"/>
        <w:bidi w:val="0"/>
        <w:spacing w:before="240" w:after="0"/>
        <w:jc w:val="left"/>
        <w:rPr>
          <w:rFonts w:ascii="Times New Roman" w:hAnsi="Times New Roman"/>
          <w:sz w:val="20"/>
        </w:rPr>
      </w:pPr>
      <w:r>
        <w:rPr>
          <w:rFonts w:ascii="Times New Roman" w:hAnsi="Times New Roman"/>
          <w:sz w:val="20"/>
        </w:rPr>
        <w:t>9.1 </w:t>
      </w:r>
      <w:r>
        <w:rPr>
          <w:rFonts w:ascii="Times New Roman" w:hAnsi="Times New Roman"/>
          <w:sz w:val="20"/>
          <w:u w:val="single"/>
        </w:rPr>
        <w:t>Transferability</w:t>
      </w:r>
      <w:r>
        <w:rPr>
          <w:rFonts w:ascii="Times New Roman" w:hAnsi="Times New Roman"/>
          <w:sz w:val="20"/>
        </w:rPr>
        <w:t xml:space="preserve">. Except as the Administrator may determine or provide in an Award Agreement or otherwise, Awards may not be sold, assigned, transferred, pledged or otherwise encumbered, either voluntarily or by operation of law, except for certain Designated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 References to a Participant, to the extent relevant in the context, will include references to a Participant’s authorized transferee that the Administrator specifically approves.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9.2 </w:t>
      </w:r>
      <w:r>
        <w:rPr>
          <w:rFonts w:ascii="Times New Roman" w:hAnsi="Times New Roman"/>
          <w:sz w:val="20"/>
          <w:u w:val="single"/>
        </w:rPr>
        <w:t>Documentation</w:t>
      </w:r>
      <w:r>
        <w:rPr>
          <w:rFonts w:ascii="Times New Roman" w:hAnsi="Times New Roman"/>
          <w:sz w:val="20"/>
        </w:rPr>
        <w:t xml:space="preserve">. Each Award will be evidenced in an Award Agreement, which may be written or electronic, as the Administrator determines. Each Award may contain terms and conditions in addition to those set forth in the Plan. </w:t>
      </w:r>
    </w:p>
    <w:p>
      <w:pPr>
        <w:pStyle w:val="TextBody"/>
        <w:bidi w:val="0"/>
        <w:spacing w:before="240" w:after="0"/>
        <w:jc w:val="left"/>
        <w:rPr>
          <w:rFonts w:ascii="Times New Roman" w:hAnsi="Times New Roman"/>
          <w:sz w:val="20"/>
        </w:rPr>
      </w:pPr>
      <w:r>
        <w:rPr>
          <w:rFonts w:ascii="Times New Roman" w:hAnsi="Times New Roman"/>
          <w:sz w:val="20"/>
        </w:rPr>
        <w:t>9.3 </w:t>
      </w:r>
      <w:r>
        <w:rPr>
          <w:rFonts w:ascii="Times New Roman" w:hAnsi="Times New Roman"/>
          <w:sz w:val="20"/>
          <w:u w:val="single"/>
        </w:rPr>
        <w:t>Discretion</w:t>
      </w:r>
      <w:r>
        <w:rPr>
          <w:rFonts w:ascii="Times New Roman" w:hAnsi="Times New Roman"/>
          <w:sz w:val="20"/>
        </w:rPr>
        <w:t xml:space="preserve">. Except as the Plan otherwise provides, each Award may be made alone or in addition or in relation to any other Award. The terms of each Award to a Participant need not be identical, and the Administrator need not treat Participants or Awards (or portions thereof) uniformly. </w:t>
      </w:r>
    </w:p>
    <w:p>
      <w:pPr>
        <w:pStyle w:val="TextBody"/>
        <w:bidi w:val="0"/>
        <w:spacing w:before="240" w:after="0"/>
        <w:jc w:val="left"/>
        <w:rPr>
          <w:rFonts w:ascii="Times New Roman" w:hAnsi="Times New Roman"/>
          <w:sz w:val="20"/>
        </w:rPr>
      </w:pPr>
      <w:r>
        <w:rPr>
          <w:rFonts w:ascii="Times New Roman" w:hAnsi="Times New Roman"/>
          <w:sz w:val="20"/>
        </w:rPr>
        <w:t>9.4 </w:t>
      </w:r>
      <w:r>
        <w:rPr>
          <w:rFonts w:ascii="Times New Roman" w:hAnsi="Times New Roman"/>
          <w:sz w:val="20"/>
          <w:u w:val="single"/>
        </w:rPr>
        <w:t>Termination of Status</w:t>
      </w:r>
      <w:r>
        <w:rPr>
          <w:rFonts w:ascii="Times New Roman" w:hAnsi="Times New Roman"/>
          <w:sz w:val="20"/>
        </w:rPr>
        <w:t xml:space="preserve">. The Administrator will determine how the disability, death, retirement, an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 </w:t>
      </w:r>
    </w:p>
    <w:p>
      <w:pPr>
        <w:pStyle w:val="TextBody"/>
        <w:bidi w:val="0"/>
        <w:spacing w:before="240" w:after="0"/>
        <w:jc w:val="left"/>
        <w:rPr>
          <w:rFonts w:ascii="Times New Roman" w:hAnsi="Times New Roman"/>
          <w:sz w:val="20"/>
        </w:rPr>
      </w:pPr>
      <w:r>
        <w:rPr>
          <w:rFonts w:ascii="Times New Roman" w:hAnsi="Times New Roman"/>
          <w:sz w:val="20"/>
        </w:rPr>
        <w:t>9.5 </w:t>
      </w:r>
      <w:r>
        <w:rPr>
          <w:rFonts w:ascii="Times New Roman" w:hAnsi="Times New Roman"/>
          <w:sz w:val="20"/>
          <w:u w:val="single"/>
        </w:rPr>
        <w:t>Withholding</w:t>
      </w:r>
      <w:r>
        <w:rPr>
          <w:rFonts w:ascii="Times New Roman" w:hAnsi="Times New Roman"/>
          <w:sz w:val="20"/>
        </w:rPr>
        <w:t xml:space="preserve">. Each Participant must pay the Company, or make provision satisfactory to the Administrator for payment of, any taxes required by Applicable Law to be withheld in connection with such 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(ii) below with respect to Awards held by individuals subject to Section 16 of the Exchange Act, a contrary determination by the Administrator), all tax withholding obligations will be calculated based on the minimum applicable statutory withholding rates.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delivered by attestation and Shares retained from the Award creating the tax obligation, valued at their fair market value on the date of delivery, (iii) if there is a public market for Shares at the time the tax obligations are satisfied, unless the Company otherwise determines, (A) delivery (including electronically or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Notwithstanding any other provision of the Plan, the number of Shares which may be so delivered or retained pursuant to clause (ii)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provided, however, to the extent such Shares were acquired by Participant from the Company as compensation, the Shares must have been held for the minimum period required by applicable accounting rules to avoid a charge to the Company’s earnings for financial reporting purposes; provided, further, that, any such Shares delivered or retained shall be rounded up to the nearest whole Share to the extent rounding up to the nearest whole Share does not result in the liability classification of the applicable Award under generally accepted accounting principles in the United States of America. If any tax withholding obligation will be satisfied under clause (ii) above by the Company’s retention of Shares from the Award creating the tax obligation and there is a public market for Shares at the time the tax obligation is satisfied, the Company may elect to instruct any brokerage firm determined acceptable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 </w:t>
      </w:r>
    </w:p>
    <w:p>
      <w:pPr>
        <w:pStyle w:val="TextBody"/>
        <w:bidi w:val="0"/>
        <w:spacing w:before="240" w:after="0"/>
        <w:jc w:val="left"/>
        <w:rPr>
          <w:rFonts w:ascii="Times New Roman" w:hAnsi="Times New Roman"/>
          <w:sz w:val="20"/>
        </w:rPr>
      </w:pPr>
      <w:r>
        <w:rPr>
          <w:rFonts w:ascii="Times New Roman" w:hAnsi="Times New Roman"/>
          <w:sz w:val="20"/>
        </w:rPr>
        <w:t>9.6 </w:t>
      </w:r>
      <w:r>
        <w:rPr>
          <w:rFonts w:ascii="Times New Roman" w:hAnsi="Times New Roman"/>
          <w:sz w:val="20"/>
          <w:u w:val="single"/>
        </w:rPr>
        <w:t>Amendment of Award; Repricing</w:t>
      </w:r>
      <w:r>
        <w:rPr>
          <w:rFonts w:ascii="Times New Roman" w:hAnsi="Times New Roman"/>
          <w:sz w:val="20"/>
        </w:rPr>
        <w:t xml:space="preserve">. The Administrator may amend, modify or terminate any outstanding Award, including by substituting another Award of the same or a different type, and changing the exercise or settlement date. The Participant’s consent to such action will be required unless (i) the action, taking into account any related action, does not materially and adversely affect the Participant’s rights under the Award, or (ii) the change is permitted under Article VIII or pursuant to Section 10.6. Notwithstanding the foregoing or anything in the Plan to the contrary, the Administrator may, without the approval of the stockholders of the Company, reduce the exercise price per share of outstanding Options or Stock Appreciation Rights or cancel outstanding Options or Stock Appreciation Rights that have an exercise price in excess of Fair Market Value in exchange for cash, other Awards or Options or Stock Appreciation Rights with an exercise price per share that is less than the exercise price per share of the original Options or Stock Appreciation Rights. </w:t>
      </w:r>
    </w:p>
    <w:p>
      <w:pPr>
        <w:pStyle w:val="TextBody"/>
        <w:bidi w:val="0"/>
        <w:spacing w:before="240" w:after="0"/>
        <w:jc w:val="left"/>
        <w:rPr>
          <w:rFonts w:ascii="Times New Roman" w:hAnsi="Times New Roman"/>
          <w:sz w:val="20"/>
        </w:rPr>
      </w:pPr>
      <w:r>
        <w:rPr>
          <w:rFonts w:ascii="Times New Roman" w:hAnsi="Times New Roman"/>
          <w:sz w:val="20"/>
        </w:rPr>
        <w:t>9.7 </w:t>
      </w:r>
      <w:r>
        <w:rPr>
          <w:rFonts w:ascii="Times New Roman" w:hAnsi="Times New Roman"/>
          <w:sz w:val="20"/>
          <w:u w:val="single"/>
        </w:rPr>
        <w:t>Conditions on Delivery of Stock</w:t>
      </w:r>
      <w:r>
        <w:rPr>
          <w:rFonts w:ascii="Times New Roman" w:hAnsi="Times New Roman"/>
          <w:sz w:val="20"/>
        </w:rPr>
        <w:t xml:space="preserve">.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 </w:t>
      </w:r>
    </w:p>
    <w:p>
      <w:pPr>
        <w:pStyle w:val="TextBody"/>
        <w:bidi w:val="0"/>
        <w:spacing w:before="240" w:after="0"/>
        <w:jc w:val="left"/>
        <w:rPr>
          <w:rFonts w:ascii="Times New Roman" w:hAnsi="Times New Roman"/>
          <w:sz w:val="20"/>
        </w:rPr>
      </w:pPr>
      <w:r>
        <w:rPr>
          <w:rFonts w:ascii="Times New Roman" w:hAnsi="Times New Roman"/>
          <w:sz w:val="20"/>
        </w:rPr>
        <w:t>9.8 </w:t>
      </w:r>
      <w:r>
        <w:rPr>
          <w:rFonts w:ascii="Times New Roman" w:hAnsi="Times New Roman"/>
          <w:sz w:val="20"/>
          <w:u w:val="single"/>
        </w:rPr>
        <w:t>Acceleration</w:t>
      </w:r>
      <w:r>
        <w:rPr>
          <w:rFonts w:ascii="Times New Roman" w:hAnsi="Times New Roman"/>
          <w:sz w:val="20"/>
        </w:rPr>
        <w:t xml:space="preserve">. The Administrator may at any time provide that any Award will become immediately vested and fully or partially exercisable, free of some or all restrictions or conditions, or otherwise fully or partially realizable. </w:t>
      </w:r>
    </w:p>
    <w:p>
      <w:pPr>
        <w:pStyle w:val="TextBody"/>
        <w:bidi w:val="0"/>
        <w:spacing w:before="240" w:after="0"/>
        <w:jc w:val="left"/>
        <w:rPr>
          <w:rFonts w:ascii="Times New Roman" w:hAnsi="Times New Roman"/>
          <w:sz w:val="20"/>
        </w:rPr>
      </w:pPr>
      <w:r>
        <w:rPr>
          <w:rFonts w:ascii="Times New Roman" w:hAnsi="Times New Roman"/>
          <w:sz w:val="20"/>
        </w:rPr>
        <w:t>9.9 </w:t>
      </w:r>
      <w:r>
        <w:rPr>
          <w:rFonts w:ascii="Times New Roman" w:hAnsi="Times New Roman"/>
          <w:sz w:val="20"/>
          <w:u w:val="single"/>
        </w:rPr>
        <w:t>Cash Settlement</w:t>
      </w:r>
      <w:r>
        <w:rPr>
          <w:rFonts w:ascii="Times New Roman" w:hAnsi="Times New Roman"/>
          <w:sz w:val="20"/>
        </w:rPr>
        <w:t xml:space="preserve">. Without limiting the generality of any other provision of the Plan, the Administrator may provide, in an Award Agreement or subsequent to the grant of an Award, in its discretion, that any Award may be settled in cash, Shares or a combination thereof. </w:t>
      </w:r>
    </w:p>
    <w:p>
      <w:pPr>
        <w:pStyle w:val="TextBody"/>
        <w:bidi w:val="0"/>
        <w:spacing w:before="240" w:after="0"/>
        <w:jc w:val="left"/>
        <w:rPr>
          <w:rFonts w:ascii="Times New Roman" w:hAnsi="Times New Roman"/>
          <w:sz w:val="20"/>
        </w:rPr>
      </w:pPr>
      <w:r>
        <w:rPr>
          <w:rFonts w:ascii="Times New Roman" w:hAnsi="Times New Roman"/>
          <w:sz w:val="20"/>
        </w:rPr>
        <w:t>9.10 </w:t>
      </w:r>
      <w:r>
        <w:rPr>
          <w:rFonts w:ascii="Times New Roman" w:hAnsi="Times New Roman"/>
          <w:sz w:val="20"/>
          <w:u w:val="single"/>
        </w:rPr>
        <w:t xml:space="preserve">Broker-Assisted Sales9.11 </w:t>
      </w:r>
      <w:r>
        <w:rPr>
          <w:rFonts w:ascii="Times New Roman" w:hAnsi="Times New Roman"/>
          <w:sz w:val="20"/>
        </w:rPr>
        <w:t xml:space="preserve">.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10.1 </w:t>
      </w:r>
      <w:r>
        <w:rPr>
          <w:rFonts w:ascii="Times New Roman" w:hAnsi="Times New Roman"/>
          <w:sz w:val="20"/>
          <w:u w:val="single"/>
        </w:rPr>
        <w:t>No Right to Employment or Other Status</w:t>
      </w:r>
      <w:r>
        <w:rPr>
          <w:rFonts w:ascii="Times New Roman" w:hAnsi="Times New Roman"/>
          <w:sz w:val="20"/>
        </w:rPr>
        <w:t xml:space="preserve">. No person will have any claim or right to be granted an Award, and the grant of an Award will not be construed as giving a Participant the right to continued employment or any other relationship with the Company or any of its Subsidiaries. The Company and its Subsidiaries expressly reserves the right at any time to dismiss or otherwise terminate its relationship with a Participant free from any liability or claim under the Plan or any Award, except as expressly provided in an Award Agreement or in the Plan. </w:t>
      </w:r>
    </w:p>
    <w:p>
      <w:pPr>
        <w:pStyle w:val="TextBody"/>
        <w:bidi w:val="0"/>
        <w:spacing w:before="240" w:after="0"/>
        <w:jc w:val="left"/>
        <w:rPr>
          <w:rFonts w:ascii="Times New Roman" w:hAnsi="Times New Roman"/>
          <w:sz w:val="20"/>
        </w:rPr>
      </w:pPr>
      <w:r>
        <w:rPr>
          <w:rFonts w:ascii="Times New Roman" w:hAnsi="Times New Roman"/>
          <w:sz w:val="20"/>
        </w:rPr>
        <w:t>10.2 </w:t>
      </w:r>
      <w:r>
        <w:rPr>
          <w:rFonts w:ascii="Times New Roman" w:hAnsi="Times New Roman"/>
          <w:sz w:val="20"/>
          <w:u w:val="single"/>
        </w:rPr>
        <w:t>No Rights as Stockholder; Certificates</w:t>
      </w:r>
      <w:r>
        <w:rPr>
          <w:rFonts w:ascii="Times New Roman" w:hAnsi="Times New Roman"/>
          <w:sz w:val="20"/>
        </w:rPr>
        <w:t xml:space="preserve">.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 </w:t>
      </w:r>
    </w:p>
    <w:p>
      <w:pPr>
        <w:pStyle w:val="TextBody"/>
        <w:bidi w:val="0"/>
        <w:spacing w:before="240" w:after="0"/>
        <w:jc w:val="left"/>
        <w:rPr>
          <w:rFonts w:ascii="Times New Roman" w:hAnsi="Times New Roman"/>
          <w:sz w:val="20"/>
        </w:rPr>
      </w:pPr>
      <w:r>
        <w:rPr>
          <w:rFonts w:ascii="Times New Roman" w:hAnsi="Times New Roman"/>
          <w:sz w:val="20"/>
        </w:rPr>
        <w:t>10.3 </w:t>
      </w:r>
      <w:r>
        <w:rPr>
          <w:rFonts w:ascii="Times New Roman" w:hAnsi="Times New Roman"/>
          <w:sz w:val="20"/>
          <w:u w:val="single"/>
        </w:rPr>
        <w:t>Effective Date and Term of Plan</w:t>
      </w:r>
      <w:r>
        <w:rPr>
          <w:rFonts w:ascii="Times New Roman" w:hAnsi="Times New Roman"/>
          <w:sz w:val="20"/>
        </w:rPr>
        <w:t xml:space="preserve">. The Plan will become effective on the day the Board adopts the Plan and shall remain in effect until terminated by the Administrator. </w:t>
      </w:r>
    </w:p>
    <w:p>
      <w:pPr>
        <w:pStyle w:val="TextBody"/>
        <w:bidi w:val="0"/>
        <w:spacing w:before="240" w:after="0"/>
        <w:jc w:val="left"/>
        <w:rPr>
          <w:rFonts w:ascii="Times New Roman" w:hAnsi="Times New Roman"/>
          <w:sz w:val="20"/>
        </w:rPr>
      </w:pPr>
      <w:r>
        <w:rPr>
          <w:rFonts w:ascii="Times New Roman" w:hAnsi="Times New Roman"/>
          <w:sz w:val="20"/>
        </w:rPr>
        <w:t>10.4 </w:t>
      </w:r>
      <w:r>
        <w:rPr>
          <w:rFonts w:ascii="Times New Roman" w:hAnsi="Times New Roman"/>
          <w:sz w:val="20"/>
          <w:u w:val="single"/>
        </w:rPr>
        <w:t>Amendment and Termination of Plan</w:t>
      </w:r>
      <w:r>
        <w:rPr>
          <w:rFonts w:ascii="Times New Roman" w:hAnsi="Times New Roman"/>
          <w:sz w:val="20"/>
        </w:rPr>
        <w:t xml:space="preserve">.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 </w:t>
      </w:r>
    </w:p>
    <w:p>
      <w:pPr>
        <w:pStyle w:val="TextBody"/>
        <w:bidi w:val="0"/>
        <w:spacing w:before="240" w:after="0"/>
        <w:jc w:val="left"/>
        <w:rPr>
          <w:rFonts w:ascii="Times New Roman" w:hAnsi="Times New Roman"/>
          <w:sz w:val="20"/>
        </w:rPr>
      </w:pPr>
      <w:r>
        <w:rPr>
          <w:rFonts w:ascii="Times New Roman" w:hAnsi="Times New Roman"/>
          <w:sz w:val="20"/>
        </w:rPr>
        <w:t>10.5 </w:t>
      </w:r>
      <w:r>
        <w:rPr>
          <w:rFonts w:ascii="Times New Roman" w:hAnsi="Times New Roman"/>
          <w:sz w:val="20"/>
          <w:u w:val="single"/>
        </w:rPr>
        <w:t>Provisions for Foreign Participants</w:t>
      </w:r>
      <w:r>
        <w:rPr>
          <w:rFonts w:ascii="Times New Roman" w:hAnsi="Times New Roman"/>
          <w:sz w:val="20"/>
        </w:rPr>
        <w:t xml:space="preserve">.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 </w:t>
      </w:r>
    </w:p>
    <w:p>
      <w:pPr>
        <w:pStyle w:val="TextBody"/>
        <w:bidi w:val="0"/>
        <w:spacing w:before="240" w:after="0"/>
        <w:jc w:val="left"/>
        <w:rPr>
          <w:rFonts w:ascii="Times New Roman" w:hAnsi="Times New Roman"/>
          <w:sz w:val="20"/>
        </w:rPr>
      </w:pPr>
      <w:r>
        <w:rPr>
          <w:rFonts w:ascii="Times New Roman" w:hAnsi="Times New Roman"/>
          <w:sz w:val="20"/>
        </w:rPr>
        <w:t>10.6 </w:t>
      </w:r>
      <w:r>
        <w:rPr>
          <w:rFonts w:ascii="Times New Roman" w:hAnsi="Times New Roman"/>
          <w:sz w:val="20"/>
          <w:u w:val="single"/>
        </w:rPr>
        <w:t>Section 409A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General</w:t>
      </w:r>
      <w:r>
        <w:rPr>
          <w:rFonts w:ascii="Times New Roman" w:hAnsi="Times New Roman"/>
          <w:sz w:val="20"/>
        </w:rPr>
        <w:t xml:space="preserve">.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Separation from Service</w:t>
      </w:r>
      <w:r>
        <w:rPr>
          <w:rFonts w:ascii="Times New Roman" w:hAnsi="Times New Roman"/>
          <w:sz w:val="20"/>
        </w:rPr>
        <w:t xml:space="preserve">.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Payments to Specified Employees</w:t>
      </w:r>
      <w:r>
        <w:rPr>
          <w:rFonts w:ascii="Times New Roman" w:hAnsi="Times New Roman"/>
          <w:sz w:val="20"/>
        </w:rPr>
        <w:t xml:space="preserve">.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 (6)-month period immediately following such “separation from service” (or, if earlier, until the specified employee’s death) and will instead be paid (as set forth in the Award Agreement) on the day immediately following such six (6)-month period or as soon as administratively practicable thereafter (without interest). Any payments of “nonqualified deferred compensation” under such Award payable more than six (6) months following the Participant’s “separation from service” will be paid at the time or times the payments are otherwise scheduled to be made. Furthermore, notwithstanding any contrary provision of the Plan or any Award Agreement, any payment of “nonqualified deferred compensation” under the Plan that may be made in installments shall be treated as a right to receive a series of separate and distinct payments. </w:t>
      </w:r>
    </w:p>
    <w:p>
      <w:pPr>
        <w:pStyle w:val="TextBody"/>
        <w:bidi w:val="0"/>
        <w:spacing w:before="240" w:after="0"/>
        <w:jc w:val="left"/>
        <w:rPr>
          <w:rFonts w:ascii="Times New Roman" w:hAnsi="Times New Roman"/>
          <w:sz w:val="20"/>
        </w:rPr>
      </w:pPr>
      <w:r>
        <w:rPr>
          <w:rFonts w:ascii="Times New Roman" w:hAnsi="Times New Roman"/>
          <w:sz w:val="20"/>
        </w:rPr>
        <w:t>10.7 </w:t>
      </w:r>
      <w:r>
        <w:rPr>
          <w:rFonts w:ascii="Times New Roman" w:hAnsi="Times New Roman"/>
          <w:sz w:val="20"/>
          <w:u w:val="single"/>
        </w:rPr>
        <w:t>Limitations on Liability</w:t>
      </w:r>
      <w:r>
        <w:rPr>
          <w:rFonts w:ascii="Times New Roman" w:hAnsi="Times New Roman"/>
          <w:sz w:val="20"/>
        </w:rPr>
        <w:t xml:space="preserve">. Notwithstanding any other provisions of the Plan, to the extent permitted under Applicable Laws and the Company’s organizational documents, (a)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and (b)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 </w:t>
      </w:r>
    </w:p>
    <w:p>
      <w:pPr>
        <w:pStyle w:val="TextBody"/>
        <w:bidi w:val="0"/>
        <w:spacing w:before="240" w:after="0"/>
        <w:jc w:val="left"/>
        <w:rPr>
          <w:rFonts w:ascii="Times New Roman" w:hAnsi="Times New Roman"/>
          <w:sz w:val="20"/>
        </w:rPr>
      </w:pPr>
      <w:r>
        <w:rPr>
          <w:rFonts w:ascii="Times New Roman" w:hAnsi="Times New Roman"/>
          <w:sz w:val="20"/>
        </w:rPr>
        <w:t>10.8 </w:t>
      </w:r>
      <w:r>
        <w:rPr>
          <w:rFonts w:ascii="Times New Roman" w:hAnsi="Times New Roman"/>
          <w:sz w:val="20"/>
          <w:u w:val="single"/>
        </w:rPr>
        <w:t>Lock-Up Period</w:t>
      </w:r>
      <w:r>
        <w:rPr>
          <w:rFonts w:ascii="Times New Roman" w:hAnsi="Times New Roman"/>
          <w:sz w:val="20"/>
        </w:rPr>
        <w:t xml:space="preserve">.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(180) days following the effective date of a Company registration statement filed under the Securities Act, or such longer period as determined by the underwriter. </w:t>
      </w:r>
    </w:p>
    <w:p>
      <w:pPr>
        <w:pStyle w:val="TextBody"/>
        <w:bidi w:val="0"/>
        <w:spacing w:before="240" w:after="0"/>
        <w:jc w:val="left"/>
        <w:rPr>
          <w:rFonts w:ascii="Times New Roman" w:hAnsi="Times New Roman"/>
          <w:sz w:val="20"/>
        </w:rPr>
      </w:pPr>
      <w:r>
        <w:rPr>
          <w:rFonts w:ascii="Times New Roman" w:hAnsi="Times New Roman"/>
          <w:sz w:val="20"/>
        </w:rPr>
        <w:t>10.9 </w:t>
      </w:r>
      <w:r>
        <w:rPr>
          <w:rFonts w:ascii="Times New Roman" w:hAnsi="Times New Roman"/>
          <w:sz w:val="20"/>
          <w:u w:val="single"/>
        </w:rPr>
        <w:t>Data Privacy</w:t>
      </w:r>
      <w:r>
        <w:rPr>
          <w:rFonts w:ascii="Times New Roman" w:hAnsi="Times New Roman"/>
          <w:sz w:val="20"/>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hAnsi="Times New Roman"/>
          <w:b/>
          <w:i/>
          <w:sz w:val="20"/>
        </w:rPr>
        <w:t>Data</w:t>
      </w:r>
      <w:r>
        <w:rPr>
          <w:rFonts w:ascii="Times New Roman" w:hAnsi="Times New Roman"/>
          <w:sz w:val="20"/>
        </w:rPr>
        <w:t xml:space="preserve">”). The Company and its Subsidiaries and affiliates may transfer the Data amongst themselves as necessary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If the Participant refuses or withdraws the consents in this Section 10.9,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 </w:t>
      </w:r>
    </w:p>
    <w:p>
      <w:pPr>
        <w:pStyle w:val="TextBody"/>
        <w:bidi w:val="0"/>
        <w:spacing w:before="240" w:after="0"/>
        <w:jc w:val="left"/>
        <w:rPr>
          <w:rFonts w:ascii="Times New Roman" w:hAnsi="Times New Roman"/>
          <w:sz w:val="20"/>
        </w:rPr>
      </w:pPr>
      <w:r>
        <w:rPr>
          <w:rFonts w:ascii="Times New Roman" w:hAnsi="Times New Roman"/>
          <w:sz w:val="20"/>
        </w:rPr>
        <w:t>10.10 </w:t>
      </w:r>
      <w:r>
        <w:rPr>
          <w:rFonts w:ascii="Times New Roman" w:hAnsi="Times New Roman"/>
          <w:sz w:val="20"/>
          <w:u w:val="single"/>
        </w:rPr>
        <w:t>Severability</w:t>
      </w:r>
      <w:r>
        <w:rPr>
          <w:rFonts w:ascii="Times New Roman" w:hAnsi="Times New Roman"/>
          <w:sz w:val="20"/>
        </w:rPr>
        <w:t xml:space="preserve">.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 </w:t>
      </w:r>
    </w:p>
    <w:p>
      <w:pPr>
        <w:pStyle w:val="TextBody"/>
        <w:bidi w:val="0"/>
        <w:spacing w:before="240" w:after="0"/>
        <w:jc w:val="left"/>
        <w:rPr>
          <w:rFonts w:ascii="Times New Roman" w:hAnsi="Times New Roman"/>
          <w:sz w:val="20"/>
        </w:rPr>
      </w:pPr>
      <w:r>
        <w:rPr>
          <w:rFonts w:ascii="Times New Roman" w:hAnsi="Times New Roman"/>
          <w:sz w:val="20"/>
        </w:rPr>
        <w:t>10.11 </w:t>
      </w:r>
      <w:r>
        <w:rPr>
          <w:rFonts w:ascii="Times New Roman" w:hAnsi="Times New Roman"/>
          <w:sz w:val="20"/>
          <w:u w:val="single"/>
        </w:rPr>
        <w:t>Governing Documents</w:t>
      </w:r>
      <w:r>
        <w:rPr>
          <w:rFonts w:ascii="Times New Roman" w:hAnsi="Times New Roman"/>
          <w:sz w:val="20"/>
        </w:rPr>
        <w:t xml:space="preserve">.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 </w:t>
      </w:r>
    </w:p>
    <w:p>
      <w:pPr>
        <w:pStyle w:val="TextBody"/>
        <w:bidi w:val="0"/>
        <w:spacing w:before="240" w:after="0"/>
        <w:jc w:val="left"/>
        <w:rPr>
          <w:rFonts w:ascii="Times New Roman" w:hAnsi="Times New Roman"/>
          <w:sz w:val="20"/>
        </w:rPr>
      </w:pPr>
      <w:r>
        <w:rPr>
          <w:rFonts w:ascii="Times New Roman" w:hAnsi="Times New Roman"/>
          <w:sz w:val="20"/>
        </w:rPr>
        <w:t>10.12 </w:t>
      </w:r>
      <w:r>
        <w:rPr>
          <w:rFonts w:ascii="Times New Roman" w:hAnsi="Times New Roman"/>
          <w:sz w:val="20"/>
          <w:u w:val="single"/>
        </w:rPr>
        <w:t>Governing Law</w:t>
      </w:r>
      <w:r>
        <w:rPr>
          <w:rFonts w:ascii="Times New Roman" w:hAnsi="Times New Roman"/>
          <w:sz w:val="20"/>
        </w:rPr>
        <w:t xml:space="preserve">. The Plan and all Awards will be governed by and interpreted in accordance with the laws of the State of Delaware, disregarding any state’s choice-of-law principles requiring the application of a jurisdiction’s laws other than the State of Delaware. </w:t>
      </w:r>
    </w:p>
    <w:p>
      <w:pPr>
        <w:pStyle w:val="TextBody"/>
        <w:bidi w:val="0"/>
        <w:spacing w:before="240" w:after="0"/>
        <w:jc w:val="left"/>
        <w:rPr>
          <w:rFonts w:ascii="Times New Roman" w:hAnsi="Times New Roman"/>
          <w:sz w:val="20"/>
        </w:rPr>
      </w:pPr>
      <w:r>
        <w:rPr>
          <w:rFonts w:ascii="Times New Roman" w:hAnsi="Times New Roman"/>
          <w:sz w:val="20"/>
        </w:rPr>
        <w:t>10.13 </w:t>
      </w:r>
      <w:r>
        <w:rPr>
          <w:rFonts w:ascii="Times New Roman" w:hAnsi="Times New Roman"/>
          <w:sz w:val="20"/>
          <w:u w:val="single"/>
        </w:rPr>
        <w:t>Clawback Provisions</w:t>
      </w:r>
      <w:r>
        <w:rPr>
          <w:rFonts w:ascii="Times New Roman" w:hAnsi="Times New Roman"/>
          <w:sz w:val="20"/>
        </w:rPr>
        <w:t xml:space="preserve">. All Awards (including, without limitation, any proceeds, gains or other economic benefit actually or constructively received by Participant upon any receipt or exercise of any Award or upon the receipt or resale of any Shares underlying the Award) shall be subject to the provisions of any clawback policy implemented by the Company, including, without limitation, any clawback policy adopted to comply with Applicable Laws (including the Dodd-Frank Wall Street Reform and Consumer Protection Act and any rules or regulations promulgated thereunder) as and to the extent set forth in such clawback policy or the Award Agreement. </w:t>
      </w:r>
    </w:p>
    <w:p>
      <w:pPr>
        <w:pStyle w:val="TextBody"/>
        <w:bidi w:val="0"/>
        <w:spacing w:before="240" w:after="0"/>
        <w:jc w:val="left"/>
        <w:rPr>
          <w:rFonts w:ascii="Times New Roman" w:hAnsi="Times New Roman"/>
          <w:sz w:val="20"/>
        </w:rPr>
      </w:pPr>
      <w:r>
        <w:rPr>
          <w:rFonts w:ascii="Times New Roman" w:hAnsi="Times New Roman"/>
          <w:sz w:val="20"/>
        </w:rPr>
        <w:t>10.14 </w:t>
      </w:r>
      <w:r>
        <w:rPr>
          <w:rFonts w:ascii="Times New Roman" w:hAnsi="Times New Roman"/>
          <w:sz w:val="20"/>
          <w:u w:val="single"/>
        </w:rPr>
        <w:t>Titles and Headings</w:t>
      </w:r>
      <w:r>
        <w:rPr>
          <w:rFonts w:ascii="Times New Roman" w:hAnsi="Times New Roman"/>
          <w:sz w:val="20"/>
        </w:rPr>
        <w:t xml:space="preserve">. The titles and headings in the Plan are for convenience of reference only and, if any conflict, the Plan’s text, rather than such titles or headings, will control. </w:t>
      </w:r>
    </w:p>
    <w:p>
      <w:pPr>
        <w:pStyle w:val="TextBody"/>
        <w:bidi w:val="0"/>
        <w:spacing w:before="240" w:after="0"/>
        <w:jc w:val="left"/>
        <w:rPr>
          <w:rFonts w:ascii="Times New Roman" w:hAnsi="Times New Roman"/>
          <w:sz w:val="20"/>
        </w:rPr>
      </w:pPr>
      <w:r>
        <w:rPr>
          <w:rFonts w:ascii="Times New Roman" w:hAnsi="Times New Roman"/>
          <w:sz w:val="20"/>
        </w:rPr>
        <w:t>10.15 </w:t>
      </w:r>
      <w:r>
        <w:rPr>
          <w:rFonts w:ascii="Times New Roman" w:hAnsi="Times New Roman"/>
          <w:sz w:val="20"/>
          <w:u w:val="single"/>
        </w:rPr>
        <w:t>Conformity to Securities Laws</w:t>
      </w:r>
      <w:r>
        <w:rPr>
          <w:rFonts w:ascii="Times New Roman" w:hAnsi="Times New Roman"/>
          <w:sz w:val="20"/>
        </w:rPr>
        <w:t xml:space="preserve">.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 </w:t>
      </w:r>
    </w:p>
    <w:p>
      <w:pPr>
        <w:pStyle w:val="TextBody"/>
        <w:bidi w:val="0"/>
        <w:spacing w:before="240" w:after="0"/>
        <w:jc w:val="left"/>
        <w:rPr>
          <w:rFonts w:ascii="Times New Roman" w:hAnsi="Times New Roman"/>
          <w:sz w:val="20"/>
        </w:rPr>
      </w:pPr>
      <w:r>
        <w:rPr>
          <w:rFonts w:ascii="Times New Roman" w:hAnsi="Times New Roman"/>
          <w:sz w:val="20"/>
        </w:rPr>
        <w:t>10.16 </w:t>
      </w:r>
      <w:r>
        <w:rPr>
          <w:rFonts w:ascii="Times New Roman" w:hAnsi="Times New Roman"/>
          <w:sz w:val="20"/>
          <w:u w:val="single"/>
        </w:rPr>
        <w:t>Relationship to Other Benefits</w:t>
      </w:r>
      <w:r>
        <w:rPr>
          <w:rFonts w:ascii="Times New Roman" w:hAnsi="Times New Roman"/>
          <w:sz w:val="20"/>
        </w:rPr>
        <w:t xml:space="preserve">.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10.17 </w:t>
      </w:r>
      <w:r>
        <w:rPr>
          <w:rFonts w:ascii="Times New Roman" w:hAnsi="Times New Roman"/>
          <w:sz w:val="20"/>
          <w:u w:val="single"/>
        </w:rPr>
        <w:t>Stockholder Approval Not Required</w:t>
      </w:r>
      <w:r>
        <w:rPr>
          <w:rFonts w:ascii="Times New Roman" w:hAnsi="Times New Roman"/>
          <w:sz w:val="20"/>
        </w:rPr>
        <w:t xml:space="preserve">. It is expressly intended that approval of the Company’s stockholders not be required as a condition of the effectiveness of the Plan, and the Plan’s provisions shall be interpreted in a manner consistent with such intent for all purposes. Specifically, Nasdaq Stock Market Rule 5635(c) generally requires stockholder approval for stock option plans or other equity compensation arrangements adopted by companies whose securities are listed on the Nasdaq Stock Market pursuant to which stock awards or stock may be acquired by officers, directors, employees or consultants of such companies. Nasdaq Stock Market Rule 5635(c)(4) provides an exemption in certain circumstances for “employment inducement” awards (within the meaning of Nasdaq Stock Market Rule 5635(c)(4)). Notwithstanding anything to the contrary herein, if the Company’s securities are traded on the Nasdaq Stock Market, then Awards under the Plan may only be made to Employees who have not previously been an Employee or Director of the Company or a Subsidiary, or following a bona fide period of non-employment by the Company or a Subsidiary, in each case as an inducement material to the Employee’s entering into employment with the Company or a Subsidiary. Awards under the Plan will be approved by (a) the Company’s Compensation Committee comprised entirely of Independent Directors or (b) a majority of the Company’s Independent Directors. Accordingly, pursuant to Nasdaq Stock Market Rule 5635(c)(4), the issuance of Awards and the Shares issuable upon exercise or vesting of such Awards pursuant to the Plan are not subject to the approval of the Company’s stockholders.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As used in the Plan, the following words and phrases will have the following meanings: </w:t>
      </w:r>
    </w:p>
    <w:p>
      <w:pPr>
        <w:pStyle w:val="TextBody"/>
        <w:bidi w:val="0"/>
        <w:spacing w:before="240" w:after="0"/>
        <w:jc w:val="left"/>
        <w:rPr>
          <w:rFonts w:ascii="Times New Roman" w:hAnsi="Times New Roman"/>
          <w:sz w:val="20"/>
        </w:rPr>
      </w:pPr>
      <w:r>
        <w:rPr>
          <w:rFonts w:ascii="Times New Roman" w:hAnsi="Times New Roman"/>
          <w:sz w:val="20"/>
        </w:rPr>
        <w:t>11.1 “</w:t>
      </w:r>
      <w:r>
        <w:rPr>
          <w:rFonts w:ascii="Times New Roman" w:hAnsi="Times New Roman"/>
          <w:b/>
          <w:i/>
          <w:sz w:val="20"/>
        </w:rPr>
        <w:t>Administrator</w:t>
      </w:r>
      <w:r>
        <w:rPr>
          <w:rFonts w:ascii="Times New Roman" w:hAnsi="Times New Roman"/>
          <w:sz w:val="20"/>
        </w:rPr>
        <w:t xml:space="preserve">” means the Committee unless the Board has assumed the authority for administration of the Plan as provided in Article III. </w:t>
      </w:r>
    </w:p>
    <w:p>
      <w:pPr>
        <w:pStyle w:val="TextBody"/>
        <w:bidi w:val="0"/>
        <w:spacing w:before="240" w:after="0"/>
        <w:jc w:val="left"/>
        <w:rPr>
          <w:rFonts w:ascii="Times New Roman" w:hAnsi="Times New Roman"/>
          <w:sz w:val="20"/>
        </w:rPr>
      </w:pPr>
      <w:r>
        <w:rPr>
          <w:rFonts w:ascii="Times New Roman" w:hAnsi="Times New Roman"/>
          <w:sz w:val="20"/>
        </w:rPr>
        <w:t>11.2 “</w:t>
      </w:r>
      <w:r>
        <w:rPr>
          <w:rFonts w:ascii="Times New Roman" w:hAnsi="Times New Roman"/>
          <w:b/>
          <w:i/>
          <w:sz w:val="20"/>
        </w:rPr>
        <w:t>Applicable Laws</w:t>
      </w:r>
      <w:r>
        <w:rPr>
          <w:rFonts w:ascii="Times New Roman" w:hAnsi="Times New Roman"/>
          <w:sz w:val="20"/>
        </w:rPr>
        <w:t xml:space="preserve">” 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 </w:t>
      </w:r>
    </w:p>
    <w:p>
      <w:pPr>
        <w:pStyle w:val="TextBody"/>
        <w:bidi w:val="0"/>
        <w:spacing w:before="240" w:after="0"/>
        <w:jc w:val="left"/>
        <w:rPr>
          <w:rFonts w:ascii="Times New Roman" w:hAnsi="Times New Roman"/>
          <w:sz w:val="20"/>
        </w:rPr>
      </w:pPr>
      <w:r>
        <w:rPr>
          <w:rFonts w:ascii="Times New Roman" w:hAnsi="Times New Roman"/>
          <w:sz w:val="20"/>
        </w:rPr>
        <w:t>11.3 “</w:t>
      </w:r>
      <w:r>
        <w:rPr>
          <w:rFonts w:ascii="Times New Roman" w:hAnsi="Times New Roman"/>
          <w:b/>
          <w:i/>
          <w:sz w:val="20"/>
        </w:rPr>
        <w:t>Award</w:t>
      </w:r>
      <w:r>
        <w:rPr>
          <w:rFonts w:ascii="Times New Roman" w:hAnsi="Times New Roman"/>
          <w:sz w:val="20"/>
        </w:rPr>
        <w:t xml:space="preserve">” means, individually or collectively, a grant under the Plan of Options, Stock Appreciation Rights, Restricted Stock, Restricted Stock Units, Dividend Equivalents, or Other Stock or Cash Based Awards. </w:t>
      </w:r>
    </w:p>
    <w:p>
      <w:pPr>
        <w:pStyle w:val="TextBody"/>
        <w:bidi w:val="0"/>
        <w:spacing w:before="240" w:after="0"/>
        <w:jc w:val="left"/>
        <w:rPr>
          <w:rFonts w:ascii="Times New Roman" w:hAnsi="Times New Roman"/>
          <w:sz w:val="20"/>
        </w:rPr>
      </w:pPr>
      <w:r>
        <w:rPr>
          <w:rFonts w:ascii="Times New Roman" w:hAnsi="Times New Roman"/>
          <w:sz w:val="20"/>
        </w:rPr>
        <w:t>11.4 “</w:t>
      </w:r>
      <w:r>
        <w:rPr>
          <w:rFonts w:ascii="Times New Roman" w:hAnsi="Times New Roman"/>
          <w:b/>
          <w:i/>
          <w:sz w:val="20"/>
        </w:rPr>
        <w:t>Award Agreement</w:t>
      </w:r>
      <w:r>
        <w:rPr>
          <w:rFonts w:ascii="Times New Roman" w:hAnsi="Times New Roman"/>
          <w:sz w:val="20"/>
        </w:rPr>
        <w:t xml:space="preserve">” means a written agreement evidencing an Award, which may be electronic, that contains such terms and conditions as the Administrator determines, consistent with and subject to the terms and conditions of the Plan. </w:t>
      </w:r>
    </w:p>
    <w:p>
      <w:pPr>
        <w:pStyle w:val="TextBody"/>
        <w:bidi w:val="0"/>
        <w:spacing w:before="240" w:after="0"/>
        <w:jc w:val="left"/>
        <w:rPr>
          <w:rFonts w:ascii="Times New Roman" w:hAnsi="Times New Roman"/>
          <w:sz w:val="20"/>
        </w:rPr>
      </w:pPr>
      <w:r>
        <w:rPr>
          <w:rFonts w:ascii="Times New Roman" w:hAnsi="Times New Roman"/>
          <w:sz w:val="20"/>
        </w:rPr>
        <w:t>11.5 “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11.6 “</w:t>
      </w:r>
      <w:r>
        <w:rPr>
          <w:rFonts w:ascii="Times New Roman" w:hAnsi="Times New Roman"/>
          <w:b/>
          <w:i/>
          <w:sz w:val="20"/>
        </w:rPr>
        <w:t>Cause</w:t>
      </w:r>
      <w:r>
        <w:rPr>
          <w:rFonts w:ascii="Times New Roman" w:hAnsi="Times New Roman"/>
          <w:sz w:val="20"/>
        </w:rPr>
        <w:t>” means (i) if a Participant is a party to a written employment, severance or consulting agreement with the Company or any of its Subsidiaries or an Award Agreement in which the term “cause” is defined (a “</w:t>
      </w:r>
      <w:r>
        <w:rPr>
          <w:rFonts w:ascii="Times New Roman" w:hAnsi="Times New Roman"/>
          <w:sz w:val="20"/>
          <w:u w:val="single"/>
        </w:rPr>
        <w:t>Relevant Agreement</w:t>
      </w:r>
      <w:r>
        <w:rPr>
          <w:rFonts w:ascii="Times New Roman" w:hAnsi="Times New Roman"/>
          <w:sz w:val="20"/>
        </w:rPr>
        <w:t xml:space="preserve">”), “Cause” as defined in the Relevant Agreement, and (ii) if no Relevant Agreement exists, (A) the Administrator’s determination that the Participant failed to substantially perform the Participant’s duties (other than a failure resulting from the Participant’s Disability); (B) the Administrator’s determination that the Participant failed to carry out, or comply with any lawful and reasonable directive of the Board or the Participant’s immediate supervisor; (C)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Participant’s unauthorized use or disclosure of confidential information or trade secrets of the Company or any of its Subsidiaries or any material breach of a written agreement between the Participant and the Company; (D) the occurrence of any act or omission by the Participant that could reasonably be expected to result in (or has resulted in) the Participant’s conviction, plea of no contest, plea of nolo contendere, or imposition of un-adjudicated probation for any felony or indictable offense or crime involving moral turpitude; (E) the Participant’s unlawful use (including being under the influence) or possession of illegal drugs on the premises of the Company or any of its Subsidiaries or while performing the Participant’s duties and responsibilities for the Company or any of its Subsidiaries; or (F) the Participant’s commission of an act of fraud, embezzlement, misappropriation, misconduct, or breach of fiduciary duty against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11.7 “</w:t>
      </w:r>
      <w:r>
        <w:rPr>
          <w:rFonts w:ascii="Times New Roman" w:hAnsi="Times New Roman"/>
          <w:b/>
          <w:i/>
          <w:sz w:val="20"/>
        </w:rPr>
        <w:t>Change in Control</w:t>
      </w:r>
      <w:r>
        <w:rPr>
          <w:rFonts w:ascii="Times New Roman" w:hAnsi="Times New Roman"/>
          <w:sz w:val="20"/>
        </w:rPr>
        <w:t xml:space="preserve">” means and includes each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 </w:t>
      </w:r>
    </w:p>
    <w:p>
      <w:pPr>
        <w:pStyle w:val="TextBody"/>
        <w:bidi w:val="0"/>
        <w:spacing w:before="240" w:after="0"/>
        <w:jc w:val="left"/>
        <w:rPr>
          <w:rFonts w:ascii="Times New Roman" w:hAnsi="Times New Roman"/>
          <w:sz w:val="20"/>
        </w:rPr>
      </w:pPr>
      <w:r>
        <w:rPr>
          <w:rFonts w:ascii="Times New Roman" w:hAnsi="Times New Roman"/>
          <w:sz w:val="20"/>
        </w:rPr>
        <w:t xml:space="preserve">(b) During any period of two (2)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 (2)-year period or whose election or nomination for election was previously so approved, cease for any reason to constitute a majority thereof; or </w:t>
      </w:r>
    </w:p>
    <w:p>
      <w:pPr>
        <w:pStyle w:val="TextBody"/>
        <w:bidi w:val="0"/>
        <w:spacing w:before="240" w:after="0"/>
        <w:jc w:val="left"/>
        <w:rPr>
          <w:rFonts w:ascii="Times New Roman" w:hAnsi="Times New Roman"/>
          <w:sz w:val="20"/>
        </w:rPr>
      </w:pPr>
      <w:r>
        <w:rPr>
          <w:rFonts w:ascii="Times New Roman" w:hAnsi="Times New Roman"/>
          <w:sz w:val="20"/>
        </w:rPr>
        <w:t xml:space="preserve">(c) The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 </w:t>
      </w:r>
    </w:p>
    <w:p>
      <w:pPr>
        <w:pStyle w:val="TextBody"/>
        <w:bidi w:val="0"/>
        <w:spacing w:before="240" w:after="0"/>
        <w:jc w:val="left"/>
        <w:rPr>
          <w:rFonts w:ascii="Times New Roman" w:hAnsi="Times New Roman"/>
          <w:sz w:val="20"/>
        </w:rPr>
      </w:pPr>
      <w:r>
        <w:rPr>
          <w:rFonts w:ascii="Times New Roman" w:hAnsi="Times New Roman"/>
          <w:sz w:val="20"/>
        </w:rPr>
        <w:t>(i) which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hAnsi="Times New Roman"/>
          <w:b/>
          <w:i/>
          <w:sz w:val="20"/>
        </w:rPr>
        <w:t>Successor Entity</w:t>
      </w:r>
      <w:r>
        <w:rPr>
          <w:rFonts w:ascii="Times New Roman" w:hAnsi="Times New Roman"/>
          <w:sz w:val="20"/>
        </w:rPr>
        <w:t xml:space="preserve">”)) directly or indirectly, at least a majority of the combined voting power of the Successor Entity’s outstanding voting securities immediately after the transaction, and </w:t>
      </w:r>
    </w:p>
    <w:p>
      <w:pPr>
        <w:pStyle w:val="TextBody"/>
        <w:bidi w:val="0"/>
        <w:spacing w:before="240" w:after="0"/>
        <w:jc w:val="left"/>
        <w:rPr>
          <w:rFonts w:ascii="Times New Roman" w:hAnsi="Times New Roman"/>
          <w:sz w:val="20"/>
        </w:rPr>
      </w:pPr>
      <w:r>
        <w:rPr>
          <w:rFonts w:ascii="Times New Roman" w:hAnsi="Times New Roman"/>
          <w:sz w:val="20"/>
        </w:rPr>
        <w:t xml:space="preserve">(ii) after which no person or group beneficially owns voting securities representing 50% or more of the combined voting power of the Successor Entity;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person or group shall be treated for purposes of this clause (ii) as beneficially owning 50% or more of the combined voting power of the Successor Entity solely as a result of the voting power held in the Company prior to the consummation of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 </w:t>
      </w:r>
    </w:p>
    <w:p>
      <w:pPr>
        <w:pStyle w:val="TextBody"/>
        <w:bidi w:val="0"/>
        <w:spacing w:before="240" w:after="0"/>
        <w:jc w:val="left"/>
        <w:rPr>
          <w:rFonts w:ascii="Times New Roman" w:hAnsi="Times New Roman"/>
          <w:sz w:val="20"/>
        </w:rPr>
      </w:pPr>
      <w:r>
        <w:rPr>
          <w:rFonts w:ascii="Times New Roman" w:hAnsi="Times New Roman"/>
          <w:sz w:val="20"/>
        </w:rPr>
        <w:t>11.8 “</w:t>
      </w:r>
      <w:r>
        <w:rPr>
          <w:rFonts w:ascii="Times New Roman" w:hAnsi="Times New Roman"/>
          <w:b/>
          <w:i/>
          <w:sz w:val="20"/>
        </w:rPr>
        <w:t>Code</w:t>
      </w:r>
      <w:r>
        <w:rPr>
          <w:rFonts w:ascii="Times New Roman" w:hAnsi="Times New Roman"/>
          <w:sz w:val="20"/>
        </w:rPr>
        <w:t xml:space="preserve">” means the U.S. Internal Revenue Code of 1986, as amended, and the regulations issued thereunder. </w:t>
      </w:r>
    </w:p>
    <w:p>
      <w:pPr>
        <w:pStyle w:val="TextBody"/>
        <w:bidi w:val="0"/>
        <w:spacing w:before="240" w:after="0"/>
        <w:jc w:val="left"/>
        <w:rPr>
          <w:rFonts w:ascii="Times New Roman" w:hAnsi="Times New Roman"/>
          <w:sz w:val="20"/>
        </w:rPr>
      </w:pPr>
      <w:r>
        <w:rPr>
          <w:rFonts w:ascii="Times New Roman" w:hAnsi="Times New Roman"/>
          <w:sz w:val="20"/>
        </w:rPr>
        <w:t>11.9 “</w:t>
      </w:r>
      <w:r>
        <w:rPr>
          <w:rFonts w:ascii="Times New Roman" w:hAnsi="Times New Roman"/>
          <w:b/>
          <w:i/>
          <w:sz w:val="20"/>
        </w:rPr>
        <w:t>Committee</w:t>
      </w:r>
      <w:r>
        <w:rPr>
          <w:rFonts w:ascii="Times New Roman" w:hAnsi="Times New Roman"/>
          <w:sz w:val="20"/>
        </w:rPr>
        <w:t xml:space="preserve">” means the Compensation Committee of the Board comprised of two or more Directors, each of whom is intended to qualify as a Non-Employee Director and an Independent Director. </w:t>
      </w:r>
    </w:p>
    <w:p>
      <w:pPr>
        <w:pStyle w:val="TextBody"/>
        <w:bidi w:val="0"/>
        <w:spacing w:before="240" w:after="0"/>
        <w:jc w:val="left"/>
        <w:rPr>
          <w:rFonts w:ascii="Times New Roman" w:hAnsi="Times New Roman"/>
          <w:sz w:val="20"/>
        </w:rPr>
      </w:pPr>
      <w:r>
        <w:rPr>
          <w:rFonts w:ascii="Times New Roman" w:hAnsi="Times New Roman"/>
          <w:sz w:val="20"/>
        </w:rPr>
        <w:t>11.10 “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sz w:val="20"/>
        </w:rPr>
        <w:t>11.11 “</w:t>
      </w:r>
      <w:r>
        <w:rPr>
          <w:rFonts w:ascii="Times New Roman" w:hAnsi="Times New Roman"/>
          <w:b/>
          <w:i/>
          <w:sz w:val="20"/>
        </w:rPr>
        <w:t>Company</w:t>
      </w:r>
      <w:r>
        <w:rPr>
          <w:rFonts w:ascii="Times New Roman" w:hAnsi="Times New Roman"/>
          <w:sz w:val="20"/>
        </w:rPr>
        <w:t xml:space="preserve">” means Erasca, Inc., a Delaware corporation, or any successor. </w:t>
      </w:r>
    </w:p>
    <w:p>
      <w:pPr>
        <w:pStyle w:val="TextBody"/>
        <w:bidi w:val="0"/>
        <w:spacing w:before="240" w:after="0"/>
        <w:jc w:val="left"/>
        <w:rPr>
          <w:rFonts w:ascii="Times New Roman" w:hAnsi="Times New Roman"/>
          <w:sz w:val="20"/>
        </w:rPr>
      </w:pPr>
      <w:r>
        <w:rPr>
          <w:rFonts w:ascii="Times New Roman" w:hAnsi="Times New Roman"/>
          <w:sz w:val="20"/>
        </w:rPr>
        <w:t>11.12 “</w:t>
      </w:r>
      <w:r>
        <w:rPr>
          <w:rFonts w:ascii="Times New Roman" w:hAnsi="Times New Roman"/>
          <w:b/>
          <w:i/>
          <w:sz w:val="20"/>
        </w:rPr>
        <w:t>Consultant</w:t>
      </w:r>
      <w:r>
        <w:rPr>
          <w:rFonts w:ascii="Times New Roman" w:hAnsi="Times New Roman"/>
          <w:sz w:val="20"/>
        </w:rPr>
        <w:t xml:space="preserve">” means any person, including any consultant or advisor, that is not an Employee and that is engaged by the Company or any of its Subsidiaries to render services to such entity, in each case that can be granted an Award that is eligible to be registered on a Form S-8 Registration Statement. </w:t>
      </w:r>
    </w:p>
    <w:p>
      <w:pPr>
        <w:pStyle w:val="TextBody"/>
        <w:bidi w:val="0"/>
        <w:spacing w:before="240" w:after="0"/>
        <w:jc w:val="left"/>
        <w:rPr>
          <w:rFonts w:ascii="Times New Roman" w:hAnsi="Times New Roman"/>
          <w:sz w:val="20"/>
        </w:rPr>
      </w:pPr>
      <w:r>
        <w:rPr>
          <w:rFonts w:ascii="Times New Roman" w:hAnsi="Times New Roman"/>
          <w:sz w:val="20"/>
        </w:rPr>
        <w:t>11.13 “</w:t>
      </w:r>
      <w:r>
        <w:rPr>
          <w:rFonts w:ascii="Times New Roman" w:hAnsi="Times New Roman"/>
          <w:b/>
          <w:i/>
          <w:sz w:val="20"/>
        </w:rPr>
        <w:t>Designated Beneficiary</w:t>
      </w:r>
      <w:r>
        <w:rPr>
          <w:rFonts w:ascii="Times New Roman" w:hAnsi="Times New Roman"/>
          <w:sz w:val="20"/>
        </w:rPr>
        <w:t xml:space="preserve">”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 </w:t>
      </w:r>
    </w:p>
    <w:p>
      <w:pPr>
        <w:pStyle w:val="TextBody"/>
        <w:bidi w:val="0"/>
        <w:spacing w:before="240" w:after="0"/>
        <w:jc w:val="left"/>
        <w:rPr>
          <w:rFonts w:ascii="Times New Roman" w:hAnsi="Times New Roman"/>
          <w:sz w:val="20"/>
        </w:rPr>
      </w:pPr>
      <w:r>
        <w:rPr>
          <w:rFonts w:ascii="Times New Roman" w:hAnsi="Times New Roman"/>
          <w:sz w:val="20"/>
        </w:rPr>
        <w:t>11.14 “</w:t>
      </w:r>
      <w:r>
        <w:rPr>
          <w:rFonts w:ascii="Times New Roman" w:hAnsi="Times New Roman"/>
          <w:b/>
          <w:i/>
          <w:sz w:val="20"/>
        </w:rPr>
        <w:t>Director</w:t>
      </w:r>
      <w:r>
        <w:rPr>
          <w:rFonts w:ascii="Times New Roman" w:hAnsi="Times New Roman"/>
          <w:sz w:val="20"/>
        </w:rPr>
        <w:t xml:space="preserve">” means a Board member. </w:t>
      </w:r>
    </w:p>
    <w:p>
      <w:pPr>
        <w:pStyle w:val="TextBody"/>
        <w:bidi w:val="0"/>
        <w:spacing w:before="240" w:after="0"/>
        <w:jc w:val="left"/>
        <w:rPr>
          <w:rFonts w:ascii="Times New Roman" w:hAnsi="Times New Roman"/>
          <w:sz w:val="20"/>
        </w:rPr>
      </w:pPr>
      <w:r>
        <w:rPr>
          <w:rFonts w:ascii="Times New Roman" w:hAnsi="Times New Roman"/>
          <w:sz w:val="20"/>
        </w:rPr>
        <w:t>11.15 “</w:t>
      </w:r>
      <w:r>
        <w:rPr>
          <w:rFonts w:ascii="Times New Roman" w:hAnsi="Times New Roman"/>
          <w:b/>
          <w:i/>
          <w:sz w:val="20"/>
        </w:rPr>
        <w:t>Disability</w:t>
      </w:r>
      <w:r>
        <w:rPr>
          <w:rFonts w:ascii="Times New Roman" w:hAnsi="Times New Roman"/>
          <w:sz w:val="20"/>
        </w:rPr>
        <w:t xml:space="preserve">” means a permanent and total disability under Section 22(e)(3) of the Code, as amended. </w:t>
      </w:r>
    </w:p>
    <w:p>
      <w:pPr>
        <w:pStyle w:val="TextBody"/>
        <w:bidi w:val="0"/>
        <w:spacing w:before="240" w:after="0"/>
        <w:jc w:val="left"/>
        <w:rPr>
          <w:rFonts w:ascii="Times New Roman" w:hAnsi="Times New Roman"/>
          <w:sz w:val="20"/>
        </w:rPr>
      </w:pPr>
      <w:r>
        <w:rPr>
          <w:rFonts w:ascii="Times New Roman" w:hAnsi="Times New Roman"/>
          <w:sz w:val="20"/>
        </w:rPr>
        <w:t>11.16 “</w:t>
      </w:r>
      <w:r>
        <w:rPr>
          <w:rFonts w:ascii="Times New Roman" w:hAnsi="Times New Roman"/>
          <w:b/>
          <w:i/>
          <w:sz w:val="20"/>
        </w:rPr>
        <w:t>Dividend Equivalents</w:t>
      </w:r>
      <w:r>
        <w:rPr>
          <w:rFonts w:ascii="Times New Roman" w:hAnsi="Times New Roman"/>
          <w:sz w:val="20"/>
        </w:rPr>
        <w:t xml:space="preserve">” means a right granted to a Participant under the Plan to receive the equivalent value (in cash or Shares) of dividends paid on Shares. </w:t>
      </w:r>
    </w:p>
    <w:p>
      <w:pPr>
        <w:pStyle w:val="TextBody"/>
        <w:bidi w:val="0"/>
        <w:spacing w:before="240" w:after="0"/>
        <w:jc w:val="left"/>
        <w:rPr>
          <w:rFonts w:ascii="Times New Roman" w:hAnsi="Times New Roman"/>
          <w:sz w:val="20"/>
        </w:rPr>
      </w:pPr>
      <w:r>
        <w:rPr>
          <w:rFonts w:ascii="Times New Roman" w:hAnsi="Times New Roman"/>
          <w:sz w:val="20"/>
        </w:rPr>
        <w:t>11.17 “</w:t>
      </w:r>
      <w:r>
        <w:rPr>
          <w:rFonts w:ascii="Times New Roman" w:hAnsi="Times New Roman"/>
          <w:b/>
          <w:i/>
          <w:sz w:val="20"/>
        </w:rPr>
        <w:t>Eligible Person</w:t>
      </w:r>
      <w:r>
        <w:rPr>
          <w:rFonts w:ascii="Times New Roman" w:hAnsi="Times New Roman"/>
          <w:sz w:val="20"/>
        </w:rPr>
        <w:t xml:space="preserve">” means any prospective Employee who has not previously been an Employee or Director of the Company or a Subsidiary, or who is commencing employment with the Company or a Subsidiary following a bona fide period of non-employment by the Company or a Subsidiary, if he or she is granted an Award in connection with his or her commencement of employment with the Company or a Subsidiary and such grant is an inducement material to his or her entering into employment with the Company or a Subsidiary (within the meaning of Nasdaq Stock Market Rule IM-5636-1 or any successor rule, if the Company’s securities are traded on the Nasdaq Stock Market, and/or the applicable requirements of any other established stock exchange on which the Company’s securities are traded, as applicable, as such rules and requirements may be amended from time to time). The Administrator may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its discretion adopt procedures from time to time to ensure that a prospective Employee is eligible to participate in the Plan prior to the granting of any Awards to such individual under the Plan (including without limitation a requirement that each such prospective Employee certify to the Company prior to the receipt of an Award under the Plan that he or she has not been previously employed by the Company or a Subsidiary, or if previously employed, has had a bona fide period of non-employment, and that the grant of Awards under the Plan is an inducement material to his or her agreement to enter into employment with the Company or a Subsidiary). </w:t>
      </w:r>
    </w:p>
    <w:p>
      <w:pPr>
        <w:pStyle w:val="TextBody"/>
        <w:bidi w:val="0"/>
        <w:spacing w:before="240" w:after="0"/>
        <w:jc w:val="left"/>
        <w:rPr>
          <w:rFonts w:ascii="Times New Roman" w:hAnsi="Times New Roman"/>
          <w:sz w:val="20"/>
        </w:rPr>
      </w:pPr>
      <w:r>
        <w:rPr>
          <w:rFonts w:ascii="Times New Roman" w:hAnsi="Times New Roman"/>
          <w:sz w:val="20"/>
        </w:rPr>
        <w:t>11.18 “</w:t>
      </w:r>
      <w:r>
        <w:rPr>
          <w:rFonts w:ascii="Times New Roman" w:hAnsi="Times New Roman"/>
          <w:b/>
          <w:i/>
          <w:sz w:val="20"/>
        </w:rPr>
        <w:t>Employee</w:t>
      </w:r>
      <w:r>
        <w:rPr>
          <w:rFonts w:ascii="Times New Roman" w:hAnsi="Times New Roman"/>
          <w:sz w:val="20"/>
        </w:rPr>
        <w:t xml:space="preserve">” means any employee of the Company or its Subsidiaries. </w:t>
      </w:r>
    </w:p>
    <w:p>
      <w:pPr>
        <w:pStyle w:val="TextBody"/>
        <w:bidi w:val="0"/>
        <w:spacing w:before="240" w:after="0"/>
        <w:jc w:val="left"/>
        <w:rPr>
          <w:rFonts w:ascii="Times New Roman" w:hAnsi="Times New Roman"/>
          <w:sz w:val="20"/>
        </w:rPr>
      </w:pPr>
      <w:r>
        <w:rPr>
          <w:rFonts w:ascii="Times New Roman" w:hAnsi="Times New Roman"/>
          <w:sz w:val="20"/>
        </w:rPr>
        <w:t>11.19 “</w:t>
      </w:r>
      <w:r>
        <w:rPr>
          <w:rFonts w:ascii="Times New Roman" w:hAnsi="Times New Roman"/>
          <w:b/>
          <w:i/>
          <w:sz w:val="20"/>
        </w:rPr>
        <w:t>Equity Restructuring</w:t>
      </w:r>
      <w:r>
        <w:rPr>
          <w:rFonts w:ascii="Times New Roman" w:hAnsi="Times New Roman"/>
          <w:sz w:val="20"/>
        </w:rPr>
        <w:t xml:space="preserve">” means a non-reciprocal transaction between the Company and its stockholders, such as a stock dividend, stock split, spin-off or recapitalization through a large, nonrecurring cash dividend that affects the number or kind of Shares (or other securities of the Company) or the share price of Common Stock (or other securities of the Company) and causes a change in the per share value of the Common Stock underlying outstanding Awards. </w:t>
      </w:r>
    </w:p>
    <w:p>
      <w:pPr>
        <w:pStyle w:val="TextBody"/>
        <w:bidi w:val="0"/>
        <w:spacing w:before="240" w:after="0"/>
        <w:jc w:val="left"/>
        <w:rPr>
          <w:rFonts w:ascii="Times New Roman" w:hAnsi="Times New Roman"/>
          <w:sz w:val="20"/>
        </w:rPr>
      </w:pPr>
      <w:r>
        <w:rPr>
          <w:rFonts w:ascii="Times New Roman" w:hAnsi="Times New Roman"/>
          <w:sz w:val="20"/>
        </w:rPr>
        <w:t>11.20 “</w:t>
      </w:r>
      <w:r>
        <w:rPr>
          <w:rFonts w:ascii="Times New Roman" w:hAnsi="Times New Roman"/>
          <w:b/>
          <w:i/>
          <w:sz w:val="20"/>
        </w:rPr>
        <w:t>Exchange Act</w:t>
      </w:r>
      <w:r>
        <w:rPr>
          <w:rFonts w:ascii="Times New Roman" w:hAnsi="Times New Roman"/>
          <w:sz w:val="20"/>
        </w:rPr>
        <w:t xml:space="preserve">” means the U.S.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11.21 “</w:t>
      </w:r>
      <w:r>
        <w:rPr>
          <w:rFonts w:ascii="Times New Roman" w:hAnsi="Times New Roman"/>
          <w:b/>
          <w:i/>
          <w:sz w:val="20"/>
        </w:rPr>
        <w:t>Fair Market Value</w:t>
      </w:r>
      <w:r>
        <w:rPr>
          <w:rFonts w:ascii="Times New Roman" w:hAnsi="Times New Roman"/>
          <w:sz w:val="20"/>
        </w:rPr>
        <w:t xml:space="preserve">” means,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Times New Roman" w:hAnsi="Times New Roman"/>
          <w:i/>
          <w:sz w:val="20"/>
        </w:rPr>
        <w:t>The Wall Street Journal</w:t>
      </w:r>
      <w:r>
        <w:rPr>
          <w:rFonts w:ascii="Times New Roman" w:hAnsi="Times New Roman"/>
          <w:sz w:val="20"/>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Times New Roman" w:hAnsi="Times New Roman"/>
          <w:i/>
          <w:sz w:val="20"/>
        </w:rPr>
        <w:t xml:space="preserve">The Wall Street Journal </w:t>
      </w:r>
      <w:r>
        <w:rPr>
          <w:rFonts w:ascii="Times New Roman" w:hAnsi="Times New Roman"/>
          <w:sz w:val="20"/>
        </w:rPr>
        <w:t xml:space="preserve">or another source the Administrator deems reliable; or (c) in the absence of an established market for the Common Stock, the Administrator may determine the Fair Market Value in its discretion. </w:t>
      </w:r>
    </w:p>
    <w:p>
      <w:pPr>
        <w:pStyle w:val="TextBody"/>
        <w:bidi w:val="0"/>
        <w:spacing w:before="240" w:after="0"/>
        <w:jc w:val="left"/>
        <w:rPr>
          <w:rFonts w:ascii="Times New Roman" w:hAnsi="Times New Roman"/>
          <w:sz w:val="20"/>
        </w:rPr>
      </w:pPr>
      <w:r>
        <w:rPr>
          <w:rFonts w:ascii="Times New Roman" w:hAnsi="Times New Roman"/>
          <w:sz w:val="20"/>
        </w:rPr>
        <w:t>11.22 “</w:t>
      </w:r>
      <w:r>
        <w:rPr>
          <w:rFonts w:ascii="Times New Roman" w:hAnsi="Times New Roman"/>
          <w:b/>
          <w:i/>
          <w:sz w:val="20"/>
        </w:rPr>
        <w:t>Good Reason</w:t>
      </w:r>
      <w:r>
        <w:rPr>
          <w:rFonts w:ascii="Times New Roman" w:hAnsi="Times New Roman"/>
          <w:sz w:val="20"/>
        </w:rPr>
        <w:t xml:space="preserve">” means (a) a change in the Participant’s position with the Company (or its subsidiary employing the Participant) that materially reduces the Participant’s authority, duties or responsibilities, (b) a material diminution in the Participant’s level of base compensation, except in connection with a general reduction in the base compensation of the Company’s personnel with similar status and responsibilities or (c) a relocation of the Participant’s place of employment by more than 50 miles, provided that such change, reduction or relocation is effected by the Company (or its subsidiary employing the Participant) without the Participant’s consent. Notwithstanding the foregoing, Good Reason shall only exist if Participant shall have provided the Company with written notice within sixty (60) days of the initial occurrence of any of the foregoing events or conditions, and the Company or any successor or affiliate fails to eliminate the conditions constituting Good Reason within thirty (30) days after receipt of written notice of such event or condition from Participant. Participant’s resignation from employment with the Company for “Good Reason” must occur within six (6) months following the initial occurrence of one of the foregoing events or conditions. Notwithstanding the foregoing, if Participant is a party to a written employment or consulting agreement with the Company (or its subsidiary) in which the term “good reason” is defined, then “Good Reason” shall be as such term is defined in the applicable written employment or consulting agreement. </w:t>
      </w:r>
    </w:p>
    <w:p>
      <w:pPr>
        <w:pStyle w:val="TextBody"/>
        <w:bidi w:val="0"/>
        <w:spacing w:before="240" w:after="0"/>
        <w:jc w:val="left"/>
        <w:rPr>
          <w:rFonts w:ascii="Times New Roman" w:hAnsi="Times New Roman"/>
          <w:sz w:val="20"/>
        </w:rPr>
      </w:pPr>
      <w:r>
        <w:rPr>
          <w:rFonts w:ascii="Times New Roman" w:hAnsi="Times New Roman"/>
          <w:sz w:val="20"/>
        </w:rPr>
        <w:t>11.23 “</w:t>
      </w:r>
      <w:r>
        <w:rPr>
          <w:rFonts w:ascii="Times New Roman" w:hAnsi="Times New Roman"/>
          <w:b/>
          <w:i/>
          <w:sz w:val="20"/>
        </w:rPr>
        <w:t>Independent Director</w:t>
      </w:r>
      <w:r>
        <w:rPr>
          <w:rFonts w:ascii="Times New Roman" w:hAnsi="Times New Roman"/>
          <w:sz w:val="20"/>
        </w:rPr>
        <w:t xml:space="preserve">” means a Director of the Company who is not an Employee and who qualifies as “independent” within the meaning of Nasdaq Stock Market Rule 5605(a)(2), or any successor rule, if the Company’s securities are traded on the Nasdaq Stock Market, and/or the applicable requirements of any other established stock exchange on which the Company’s securities are traded, as applicable, as such rules and requirements may be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11.24 “</w:t>
      </w:r>
      <w:r>
        <w:rPr>
          <w:rFonts w:ascii="Times New Roman" w:hAnsi="Times New Roman"/>
          <w:b/>
          <w:i/>
          <w:sz w:val="20"/>
        </w:rPr>
        <w:t>Non-Employee Director</w:t>
      </w:r>
      <w:r>
        <w:rPr>
          <w:rFonts w:ascii="Times New Roman" w:hAnsi="Times New Roman"/>
          <w:sz w:val="20"/>
        </w:rPr>
        <w:t xml:space="preserve">” means a “non-employee director” within the meaning of Rule 16b-3. </w:t>
      </w:r>
    </w:p>
    <w:p>
      <w:pPr>
        <w:pStyle w:val="TextBody"/>
        <w:bidi w:val="0"/>
        <w:spacing w:before="240" w:after="0"/>
        <w:jc w:val="left"/>
        <w:rPr>
          <w:rFonts w:ascii="Times New Roman" w:hAnsi="Times New Roman"/>
          <w:sz w:val="20"/>
        </w:rPr>
      </w:pPr>
      <w:r>
        <w:rPr>
          <w:rFonts w:ascii="Times New Roman" w:hAnsi="Times New Roman"/>
          <w:sz w:val="20"/>
        </w:rPr>
        <w:t>11.25 “</w:t>
      </w:r>
      <w:r>
        <w:rPr>
          <w:rFonts w:ascii="Times New Roman" w:hAnsi="Times New Roman"/>
          <w:b/>
          <w:i/>
          <w:sz w:val="20"/>
        </w:rPr>
        <w:t>Non-Qualified Stock Option</w:t>
      </w:r>
      <w:r>
        <w:rPr>
          <w:rFonts w:ascii="Times New Roman" w:hAnsi="Times New Roman"/>
          <w:sz w:val="20"/>
        </w:rPr>
        <w:t xml:space="preserve">” means an Option, or portion thereof, not intended to or not qualifying as an “incentive stock option” as defined in Section 422 of the Code. </w:t>
      </w:r>
    </w:p>
    <w:p>
      <w:pPr>
        <w:pStyle w:val="TextBody"/>
        <w:bidi w:val="0"/>
        <w:spacing w:before="240" w:after="0"/>
        <w:jc w:val="left"/>
        <w:rPr>
          <w:rFonts w:ascii="Times New Roman" w:hAnsi="Times New Roman"/>
          <w:sz w:val="20"/>
        </w:rPr>
      </w:pPr>
      <w:r>
        <w:rPr>
          <w:rFonts w:ascii="Times New Roman" w:hAnsi="Times New Roman"/>
          <w:sz w:val="20"/>
        </w:rPr>
        <w:t>11.26 “</w:t>
      </w:r>
      <w:r>
        <w:rPr>
          <w:rFonts w:ascii="Times New Roman" w:hAnsi="Times New Roman"/>
          <w:b/>
          <w:i/>
          <w:sz w:val="20"/>
        </w:rPr>
        <w:t>Option</w:t>
      </w:r>
      <w:r>
        <w:rPr>
          <w:rFonts w:ascii="Times New Roman" w:hAnsi="Times New Roman"/>
          <w:sz w:val="20"/>
        </w:rPr>
        <w:t xml:space="preserve">” means an option to purchase Shares. All Options granted under the Plan shall be Non-Qualified Stock Options. </w:t>
      </w:r>
    </w:p>
    <w:p>
      <w:pPr>
        <w:pStyle w:val="TextBody"/>
        <w:bidi w:val="0"/>
        <w:spacing w:before="240" w:after="0"/>
        <w:jc w:val="left"/>
        <w:rPr>
          <w:rFonts w:ascii="Times New Roman" w:hAnsi="Times New Roman"/>
          <w:sz w:val="20"/>
        </w:rPr>
      </w:pPr>
      <w:r>
        <w:rPr>
          <w:rFonts w:ascii="Times New Roman" w:hAnsi="Times New Roman"/>
          <w:sz w:val="20"/>
        </w:rPr>
        <w:t>11.27 “</w:t>
      </w:r>
      <w:r>
        <w:rPr>
          <w:rFonts w:ascii="Times New Roman" w:hAnsi="Times New Roman"/>
          <w:b/>
          <w:i/>
          <w:sz w:val="20"/>
        </w:rPr>
        <w:t>Other Stock or Cash Based Awards</w:t>
      </w:r>
      <w:r>
        <w:rPr>
          <w:rFonts w:ascii="Times New Roman" w:hAnsi="Times New Roman"/>
          <w:sz w:val="20"/>
        </w:rPr>
        <w:t xml:space="preserve">” means cash awards, awards of Shares, and other awards valued wholly or partially by referring to, or are otherwise based on, Shares or other property awarded to a Participant under Article VII. </w:t>
      </w:r>
    </w:p>
    <w:p>
      <w:pPr>
        <w:pStyle w:val="TextBody"/>
        <w:bidi w:val="0"/>
        <w:spacing w:before="240" w:after="0"/>
        <w:jc w:val="left"/>
        <w:rPr>
          <w:rFonts w:ascii="Times New Roman" w:hAnsi="Times New Roman"/>
          <w:sz w:val="20"/>
        </w:rPr>
      </w:pPr>
      <w:r>
        <w:rPr>
          <w:rFonts w:ascii="Times New Roman" w:hAnsi="Times New Roman"/>
          <w:sz w:val="20"/>
        </w:rPr>
        <w:t>11.28 “</w:t>
      </w:r>
      <w:r>
        <w:rPr>
          <w:rFonts w:ascii="Times New Roman" w:hAnsi="Times New Roman"/>
          <w:b/>
          <w:i/>
          <w:sz w:val="20"/>
        </w:rPr>
        <w:t>Overall Share Limit</w:t>
      </w:r>
      <w:r>
        <w:rPr>
          <w:rFonts w:ascii="Times New Roman" w:hAnsi="Times New Roman"/>
          <w:sz w:val="20"/>
        </w:rPr>
        <w:t xml:space="preserve">” means 6,200,000 Shares. </w:t>
      </w:r>
    </w:p>
    <w:p>
      <w:pPr>
        <w:pStyle w:val="TextBody"/>
        <w:bidi w:val="0"/>
        <w:spacing w:before="240" w:after="0"/>
        <w:jc w:val="left"/>
        <w:rPr>
          <w:rFonts w:ascii="Times New Roman" w:hAnsi="Times New Roman"/>
          <w:sz w:val="20"/>
        </w:rPr>
      </w:pPr>
      <w:r>
        <w:rPr>
          <w:rFonts w:ascii="Times New Roman" w:hAnsi="Times New Roman"/>
          <w:sz w:val="20"/>
        </w:rPr>
        <w:t>11.29 “</w:t>
      </w:r>
      <w:r>
        <w:rPr>
          <w:rFonts w:ascii="Times New Roman" w:hAnsi="Times New Roman"/>
          <w:b/>
          <w:i/>
          <w:sz w:val="20"/>
        </w:rPr>
        <w:t>Participant</w:t>
      </w:r>
      <w:r>
        <w:rPr>
          <w:rFonts w:ascii="Times New Roman" w:hAnsi="Times New Roman"/>
          <w:sz w:val="20"/>
        </w:rPr>
        <w:t xml:space="preserve">” means an Eligible Person who has been granted an Award. </w:t>
      </w:r>
    </w:p>
    <w:p>
      <w:pPr>
        <w:pStyle w:val="TextBody"/>
        <w:bidi w:val="0"/>
        <w:spacing w:before="240" w:after="0"/>
        <w:jc w:val="left"/>
        <w:rPr>
          <w:rFonts w:ascii="Times New Roman" w:hAnsi="Times New Roman"/>
          <w:sz w:val="20"/>
        </w:rPr>
      </w:pPr>
      <w:r>
        <w:rPr>
          <w:rFonts w:ascii="Times New Roman" w:hAnsi="Times New Roman"/>
          <w:sz w:val="20"/>
        </w:rPr>
        <w:t>11.30 “</w:t>
      </w:r>
      <w:r>
        <w:rPr>
          <w:rFonts w:ascii="Times New Roman" w:hAnsi="Times New Roman"/>
          <w:b/>
          <w:i/>
          <w:sz w:val="20"/>
        </w:rPr>
        <w:t>Plan</w:t>
      </w:r>
      <w:r>
        <w:rPr>
          <w:rFonts w:ascii="Times New Roman" w:hAnsi="Times New Roman"/>
          <w:sz w:val="20"/>
        </w:rPr>
        <w:t xml:space="preserve">” means this Erasca, Inc. 2026 Employment Inducement Incentive Award Plan. </w:t>
      </w:r>
    </w:p>
    <w:p>
      <w:pPr>
        <w:pStyle w:val="TextBody"/>
        <w:bidi w:val="0"/>
        <w:spacing w:before="240" w:after="0"/>
        <w:jc w:val="left"/>
        <w:rPr>
          <w:rFonts w:ascii="Times New Roman" w:hAnsi="Times New Roman"/>
          <w:sz w:val="20"/>
        </w:rPr>
      </w:pPr>
      <w:r>
        <w:rPr>
          <w:rFonts w:ascii="Times New Roman" w:hAnsi="Times New Roman"/>
          <w:sz w:val="20"/>
        </w:rPr>
        <w:t>11.31 “</w:t>
      </w:r>
      <w:r>
        <w:rPr>
          <w:rFonts w:ascii="Times New Roman" w:hAnsi="Times New Roman"/>
          <w:b/>
          <w:i/>
          <w:sz w:val="20"/>
        </w:rPr>
        <w:t>Restricted Stock</w:t>
      </w:r>
      <w:r>
        <w:rPr>
          <w:rFonts w:ascii="Times New Roman" w:hAnsi="Times New Roman"/>
          <w:sz w:val="20"/>
        </w:rPr>
        <w:t xml:space="preserve">” means Shares awarded to a Participant under Article VI subject to certain vesting conditions and other restrictions. </w:t>
      </w:r>
    </w:p>
    <w:p>
      <w:pPr>
        <w:pStyle w:val="TextBody"/>
        <w:bidi w:val="0"/>
        <w:spacing w:before="240" w:after="0"/>
        <w:jc w:val="left"/>
        <w:rPr>
          <w:rFonts w:ascii="Times New Roman" w:hAnsi="Times New Roman"/>
          <w:sz w:val="20"/>
        </w:rPr>
      </w:pPr>
      <w:r>
        <w:rPr>
          <w:rFonts w:ascii="Times New Roman" w:hAnsi="Times New Roman"/>
          <w:sz w:val="20"/>
        </w:rPr>
        <w:t>11.32 “</w:t>
      </w:r>
      <w:r>
        <w:rPr>
          <w:rFonts w:ascii="Times New Roman" w:hAnsi="Times New Roman"/>
          <w:b/>
          <w:i/>
          <w:sz w:val="20"/>
        </w:rPr>
        <w:t>Restricted Stock Unit</w:t>
      </w:r>
      <w:r>
        <w:rPr>
          <w:rFonts w:ascii="Times New Roman" w:hAnsi="Times New Roman"/>
          <w:sz w:val="20"/>
        </w:rPr>
        <w:t xml:space="preserve">”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 </w:t>
      </w:r>
    </w:p>
    <w:p>
      <w:pPr>
        <w:pStyle w:val="TextBody"/>
        <w:bidi w:val="0"/>
        <w:spacing w:before="240" w:after="0"/>
        <w:jc w:val="left"/>
        <w:rPr>
          <w:rFonts w:ascii="Times New Roman" w:hAnsi="Times New Roman"/>
          <w:sz w:val="20"/>
        </w:rPr>
      </w:pPr>
      <w:r>
        <w:rPr>
          <w:rFonts w:ascii="Times New Roman" w:hAnsi="Times New Roman"/>
          <w:sz w:val="20"/>
        </w:rPr>
        <w:t>11.33 “</w:t>
      </w:r>
      <w:r>
        <w:rPr>
          <w:rFonts w:ascii="Times New Roman" w:hAnsi="Times New Roman"/>
          <w:b/>
          <w:i/>
          <w:sz w:val="20"/>
        </w:rPr>
        <w:t>Rule 16b-3</w:t>
      </w:r>
      <w:r>
        <w:rPr>
          <w:rFonts w:ascii="Times New Roman" w:hAnsi="Times New Roman"/>
          <w:sz w:val="20"/>
        </w:rPr>
        <w:t xml:space="preserve">” means Rule 16b-3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11.34 “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means Section 409A of the Code and all regulations, guidance, compliance programs and other interpretative authority thereunder. </w:t>
      </w:r>
    </w:p>
    <w:p>
      <w:pPr>
        <w:pStyle w:val="TextBody"/>
        <w:bidi w:val="0"/>
        <w:spacing w:before="240" w:after="0"/>
        <w:jc w:val="left"/>
        <w:rPr>
          <w:rFonts w:ascii="Times New Roman" w:hAnsi="Times New Roman"/>
          <w:sz w:val="20"/>
        </w:rPr>
      </w:pPr>
      <w:r>
        <w:rPr>
          <w:rFonts w:ascii="Times New Roman" w:hAnsi="Times New Roman"/>
          <w:sz w:val="20"/>
        </w:rPr>
        <w:t>11.35 “</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11.36 “</w:t>
      </w:r>
      <w:r>
        <w:rPr>
          <w:rFonts w:ascii="Times New Roman" w:hAnsi="Times New Roman"/>
          <w:b/>
          <w:i/>
          <w:sz w:val="20"/>
        </w:rPr>
        <w:t>Service Provider</w:t>
      </w:r>
      <w:r>
        <w:rPr>
          <w:rFonts w:ascii="Times New Roman" w:hAnsi="Times New Roman"/>
          <w:sz w:val="20"/>
        </w:rPr>
        <w:t xml:space="preserve">” means an Employee, Consultant or Director. </w:t>
      </w:r>
    </w:p>
    <w:p>
      <w:pPr>
        <w:pStyle w:val="TextBody"/>
        <w:bidi w:val="0"/>
        <w:spacing w:before="240" w:after="0"/>
        <w:jc w:val="left"/>
        <w:rPr>
          <w:rFonts w:ascii="Times New Roman" w:hAnsi="Times New Roman"/>
          <w:sz w:val="20"/>
        </w:rPr>
      </w:pPr>
      <w:r>
        <w:rPr>
          <w:rFonts w:ascii="Times New Roman" w:hAnsi="Times New Roman"/>
          <w:sz w:val="20"/>
        </w:rPr>
        <w:t>11.37 “</w:t>
      </w:r>
      <w:r>
        <w:rPr>
          <w:rFonts w:ascii="Times New Roman" w:hAnsi="Times New Roman"/>
          <w:b/>
          <w:i/>
          <w:sz w:val="20"/>
        </w:rPr>
        <w:t>Shares</w:t>
      </w:r>
      <w:r>
        <w:rPr>
          <w:rFonts w:ascii="Times New Roman" w:hAnsi="Times New Roman"/>
          <w:sz w:val="20"/>
        </w:rPr>
        <w:t xml:space="preserve">” means shares of Common Stock. </w:t>
      </w:r>
    </w:p>
    <w:p>
      <w:pPr>
        <w:pStyle w:val="TextBody"/>
        <w:bidi w:val="0"/>
        <w:spacing w:before="240" w:after="0"/>
        <w:jc w:val="left"/>
        <w:rPr>
          <w:rFonts w:ascii="Times New Roman" w:hAnsi="Times New Roman"/>
          <w:sz w:val="20"/>
        </w:rPr>
      </w:pPr>
      <w:r>
        <w:rPr>
          <w:rFonts w:ascii="Times New Roman" w:hAnsi="Times New Roman"/>
          <w:sz w:val="20"/>
        </w:rPr>
        <w:t>11.38 “</w:t>
      </w:r>
      <w:r>
        <w:rPr>
          <w:rFonts w:ascii="Times New Roman" w:hAnsi="Times New Roman"/>
          <w:b/>
          <w:i/>
          <w:sz w:val="20"/>
        </w:rPr>
        <w:t>Stock Appreciation Right</w:t>
      </w:r>
      <w:r>
        <w:rPr>
          <w:rFonts w:ascii="Times New Roman" w:hAnsi="Times New Roman"/>
          <w:sz w:val="20"/>
        </w:rPr>
        <w:t xml:space="preserve">” means a stock appreciation right granted under Article V. </w:t>
      </w:r>
    </w:p>
    <w:p>
      <w:pPr>
        <w:pStyle w:val="TextBody"/>
        <w:bidi w:val="0"/>
        <w:spacing w:before="240" w:after="0"/>
        <w:jc w:val="left"/>
        <w:rPr>
          <w:rFonts w:ascii="Times New Roman" w:hAnsi="Times New Roman"/>
          <w:sz w:val="20"/>
        </w:rPr>
      </w:pPr>
      <w:r>
        <w:rPr>
          <w:rFonts w:ascii="Times New Roman" w:hAnsi="Times New Roman"/>
          <w:sz w:val="20"/>
        </w:rPr>
        <w:t>11.39 “</w:t>
      </w:r>
      <w:r>
        <w:rPr>
          <w:rFonts w:ascii="Times New Roman" w:hAnsi="Times New Roman"/>
          <w:b/>
          <w:i/>
          <w:sz w:val="20"/>
        </w:rPr>
        <w:t>Subsidiary</w:t>
      </w:r>
      <w:r>
        <w:rPr>
          <w:rFonts w:ascii="Times New Roman" w:hAnsi="Times New Roman"/>
          <w:sz w:val="20"/>
        </w:rPr>
        <w:t xml:space="preserve">”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 </w:t>
      </w:r>
    </w:p>
    <w:p>
      <w:pPr>
        <w:pStyle w:val="TextBody"/>
        <w:bidi w:val="0"/>
        <w:spacing w:before="240" w:after="0"/>
        <w:jc w:val="left"/>
        <w:rPr>
          <w:rFonts w:ascii="Times New Roman" w:hAnsi="Times New Roman"/>
          <w:sz w:val="20"/>
        </w:rPr>
      </w:pPr>
      <w:r>
        <w:rPr>
          <w:rFonts w:ascii="Times New Roman" w:hAnsi="Times New Roman"/>
          <w:sz w:val="20"/>
        </w:rPr>
        <w:t>11.40 “</w:t>
      </w:r>
      <w:r>
        <w:rPr>
          <w:rFonts w:ascii="Times New Roman" w:hAnsi="Times New Roman"/>
          <w:b/>
          <w:i/>
          <w:sz w:val="20"/>
        </w:rPr>
        <w:t>Termination of Service</w:t>
      </w:r>
      <w:r>
        <w:rPr>
          <w:rFonts w:ascii="Times New Roman" w:hAnsi="Times New Roman"/>
          <w:sz w:val="20"/>
        </w:rPr>
        <w:t xml:space="preserve">” means the date the Participant ceases to be a Service Provider. </w:t>
      </w:r>
    </w:p>
    <w:p>
      <w:pPr>
        <w:pStyle w:val="TextBody"/>
        <w:bidi w:val="0"/>
        <w:spacing w:before="360" w:after="0"/>
        <w:jc w:val="center"/>
        <w:rPr>
          <w:rFonts w:ascii="Times New Roman" w:hAnsi="Times New Roman"/>
          <w:b/>
          <w:sz w:val="20"/>
        </w:rPr>
      </w:pPr>
      <w:r>
        <w:rPr>
          <w:rFonts w:ascii="Times New Roman" w:hAnsi="Times New Roman"/>
          <w:b/>
          <w:sz w:val="20"/>
        </w:rPr>
        <w:t xml:space="preserve">* *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ERASCA, INC.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2026 EMPLOYMENT INDUCEMENT INCENTIVE AWARD PLAN </w:t>
      </w:r>
    </w:p>
    <w:p>
      <w:pPr>
        <w:pStyle w:val="TextBody"/>
        <w:bidi w:val="0"/>
        <w:spacing w:before="240" w:after="0"/>
        <w:jc w:val="center"/>
        <w:rPr>
          <w:rFonts w:ascii="Times New Roman" w:hAnsi="Times New Roman"/>
          <w:b/>
          <w:sz w:val="20"/>
        </w:rPr>
      </w:pPr>
      <w:r>
        <w:rPr>
          <w:rFonts w:ascii="Times New Roman" w:hAnsi="Times New Roman"/>
          <w:b/>
          <w:sz w:val="20"/>
        </w:rPr>
        <w:t xml:space="preserve">STOCK OPTION GRANT NOTICE </w:t>
      </w:r>
    </w:p>
    <w:p>
      <w:pPr>
        <w:pStyle w:val="TextBody"/>
        <w:bidi w:val="0"/>
        <w:spacing w:before="240" w:after="0"/>
        <w:jc w:val="left"/>
        <w:rPr>
          <w:rFonts w:ascii="Times New Roman" w:hAnsi="Times New Roman"/>
          <w:sz w:val="20"/>
        </w:rPr>
      </w:pPr>
      <w:r>
        <w:rPr>
          <w:rFonts w:ascii="Times New Roman" w:hAnsi="Times New Roman"/>
          <w:sz w:val="20"/>
        </w:rPr>
        <w:t>Capitalized terms not specifically defined in this Stock Option Grant Notice (the “</w:t>
      </w:r>
      <w:r>
        <w:rPr>
          <w:rFonts w:ascii="Times New Roman" w:hAnsi="Times New Roman"/>
          <w:b/>
          <w:i/>
          <w:sz w:val="20"/>
        </w:rPr>
        <w:t>Grant Notice</w:t>
      </w:r>
      <w:r>
        <w:rPr>
          <w:rFonts w:ascii="Times New Roman" w:hAnsi="Times New Roman"/>
          <w:sz w:val="20"/>
        </w:rPr>
        <w:t>”) have the meanings given to them in the 2026 Employment Inducement Incentive Award Plan (as amended from time to time, the “</w:t>
      </w:r>
      <w:r>
        <w:rPr>
          <w:rFonts w:ascii="Times New Roman" w:hAnsi="Times New Roman"/>
          <w:b/>
          <w:i/>
          <w:sz w:val="20"/>
        </w:rPr>
        <w:t>Plan</w:t>
      </w:r>
      <w:r>
        <w:rPr>
          <w:rFonts w:ascii="Times New Roman" w:hAnsi="Times New Roman"/>
          <w:sz w:val="20"/>
        </w:rPr>
        <w:t>”) of Erasca, Inc. (the “</w:t>
      </w:r>
      <w:r>
        <w:rPr>
          <w:rFonts w:ascii="Times New Roman" w:hAnsi="Times New Roman"/>
          <w:b/>
          <w:i/>
          <w:sz w:val="20"/>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hereby grants to the participant listed below (“</w:t>
      </w:r>
      <w:r>
        <w:rPr>
          <w:rFonts w:ascii="Times New Roman" w:hAnsi="Times New Roman"/>
          <w:b/>
          <w:i/>
          <w:sz w:val="20"/>
        </w:rPr>
        <w:t>Participant</w:t>
      </w:r>
      <w:r>
        <w:rPr>
          <w:rFonts w:ascii="Times New Roman" w:hAnsi="Times New Roman"/>
          <w:sz w:val="20"/>
        </w:rPr>
        <w:t>”) the stock option described in this Grant Notice (the “</w:t>
      </w:r>
      <w:r>
        <w:rPr>
          <w:rFonts w:ascii="Times New Roman" w:hAnsi="Times New Roman"/>
          <w:b/>
          <w:i/>
          <w:sz w:val="20"/>
        </w:rPr>
        <w:t>Option</w:t>
      </w:r>
      <w:r>
        <w:rPr>
          <w:rFonts w:ascii="Times New Roman" w:hAnsi="Times New Roman"/>
          <w:sz w:val="20"/>
        </w:rPr>
        <w:t xml:space="preserve">”), subject to the terms and conditions of the Plan and the Stock Option Agreement attached hereto as </w:t>
      </w:r>
      <w:r>
        <w:rPr>
          <w:rFonts w:ascii="Times New Roman" w:hAnsi="Times New Roman"/>
          <w:b/>
          <w:sz w:val="20"/>
        </w:rPr>
        <w:t>Exhibit A</w:t>
      </w:r>
      <w:r>
        <w:rPr>
          <w:rFonts w:ascii="Times New Roman" w:hAnsi="Times New Roman"/>
          <w:sz w:val="20"/>
        </w:rPr>
        <w:t xml:space="preserve"> (the “</w:t>
      </w:r>
      <w:r>
        <w:rPr>
          <w:rFonts w:ascii="Times New Roman" w:hAnsi="Times New Roman"/>
          <w:b/>
          <w:i/>
          <w:sz w:val="20"/>
        </w:rPr>
        <w:t>Agreement</w:t>
      </w:r>
      <w:r>
        <w:rPr>
          <w:rFonts w:ascii="Times New Roman" w:hAnsi="Times New Roman"/>
          <w:sz w:val="20"/>
        </w:rPr>
        <w:t xml:space="preserve">”), both of which are incorporated into this Grant Notice by reference.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3"/>
        <w:gridCol w:w="121"/>
        <w:gridCol w:w="4921"/>
      </w:tblGrid>
      <w:tr>
        <w:trPr/>
        <w:tc>
          <w:tcPr>
            <w:tcW w:w="516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r>
      <w:tr>
        <w:trPr/>
        <w:tc>
          <w:tcPr>
            <w:tcW w:w="51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Participant:</w:t>
            </w:r>
          </w:p>
        </w:tc>
        <w:tc>
          <w:tcPr>
            <w:tcW w:w="121" w:type="dxa"/>
            <w:tcBorders/>
            <w:vAlign w:val="bottom"/>
          </w:tcPr>
          <w:p>
            <w:pPr>
              <w:pStyle w:val="TableContents"/>
              <w:bidi w:val="0"/>
              <w:spacing w:before="0" w:after="283"/>
              <w:jc w:val="left"/>
              <w:rPr/>
            </w:pPr>
            <w:r>
              <w:rPr/>
              <w:t>  </w:t>
            </w:r>
          </w:p>
        </w:tc>
        <w:tc>
          <w:tcPr>
            <w:tcW w:w="4921" w:type="dxa"/>
            <w:tcBorders/>
            <w:vAlign w:val="bottom"/>
          </w:tcPr>
          <w:p>
            <w:pPr>
              <w:pStyle w:val="TableContents"/>
              <w:bidi w:val="0"/>
              <w:spacing w:before="0" w:after="283"/>
              <w:jc w:val="left"/>
              <w:rPr/>
            </w:pPr>
            <w:r>
              <w:rPr/>
              <w:t>[Insert Participant Name]</w:t>
            </w:r>
          </w:p>
        </w:tc>
      </w:tr>
      <w:tr>
        <w:trPr/>
        <w:tc>
          <w:tcPr>
            <w:tcW w:w="51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Grant Date:</w:t>
            </w:r>
          </w:p>
        </w:tc>
        <w:tc>
          <w:tcPr>
            <w:tcW w:w="121" w:type="dxa"/>
            <w:tcBorders/>
            <w:vAlign w:val="bottom"/>
          </w:tcPr>
          <w:p>
            <w:pPr>
              <w:pStyle w:val="TableContents"/>
              <w:bidi w:val="0"/>
              <w:spacing w:before="0" w:after="283"/>
              <w:jc w:val="left"/>
              <w:rPr/>
            </w:pPr>
            <w:r>
              <w:rPr/>
              <w:t>  </w:t>
            </w:r>
          </w:p>
        </w:tc>
        <w:tc>
          <w:tcPr>
            <w:tcW w:w="4921" w:type="dxa"/>
            <w:tcBorders/>
            <w:vAlign w:val="bottom"/>
          </w:tcPr>
          <w:p>
            <w:pPr>
              <w:pStyle w:val="TableContents"/>
              <w:bidi w:val="0"/>
              <w:spacing w:before="0" w:after="283"/>
              <w:jc w:val="left"/>
              <w:rPr/>
            </w:pPr>
            <w:r>
              <w:rPr/>
              <w:t>[Insert Grant Date]</w:t>
            </w:r>
          </w:p>
        </w:tc>
      </w:tr>
      <w:tr>
        <w:trPr/>
        <w:tc>
          <w:tcPr>
            <w:tcW w:w="51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Exercise Price per Share:</w:t>
            </w:r>
          </w:p>
        </w:tc>
        <w:tc>
          <w:tcPr>
            <w:tcW w:w="121" w:type="dxa"/>
            <w:tcBorders/>
            <w:vAlign w:val="bottom"/>
          </w:tcPr>
          <w:p>
            <w:pPr>
              <w:pStyle w:val="TableContents"/>
              <w:bidi w:val="0"/>
              <w:spacing w:before="0" w:after="283"/>
              <w:jc w:val="left"/>
              <w:rPr/>
            </w:pPr>
            <w:r>
              <w:rPr/>
              <w:t>  </w:t>
            </w:r>
          </w:p>
        </w:tc>
        <w:tc>
          <w:tcPr>
            <w:tcW w:w="4921" w:type="dxa"/>
            <w:tcBorders/>
            <w:vAlign w:val="bottom"/>
          </w:tcPr>
          <w:p>
            <w:pPr>
              <w:pStyle w:val="TableContents"/>
              <w:bidi w:val="0"/>
              <w:spacing w:before="0" w:after="283"/>
              <w:jc w:val="left"/>
              <w:rPr/>
            </w:pPr>
            <w:r>
              <w:rPr/>
              <w:t>[Insert Exercise Price]</w:t>
            </w:r>
          </w:p>
        </w:tc>
      </w:tr>
      <w:tr>
        <w:trPr/>
        <w:tc>
          <w:tcPr>
            <w:tcW w:w="51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Shares Subject to the Option:</w:t>
            </w:r>
          </w:p>
        </w:tc>
        <w:tc>
          <w:tcPr>
            <w:tcW w:w="121" w:type="dxa"/>
            <w:tcBorders/>
            <w:vAlign w:val="bottom"/>
          </w:tcPr>
          <w:p>
            <w:pPr>
              <w:pStyle w:val="TableContents"/>
              <w:bidi w:val="0"/>
              <w:spacing w:before="0" w:after="283"/>
              <w:jc w:val="left"/>
              <w:rPr/>
            </w:pPr>
            <w:r>
              <w:rPr/>
              <w:t>  </w:t>
            </w:r>
          </w:p>
        </w:tc>
        <w:tc>
          <w:tcPr>
            <w:tcW w:w="4921" w:type="dxa"/>
            <w:tcBorders/>
            <w:vAlign w:val="bottom"/>
          </w:tcPr>
          <w:p>
            <w:pPr>
              <w:pStyle w:val="TableContents"/>
              <w:bidi w:val="0"/>
              <w:spacing w:before="0" w:after="283"/>
              <w:jc w:val="left"/>
              <w:rPr/>
            </w:pPr>
            <w:r>
              <w:rPr/>
              <w:t>[Insert Number of Options]</w:t>
            </w:r>
          </w:p>
        </w:tc>
      </w:tr>
      <w:tr>
        <w:trPr/>
        <w:tc>
          <w:tcPr>
            <w:tcW w:w="51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Final Expiration Date:</w:t>
            </w:r>
          </w:p>
        </w:tc>
        <w:tc>
          <w:tcPr>
            <w:tcW w:w="121" w:type="dxa"/>
            <w:tcBorders/>
            <w:vAlign w:val="bottom"/>
          </w:tcPr>
          <w:p>
            <w:pPr>
              <w:pStyle w:val="TableContents"/>
              <w:bidi w:val="0"/>
              <w:spacing w:before="0" w:after="283"/>
              <w:jc w:val="left"/>
              <w:rPr/>
            </w:pPr>
            <w:r>
              <w:rPr/>
              <w:t>  </w:t>
            </w:r>
          </w:p>
        </w:tc>
        <w:tc>
          <w:tcPr>
            <w:tcW w:w="4921" w:type="dxa"/>
            <w:tcBorders/>
            <w:vAlign w:val="bottom"/>
          </w:tcPr>
          <w:p>
            <w:pPr>
              <w:pStyle w:val="TableContents"/>
              <w:bidi w:val="0"/>
              <w:spacing w:before="0" w:after="283"/>
              <w:jc w:val="left"/>
              <w:rPr/>
            </w:pPr>
            <w:r>
              <w:rPr/>
              <w:t>[Insert Tenth Anniversary of Grant Date]</w:t>
            </w:r>
          </w:p>
        </w:tc>
      </w:tr>
      <w:tr>
        <w:trPr/>
        <w:tc>
          <w:tcPr>
            <w:tcW w:w="51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Vesting Commencement Date:</w:t>
            </w:r>
          </w:p>
        </w:tc>
        <w:tc>
          <w:tcPr>
            <w:tcW w:w="121" w:type="dxa"/>
            <w:tcBorders/>
            <w:vAlign w:val="bottom"/>
          </w:tcPr>
          <w:p>
            <w:pPr>
              <w:pStyle w:val="TableContents"/>
              <w:bidi w:val="0"/>
              <w:spacing w:before="0" w:after="283"/>
              <w:jc w:val="left"/>
              <w:rPr/>
            </w:pPr>
            <w:r>
              <w:rPr/>
              <w:t>  </w:t>
            </w:r>
          </w:p>
        </w:tc>
        <w:tc>
          <w:tcPr>
            <w:tcW w:w="4921" w:type="dxa"/>
            <w:tcBorders/>
            <w:vAlign w:val="bottom"/>
          </w:tcPr>
          <w:p>
            <w:pPr>
              <w:pStyle w:val="TableContents"/>
              <w:bidi w:val="0"/>
              <w:spacing w:before="0" w:after="283"/>
              <w:jc w:val="left"/>
              <w:rPr/>
            </w:pPr>
            <w:r>
              <w:rPr/>
              <w:t>[Insert Vesting Commencement Date]</w:t>
            </w:r>
          </w:p>
        </w:tc>
      </w:tr>
      <w:tr>
        <w:trPr/>
        <w:tc>
          <w:tcPr>
            <w:tcW w:w="51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Vesting Schedule:</w:t>
            </w:r>
          </w:p>
        </w:tc>
        <w:tc>
          <w:tcPr>
            <w:tcW w:w="121" w:type="dxa"/>
            <w:tcBorders/>
            <w:vAlign w:val="bottom"/>
          </w:tcPr>
          <w:p>
            <w:pPr>
              <w:pStyle w:val="TableContents"/>
              <w:bidi w:val="0"/>
              <w:spacing w:before="0" w:after="283"/>
              <w:jc w:val="left"/>
              <w:rPr/>
            </w:pPr>
            <w:r>
              <w:rPr/>
              <w:t>  </w:t>
            </w:r>
          </w:p>
        </w:tc>
        <w:tc>
          <w:tcPr>
            <w:tcW w:w="4921" w:type="dxa"/>
            <w:tcBorders/>
            <w:vAlign w:val="bottom"/>
          </w:tcPr>
          <w:p>
            <w:pPr>
              <w:pStyle w:val="TableContents"/>
              <w:bidi w:val="0"/>
              <w:spacing w:before="0" w:after="283"/>
              <w:jc w:val="left"/>
              <w:rPr/>
            </w:pPr>
            <w:r>
              <w:rPr/>
              <w:t>[Insert Vesting Schedule]</w:t>
            </w:r>
          </w:p>
        </w:tc>
      </w:tr>
      <w:tr>
        <w:trPr/>
        <w:tc>
          <w:tcPr>
            <w:tcW w:w="51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Type of Option:</w:t>
            </w:r>
          </w:p>
        </w:tc>
        <w:tc>
          <w:tcPr>
            <w:tcW w:w="121" w:type="dxa"/>
            <w:tcBorders/>
            <w:vAlign w:val="bottom"/>
          </w:tcPr>
          <w:p>
            <w:pPr>
              <w:pStyle w:val="TableContents"/>
              <w:bidi w:val="0"/>
              <w:spacing w:before="0" w:after="283"/>
              <w:jc w:val="left"/>
              <w:rPr/>
            </w:pPr>
            <w:r>
              <w:rPr/>
              <w:t>  </w:t>
            </w:r>
          </w:p>
        </w:tc>
        <w:tc>
          <w:tcPr>
            <w:tcW w:w="4921" w:type="dxa"/>
            <w:tcBorders/>
            <w:vAlign w:val="bottom"/>
          </w:tcPr>
          <w:p>
            <w:pPr>
              <w:pStyle w:val="TableContents"/>
              <w:bidi w:val="0"/>
              <w:spacing w:before="0" w:after="283"/>
              <w:jc w:val="left"/>
              <w:rPr/>
            </w:pPr>
            <w:r>
              <w:rPr/>
              <w:t>Non-Qualified Stock Option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Company uses an electronic capitalization table system (such as E*Trade, Shareworks or Carta) and the fields in this Grant Notice are blank or the information is otherwise provided in a different format electronically, the blank fields and other information will be deemed to come from the electronic capitalization system and is considered part of this Grant Notice. </w:t>
      </w:r>
    </w:p>
    <w:p>
      <w:pPr>
        <w:pStyle w:val="TextBody"/>
        <w:bidi w:val="0"/>
        <w:spacing w:before="240" w:after="0"/>
        <w:jc w:val="left"/>
        <w:rPr>
          <w:rFonts w:ascii="Times New Roman" w:hAnsi="Times New Roman"/>
          <w:sz w:val="20"/>
        </w:rPr>
      </w:pPr>
      <w:r>
        <w:rPr>
          <w:rFonts w:ascii="Times New Roman" w:hAnsi="Times New Roman"/>
          <w:sz w:val="20"/>
        </w:rPr>
        <w:t xml:space="preserve">By electronically accepting this document, Participant agrees to be bound by the terms and conditions of this Grant Notice, the Plan and the Agreement. Participant has reviewed the Plan, this Grant Notice and the Agreement in their entirety, has been provided with a copy or electronic access to a copy of the prospectus for the Plan,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 </w:t>
      </w:r>
    </w:p>
    <w:p>
      <w:pPr>
        <w:pStyle w:val="TextBody"/>
        <w:bidi w:val="0"/>
        <w:spacing w:before="240" w:after="0"/>
        <w:jc w:val="left"/>
        <w:rPr>
          <w:rFonts w:ascii="Times New Roman" w:hAnsi="Times New Roman"/>
          <w:sz w:val="20"/>
        </w:rPr>
      </w:pPr>
      <w:r>
        <w:rPr>
          <w:rFonts w:ascii="Times New Roman" w:hAnsi="Times New Roman"/>
          <w:b/>
          <w:sz w:val="20"/>
        </w:rPr>
        <w:t>Internet Availability of Plan Materials</w:t>
      </w:r>
      <w:r>
        <w:rPr>
          <w:rFonts w:ascii="Times New Roman" w:hAnsi="Times New Roman"/>
          <w:sz w:val="20"/>
        </w:rPr>
        <w:t xml:space="preserve">: The Company will furnish Plan materials (including the Plan, prospectus, annual report on Form 10-K and proxy statement and other information provided to the Company’s stockholders) relating to the Plan to Participant electronically, instead of mailing printed copies of these materials to each person eligible to participate in the plans. This process is designed to expedite Participant’s receipt of the plan materials, reduce the costs of printing and distributing these materials, and help conserve natural resources. These materials are available through the Company’s electronic capitalization table system (such as E*Trade, Shareworks or Carta) and the annual report on Form 10-K and proxy statement and other information provided to our stockholders is also available on the Company’s website at https://www.erasca.com/. However, if Participant would prefer to receive printed copies of the Plan materials or information provided to the Company’s stockholders without charge, please contact: Erasca, Inc., 3115 Merryfield Row, Suite 300, San Diego, CA 92121, Telephone: (858) 465-6511.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STOCK OPTION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not specifically defined in this Agreement have the meanings specified in the Grant Notice or, if not defined in the Grant Notice, in the Plan.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12.1 </w:t>
      </w:r>
      <w:r>
        <w:rPr>
          <w:rFonts w:ascii="Times New Roman" w:hAnsi="Times New Roman"/>
          <w:sz w:val="20"/>
          <w:u w:val="single"/>
        </w:rPr>
        <w:t>Grant of Option</w:t>
      </w:r>
      <w:r>
        <w:rPr>
          <w:rFonts w:ascii="Times New Roman" w:hAnsi="Times New Roman"/>
          <w:sz w:val="20"/>
        </w:rPr>
        <w:t>. The Company has granted to Participant the Option effective as of the grant date set forth in the Grant Notice (the “</w:t>
      </w:r>
      <w:r>
        <w:rPr>
          <w:rFonts w:ascii="Times New Roman" w:hAnsi="Times New Roman"/>
          <w:b/>
          <w:i/>
          <w:sz w:val="20"/>
        </w:rPr>
        <w:t>Grant Date</w:t>
      </w:r>
      <w:r>
        <w:rPr>
          <w:rFonts w:ascii="Times New Roman" w:hAnsi="Times New Roman"/>
          <w:sz w:val="20"/>
        </w:rPr>
        <w:t>”). The Option is a Non-Qualified Stock Option. The Option is intended to constitute an “employment inducement” award under Nasdaq Stock Market (“</w:t>
      </w:r>
      <w:r>
        <w:rPr>
          <w:rFonts w:ascii="Times New Roman" w:hAnsi="Times New Roman"/>
          <w:b/>
          <w:i/>
          <w:sz w:val="20"/>
        </w:rPr>
        <w:t>Nasdaq</w:t>
      </w:r>
      <w:r>
        <w:rPr>
          <w:rFonts w:ascii="Times New Roman" w:hAnsi="Times New Roman"/>
          <w:sz w:val="20"/>
        </w:rPr>
        <w:t xml:space="preserve">”) Rule 5635(c)(4) and consequently is intended to be exempt from the Nasdaq rules regarding shareholder approval of stock option plans or other equity compensation arrangements. This Agreement and the terms and conditions of the Option shall be interpreted in accordance with and consistent with such exception. </w:t>
      </w:r>
    </w:p>
    <w:p>
      <w:pPr>
        <w:pStyle w:val="TextBody"/>
        <w:bidi w:val="0"/>
        <w:spacing w:before="240" w:after="0"/>
        <w:jc w:val="left"/>
        <w:rPr>
          <w:rFonts w:ascii="Times New Roman" w:hAnsi="Times New Roman"/>
          <w:sz w:val="20"/>
        </w:rPr>
      </w:pPr>
      <w:r>
        <w:rPr>
          <w:rFonts w:ascii="Times New Roman" w:hAnsi="Times New Roman"/>
          <w:sz w:val="20"/>
        </w:rPr>
        <w:t>12.2 </w:t>
      </w:r>
      <w:r>
        <w:rPr>
          <w:rFonts w:ascii="Times New Roman" w:hAnsi="Times New Roman"/>
          <w:sz w:val="20"/>
          <w:u w:val="single"/>
        </w:rPr>
        <w:t>Incorporation of Terms of Plan</w:t>
      </w:r>
      <w:r>
        <w:rPr>
          <w:rFonts w:ascii="Times New Roman" w:hAnsi="Times New Roman"/>
          <w:sz w:val="20"/>
        </w:rPr>
        <w:t xml:space="preserve">. The Option is subject to the terms and conditions set forth in this Agreement and the Plan, which is incorporated herein by reference. In the event of any inconsistency between the Plan and this Agreement, the terms of the Plan will control.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0" w:after="0"/>
        <w:jc w:val="center"/>
        <w:rPr>
          <w:rFonts w:ascii="Times New Roman" w:hAnsi="Times New Roman"/>
          <w:b/>
          <w:sz w:val="20"/>
        </w:rPr>
      </w:pPr>
      <w:r>
        <w:rPr>
          <w:rFonts w:ascii="Times New Roman" w:hAnsi="Times New Roman"/>
          <w:b/>
          <w:sz w:val="20"/>
        </w:rPr>
        <w:t xml:space="preserve">PERIOD OF EXERCISABILITY </w:t>
      </w:r>
    </w:p>
    <w:p>
      <w:pPr>
        <w:pStyle w:val="TextBody"/>
        <w:bidi w:val="0"/>
        <w:spacing w:before="240" w:after="0"/>
        <w:jc w:val="left"/>
        <w:rPr>
          <w:rFonts w:ascii="Times New Roman" w:hAnsi="Times New Roman"/>
          <w:sz w:val="20"/>
        </w:rPr>
      </w:pPr>
      <w:r>
        <w:rPr>
          <w:rFonts w:ascii="Times New Roman" w:hAnsi="Times New Roman"/>
          <w:sz w:val="20"/>
        </w:rPr>
        <w:t>13.1 </w:t>
      </w:r>
      <w:r>
        <w:rPr>
          <w:rFonts w:ascii="Times New Roman" w:hAnsi="Times New Roman"/>
          <w:sz w:val="20"/>
          <w:u w:val="single"/>
        </w:rPr>
        <w:t>Commencement of Exercisability</w:t>
      </w:r>
      <w:r>
        <w:rPr>
          <w:rFonts w:ascii="Times New Roman" w:hAnsi="Times New Roman"/>
          <w:sz w:val="20"/>
        </w:rPr>
        <w:t>. The Option will vest and become exercisable according to the vesting schedule in the Grant Notice (the “</w:t>
      </w:r>
      <w:r>
        <w:rPr>
          <w:rFonts w:ascii="Times New Roman" w:hAnsi="Times New Roman"/>
          <w:b/>
          <w:i/>
          <w:sz w:val="20"/>
        </w:rPr>
        <w:t>Vesting Schedule</w:t>
      </w:r>
      <w:r>
        <w:rPr>
          <w:rFonts w:ascii="Times New Roman" w:hAnsi="Times New Roman"/>
          <w:sz w:val="20"/>
        </w:rPr>
        <w:t xml:space="preserve">”), except that any fraction of a Share as to which the Option would be vested or exercisable will be accumulated and will vest and become exercisable only when a whole Share has accumulated. The Option will not be exercisable with respect to fractional Shares.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 </w:t>
      </w:r>
    </w:p>
    <w:p>
      <w:pPr>
        <w:pStyle w:val="TextBody"/>
        <w:bidi w:val="0"/>
        <w:spacing w:before="240" w:after="0"/>
        <w:jc w:val="left"/>
        <w:rPr>
          <w:rFonts w:ascii="Times New Roman" w:hAnsi="Times New Roman"/>
          <w:sz w:val="20"/>
        </w:rPr>
      </w:pPr>
      <w:r>
        <w:rPr>
          <w:rFonts w:ascii="Times New Roman" w:hAnsi="Times New Roman"/>
          <w:sz w:val="20"/>
        </w:rPr>
        <w:t>13.2 </w:t>
      </w:r>
      <w:r>
        <w:rPr>
          <w:rFonts w:ascii="Times New Roman" w:hAnsi="Times New Roman"/>
          <w:sz w:val="20"/>
          <w:u w:val="single"/>
        </w:rPr>
        <w:t>Duration of Exercisability</w:t>
      </w:r>
      <w:r>
        <w:rPr>
          <w:rFonts w:ascii="Times New Roman" w:hAnsi="Times New Roman"/>
          <w:sz w:val="20"/>
        </w:rPr>
        <w:t xml:space="preserve">. The Vesting Schedule is cumulative. Any portion of the Option which vests and becomes exercisable will remain vested and exercisable until the Option expires. The Option will be forfeited immediately upon its expiration. </w:t>
      </w:r>
    </w:p>
    <w:p>
      <w:pPr>
        <w:pStyle w:val="TextBody"/>
        <w:bidi w:val="0"/>
        <w:spacing w:before="240" w:after="0"/>
        <w:jc w:val="left"/>
        <w:rPr>
          <w:rFonts w:ascii="Times New Roman" w:hAnsi="Times New Roman"/>
          <w:sz w:val="20"/>
        </w:rPr>
      </w:pPr>
      <w:r>
        <w:rPr>
          <w:rFonts w:ascii="Times New Roman" w:hAnsi="Times New Roman"/>
          <w:sz w:val="20"/>
        </w:rPr>
        <w:t>13.3 </w:t>
      </w:r>
      <w:r>
        <w:rPr>
          <w:rFonts w:ascii="Times New Roman" w:hAnsi="Times New Roman"/>
          <w:sz w:val="20"/>
          <w:u w:val="single"/>
        </w:rPr>
        <w:t>Expiration of Option</w:t>
      </w:r>
      <w:r>
        <w:rPr>
          <w:rFonts w:ascii="Times New Roman" w:hAnsi="Times New Roman"/>
          <w:sz w:val="20"/>
        </w:rPr>
        <w:t xml:space="preserve">. Subject to Section 5.3 of the Plan, the Option may not be exercised to any extent by anyone after, and will expire on, the first of the following to occur: </w:t>
      </w:r>
    </w:p>
    <w:p>
      <w:pPr>
        <w:pStyle w:val="TextBody"/>
        <w:bidi w:val="0"/>
        <w:spacing w:before="240" w:after="0"/>
        <w:jc w:val="left"/>
        <w:rPr>
          <w:rFonts w:ascii="Times New Roman" w:hAnsi="Times New Roman"/>
          <w:sz w:val="20"/>
        </w:rPr>
      </w:pPr>
      <w:r>
        <w:rPr>
          <w:rFonts w:ascii="Times New Roman" w:hAnsi="Times New Roman"/>
          <w:sz w:val="20"/>
        </w:rPr>
        <w:t xml:space="preserve">(a) The final expiration date in the Grant Notice, which will in no event be more than ten (10) years from the Grant Date; </w:t>
      </w:r>
    </w:p>
    <w:p>
      <w:pPr>
        <w:pStyle w:val="TextBody"/>
        <w:bidi w:val="0"/>
        <w:spacing w:before="240" w:after="0"/>
        <w:jc w:val="left"/>
        <w:rPr>
          <w:rFonts w:ascii="Times New Roman" w:hAnsi="Times New Roman"/>
          <w:sz w:val="20"/>
        </w:rPr>
      </w:pPr>
      <w:r>
        <w:rPr>
          <w:rFonts w:ascii="Times New Roman" w:hAnsi="Times New Roman"/>
          <w:sz w:val="20"/>
        </w:rPr>
        <w:t xml:space="preserve">(b) Except as the Administrator may otherwise approve, the expiration of three (3) months from the date of Participant’s Termination of Service, unless Participant’s Termination of Service is for Cause or by reason of Participant’s death or Disability; </w:t>
      </w:r>
    </w:p>
    <w:p>
      <w:pPr>
        <w:pStyle w:val="TextBody"/>
        <w:bidi w:val="0"/>
        <w:spacing w:before="240" w:after="0"/>
        <w:jc w:val="left"/>
        <w:rPr>
          <w:rFonts w:ascii="Times New Roman" w:hAnsi="Times New Roman"/>
          <w:sz w:val="20"/>
        </w:rPr>
      </w:pPr>
      <w:r>
        <w:rPr>
          <w:rFonts w:ascii="Times New Roman" w:hAnsi="Times New Roman"/>
          <w:sz w:val="20"/>
        </w:rPr>
        <w:t xml:space="preserve">(c) Except as the Administrator may otherwise approve, the expiration of one (1) year from the date of Participant’s Termination of Service by reason of Participant’s death or Disability;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(d) Except as the Administrator may otherwise approve, the date of Participant’s Termination of Service for Cause; and </w:t>
      </w:r>
    </w:p>
    <w:p>
      <w:pPr>
        <w:pStyle w:val="TextBody"/>
        <w:bidi w:val="0"/>
        <w:spacing w:before="240" w:after="0"/>
        <w:jc w:val="left"/>
        <w:rPr>
          <w:rFonts w:ascii="Times New Roman" w:hAnsi="Times New Roman"/>
          <w:sz w:val="20"/>
        </w:rPr>
      </w:pPr>
      <w:r>
        <w:rPr>
          <w:rFonts w:ascii="Times New Roman" w:hAnsi="Times New Roman"/>
          <w:sz w:val="20"/>
        </w:rPr>
        <w:t xml:space="preserve">(e) Except as otherwise provided in clauses (c) or (d) above, with respect to any unvested portion of the Option, the date that is thirty (30) days following Participant’s Termination of Service by reason of Participant’s death or Disability, or such shorter period as may be determined by the Administrator.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XIV. </w:t>
      </w:r>
    </w:p>
    <w:p>
      <w:pPr>
        <w:pStyle w:val="TextBody"/>
        <w:bidi w:val="0"/>
        <w:spacing w:before="0" w:after="0"/>
        <w:jc w:val="center"/>
        <w:rPr>
          <w:rFonts w:ascii="Times New Roman" w:hAnsi="Times New Roman"/>
          <w:b/>
          <w:sz w:val="20"/>
        </w:rPr>
      </w:pPr>
      <w:r>
        <w:rPr>
          <w:rFonts w:ascii="Times New Roman" w:hAnsi="Times New Roman"/>
          <w:b/>
          <w:sz w:val="20"/>
        </w:rPr>
        <w:t xml:space="preserve">EXERCISE OF OPTION </w:t>
      </w:r>
    </w:p>
    <w:p>
      <w:pPr>
        <w:pStyle w:val="TextBody"/>
        <w:bidi w:val="0"/>
        <w:spacing w:before="240" w:after="0"/>
        <w:jc w:val="left"/>
        <w:rPr>
          <w:rFonts w:ascii="Times New Roman" w:hAnsi="Times New Roman"/>
          <w:sz w:val="20"/>
        </w:rPr>
      </w:pPr>
      <w:r>
        <w:rPr>
          <w:rFonts w:ascii="Times New Roman" w:hAnsi="Times New Roman"/>
          <w:sz w:val="20"/>
        </w:rPr>
        <w:t>14.1 </w:t>
      </w:r>
      <w:r>
        <w:rPr>
          <w:rFonts w:ascii="Times New Roman" w:hAnsi="Times New Roman"/>
          <w:sz w:val="20"/>
          <w:u w:val="single"/>
        </w:rPr>
        <w:t>Person Eligible to Exercise</w:t>
      </w:r>
      <w:r>
        <w:rPr>
          <w:rFonts w:ascii="Times New Roman" w:hAnsi="Times New Roman"/>
          <w:sz w:val="20"/>
        </w:rPr>
        <w:t xml:space="preserve">. During Participant’s lifetime, only Participant may exercise the Option, unless it has been disposed of, with the consent of the Administrator, pursuant to a domestic relations order. After Participant’s death, any exercisable portion of the Option may, prior to the time when the Option becomes unexercisable under Section 2.3 hereof, be exercised by Participant’s Designated Beneficiary or by any person empowered to do so under the deceased Participant’s will or under the then applicable laws of descent and distribution. </w:t>
      </w:r>
    </w:p>
    <w:p>
      <w:pPr>
        <w:pStyle w:val="TextBody"/>
        <w:bidi w:val="0"/>
        <w:spacing w:before="240" w:after="0"/>
        <w:jc w:val="left"/>
        <w:rPr>
          <w:rFonts w:ascii="Times New Roman" w:hAnsi="Times New Roman"/>
          <w:sz w:val="20"/>
        </w:rPr>
      </w:pPr>
      <w:r>
        <w:rPr>
          <w:rFonts w:ascii="Times New Roman" w:hAnsi="Times New Roman"/>
          <w:sz w:val="20"/>
        </w:rPr>
        <w:t>14.2 </w:t>
      </w:r>
      <w:r>
        <w:rPr>
          <w:rFonts w:ascii="Times New Roman" w:hAnsi="Times New Roman"/>
          <w:sz w:val="20"/>
          <w:u w:val="single"/>
        </w:rPr>
        <w:t>Manner of Exercise</w:t>
      </w:r>
      <w:r>
        <w:rPr>
          <w:rFonts w:ascii="Times New Roman" w:hAnsi="Times New Roman"/>
          <w:sz w:val="20"/>
        </w:rPr>
        <w:t xml:space="preserve">. The Option, or any exercisable portion thereof, may be exercised solely by delivery to the Secretary of the Company or the Secretary’s office, or such other place as may be determined by the Administrator, of all of the following prior to the time when the Option or such portion thereof becomes unexercisable under Section 2.3, except that the Option may only be exercised for whole Shares: </w:t>
      </w:r>
    </w:p>
    <w:p>
      <w:pPr>
        <w:pStyle w:val="TextBody"/>
        <w:bidi w:val="0"/>
        <w:spacing w:before="240" w:after="0"/>
        <w:jc w:val="left"/>
        <w:rPr>
          <w:rFonts w:ascii="Times New Roman" w:hAnsi="Times New Roman"/>
          <w:sz w:val="20"/>
        </w:rPr>
      </w:pPr>
      <w:r>
        <w:rPr>
          <w:rFonts w:ascii="Times New Roman" w:hAnsi="Times New Roman"/>
          <w:sz w:val="20"/>
        </w:rPr>
        <w:t>(1) An exercise notice in such form as is prescribed by the Administrator, which may be an electronic form (the “</w:t>
      </w:r>
      <w:r>
        <w:rPr>
          <w:rFonts w:ascii="Times New Roman" w:hAnsi="Times New Roman"/>
          <w:b/>
          <w:i/>
          <w:sz w:val="20"/>
        </w:rPr>
        <w:t>Exercise Notice</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(2) Subject to Section 5.5 of the Plan, full payment for the Shares with respect to which the Option or portion thereof is exercised, which payment may be made by Participant, by: </w:t>
      </w:r>
    </w:p>
    <w:p>
      <w:pPr>
        <w:pStyle w:val="TextBody"/>
        <w:bidi w:val="0"/>
        <w:spacing w:before="240" w:after="0"/>
        <w:jc w:val="left"/>
        <w:rPr>
          <w:rFonts w:ascii="Times New Roman" w:hAnsi="Times New Roman"/>
          <w:sz w:val="20"/>
        </w:rPr>
      </w:pPr>
      <w:r>
        <w:rPr>
          <w:rFonts w:ascii="Times New Roman" w:hAnsi="Times New Roman"/>
          <w:sz w:val="20"/>
        </w:rPr>
        <w:t xml:space="preserve">(i) Cash, wire transfer of immediately available funds or check, payable to the order of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(ii) With the consent of the Administrator, surrender to or withholding by the Company of a net number of vested Shares issuable upon the exercise of the Option valued at their fair market value; or </w:t>
      </w:r>
    </w:p>
    <w:p>
      <w:pPr>
        <w:pStyle w:val="TextBody"/>
        <w:bidi w:val="0"/>
        <w:spacing w:before="240" w:after="0"/>
        <w:jc w:val="left"/>
        <w:rPr>
          <w:rFonts w:ascii="Times New Roman" w:hAnsi="Times New Roman"/>
          <w:sz w:val="20"/>
        </w:rPr>
      </w:pPr>
      <w:r>
        <w:rPr>
          <w:rFonts w:ascii="Times New Roman" w:hAnsi="Times New Roman"/>
          <w:sz w:val="20"/>
        </w:rPr>
        <w:t xml:space="preserve">(iii) With the consent of the Administrator, delivery (either by actual delivery or attestation) of Shares owned by Participant valued at their fair market value; or </w:t>
      </w:r>
    </w:p>
    <w:p>
      <w:pPr>
        <w:pStyle w:val="TextBody"/>
        <w:bidi w:val="0"/>
        <w:spacing w:before="240" w:after="0"/>
        <w:jc w:val="left"/>
        <w:rPr>
          <w:rFonts w:ascii="Times New Roman" w:hAnsi="Times New Roman"/>
          <w:sz w:val="20"/>
        </w:rPr>
      </w:pPr>
      <w:r>
        <w:rPr>
          <w:rFonts w:ascii="Times New Roman" w:hAnsi="Times New Roman"/>
          <w:sz w:val="20"/>
        </w:rPr>
        <w:t xml:space="preserve">(iv) If there is a public market for the Shares at the time of exercise, unless the Company or the Administrator otherwise determines, through the (A) delivery (including electronically or telephonically to the extent permitted by the Company) of an irrevocable and unconditional undertaking by a broker acceptable to the Company to deliver promptly to the Company sufficient funds to pay the exercise price, or (B) delivery by Participant to the Company of a copy of irrevocable and unconditional instructions to a broker acceptable to the Company to deliver promptly to the Company cash or a check sufficient to pay the exercise price, provided in either case, that such amount is paid to the Company at such time as may be required by the Administrator; or </w:t>
      </w:r>
    </w:p>
    <w:p>
      <w:pPr>
        <w:pStyle w:val="TextBody"/>
        <w:bidi w:val="0"/>
        <w:spacing w:before="240" w:after="0"/>
        <w:jc w:val="left"/>
        <w:rPr>
          <w:rFonts w:ascii="Times New Roman" w:hAnsi="Times New Roman"/>
          <w:sz w:val="20"/>
        </w:rPr>
      </w:pPr>
      <w:r>
        <w:rPr>
          <w:rFonts w:ascii="Times New Roman" w:hAnsi="Times New Roman"/>
          <w:sz w:val="20"/>
        </w:rPr>
        <w:t xml:space="preserve">(v) With the consent of the Administrator, any other form of payment permitted under Section 5.5 of the Plan; or </w:t>
      </w:r>
    </w:p>
    <w:p>
      <w:pPr>
        <w:pStyle w:val="TextBody"/>
        <w:bidi w:val="0"/>
        <w:spacing w:before="240" w:after="0"/>
        <w:jc w:val="left"/>
        <w:rPr>
          <w:rFonts w:ascii="Times New Roman" w:hAnsi="Times New Roman"/>
          <w:sz w:val="20"/>
        </w:rPr>
      </w:pPr>
      <w:r>
        <w:rPr>
          <w:rFonts w:ascii="Times New Roman" w:hAnsi="Times New Roman"/>
          <w:sz w:val="20"/>
        </w:rPr>
        <w:t xml:space="preserve">(vi) Any combination of the above permitted forms of payment; and </w:t>
      </w:r>
    </w:p>
    <w:p>
      <w:pPr>
        <w:pStyle w:val="TextBody"/>
        <w:bidi w:val="0"/>
        <w:spacing w:before="240" w:after="0"/>
        <w:jc w:val="left"/>
        <w:rPr>
          <w:rFonts w:ascii="Times New Roman" w:hAnsi="Times New Roman"/>
          <w:sz w:val="20"/>
        </w:rPr>
      </w:pPr>
      <w:r>
        <w:rPr>
          <w:rFonts w:ascii="Times New Roman" w:hAnsi="Times New Roman"/>
          <w:sz w:val="20"/>
        </w:rPr>
        <w:t xml:space="preserve">(c) Subject to Section 9.5 of the Plan, full payment for any applicable Tax Withholding Obligation (as defined below) as provided in Section 3.3 below;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 the event the Option or portion thereof will be exercised pursuant to Section 3.1 by any person or persons other than Participant, appropriate proof of the right of such person or persons to exercise the Option. </w:t>
      </w:r>
    </w:p>
    <w:p>
      <w:pPr>
        <w:pStyle w:val="TextBody"/>
        <w:bidi w:val="0"/>
        <w:spacing w:before="240" w:after="0"/>
        <w:jc w:val="left"/>
        <w:rPr>
          <w:rFonts w:ascii="Times New Roman" w:hAnsi="Times New Roman"/>
          <w:sz w:val="20"/>
        </w:rPr>
      </w:pPr>
      <w:r>
        <w:rPr>
          <w:rFonts w:ascii="Times New Roman" w:hAnsi="Times New Roman"/>
          <w:sz w:val="20"/>
        </w:rPr>
        <w:t>14.3 </w:t>
      </w:r>
      <w:r>
        <w:rPr>
          <w:rFonts w:ascii="Times New Roman" w:hAnsi="Times New Roman"/>
          <w:sz w:val="20"/>
          <w:u w:val="single"/>
        </w:rPr>
        <w:t>Taxes; Tax Withholding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shall not be obligated to deliver any certificate representing Shares issuable with respect to the Option to Participant or his or her legal representative unless and until Participant or his or her legal representative will have paid or otherwise satisfied in full the amount of all federal, state, local and foreign taxes required by Applicable Law to be withheld in connection with the vesting, exercise or settlement of the Option, the distribution of the Shares issuable with respect thereto, or any other taxable event related to the Option (the “</w:t>
      </w:r>
      <w:r>
        <w:rPr>
          <w:rFonts w:ascii="Times New Roman" w:hAnsi="Times New Roman"/>
          <w:b/>
          <w:i/>
          <w:sz w:val="20"/>
        </w:rPr>
        <w:t>Tax Withholding Obligation</w:t>
      </w:r>
      <w:r>
        <w:rPr>
          <w:rFonts w:ascii="Times New Roman" w:hAnsi="Times New Roman"/>
          <w:sz w:val="20"/>
        </w:rPr>
        <w:t xml:space="preserve">”). The Company will have the authority and the right to deduct or withhold, or require Participant to remit to the Company, an amount sufficient to satisfy any Tax Withholding Obligation, including, without limitation, the authority to deduct such amounts from other compensation payable to Participant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Unless Participant elects to satisfy the Tax Withholding Obligation by some other means in accordance with Section 9.5 of the Plan, the Company will have the right, but not the obligation, with respect to the Tax Withholding Obligation arising as a result of the vesting, exercise or settlement of the Option, to treat Participant’s failure to provide timely payment in accordance with Section 9.5 of the Plan as Participant’s election to satisfy the Tax Withholding Obligation by requesting the Company to withhold a net number of vested Shares otherwise issuable pursuant to the Option having a then-current fair market value not exceeding the amount necessary to satisfy the Tax Withholding Obligation (provided that if Participant is subject to Section 16 of the Exchange Act, any such action by the Company will require the approval of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(c) Participant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tax treatment to Participant in connection with the awarding, vesting or exercise of the Option or the subsequent sale of Shares. The Company and its Subsidiaries do not commit and are under no obligation to structure the Option to reduce or eliminate Participant’s tax liability. </w:t>
      </w:r>
    </w:p>
    <w:p>
      <w:pPr>
        <w:pStyle w:val="TextBody"/>
        <w:bidi w:val="0"/>
        <w:spacing w:before="240" w:after="0"/>
        <w:jc w:val="left"/>
        <w:rPr>
          <w:rFonts w:ascii="Times New Roman" w:hAnsi="Times New Roman"/>
          <w:sz w:val="20"/>
        </w:rPr>
      </w:pPr>
      <w:r>
        <w:rPr>
          <w:rFonts w:ascii="Times New Roman" w:hAnsi="Times New Roman"/>
          <w:sz w:val="20"/>
        </w:rPr>
        <w:t xml:space="preserve">(d) Participant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and/or the Trustee or any of their agents.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XV. </w:t>
      </w:r>
    </w:p>
    <w:p>
      <w:pPr>
        <w:pStyle w:val="TextBody"/>
        <w:bidi w:val="0"/>
        <w:spacing w:before="0" w:after="0"/>
        <w:jc w:val="center"/>
        <w:rPr>
          <w:rFonts w:ascii="Times New Roman" w:hAnsi="Times New Roman"/>
          <w:b/>
          <w:sz w:val="20"/>
        </w:rPr>
      </w:pPr>
      <w:r>
        <w:rPr>
          <w:rFonts w:ascii="Times New Roman" w:hAnsi="Times New Roman"/>
          <w:b/>
          <w:sz w:val="20"/>
        </w:rPr>
        <w:t xml:space="preserve">OTHER PROVISIONS </w:t>
      </w:r>
    </w:p>
    <w:p>
      <w:pPr>
        <w:pStyle w:val="TextBody"/>
        <w:bidi w:val="0"/>
        <w:spacing w:before="240" w:after="0"/>
        <w:jc w:val="left"/>
        <w:rPr>
          <w:rFonts w:ascii="Times New Roman" w:hAnsi="Times New Roman"/>
          <w:sz w:val="20"/>
        </w:rPr>
      </w:pPr>
      <w:r>
        <w:rPr>
          <w:rFonts w:ascii="Times New Roman" w:hAnsi="Times New Roman"/>
          <w:sz w:val="20"/>
        </w:rPr>
        <w:t>15.1 </w:t>
      </w:r>
      <w:r>
        <w:rPr>
          <w:rFonts w:ascii="Times New Roman" w:hAnsi="Times New Roman"/>
          <w:sz w:val="20"/>
          <w:u w:val="single"/>
        </w:rPr>
        <w:t>Award Not Transferable; Other Restrictions</w:t>
      </w:r>
      <w:r>
        <w:rPr>
          <w:rFonts w:ascii="Times New Roman" w:hAnsi="Times New Roman"/>
          <w:sz w:val="20"/>
        </w:rPr>
        <w:t>. Without limiting the generality of any other provision hereof, the Award will be subject to the restrictions on transferability set forth in Section 9.1 of the Plan. Without limiting the generality of any other provision hereof, Participant hereby expressly acknowledges that Section 10.8 (“</w:t>
      </w:r>
      <w:r>
        <w:rPr>
          <w:rFonts w:ascii="Times New Roman" w:hAnsi="Times New Roman"/>
          <w:i/>
          <w:sz w:val="20"/>
        </w:rPr>
        <w:t>Lock-Up Period</w:t>
      </w:r>
      <w:r>
        <w:rPr>
          <w:rFonts w:ascii="Times New Roman" w:hAnsi="Times New Roman"/>
          <w:sz w:val="20"/>
        </w:rPr>
        <w:t>”) and Section 10.13 (“</w:t>
      </w:r>
      <w:r>
        <w:rPr>
          <w:rFonts w:ascii="Times New Roman" w:hAnsi="Times New Roman"/>
          <w:i/>
          <w:sz w:val="20"/>
        </w:rPr>
        <w:t>Clawback Provisions</w:t>
      </w:r>
      <w:r>
        <w:rPr>
          <w:rFonts w:ascii="Times New Roman" w:hAnsi="Times New Roman"/>
          <w:sz w:val="20"/>
        </w:rPr>
        <w:t xml:space="preserve">”) of the Plan are expressly incorporated into this Agreement and are applicable to the Shares issued pursuant to this Agreement. </w:t>
      </w:r>
    </w:p>
    <w:p>
      <w:pPr>
        <w:pStyle w:val="TextBody"/>
        <w:bidi w:val="0"/>
        <w:spacing w:before="240" w:after="0"/>
        <w:jc w:val="left"/>
        <w:rPr>
          <w:rFonts w:ascii="Times New Roman" w:hAnsi="Times New Roman"/>
          <w:sz w:val="20"/>
        </w:rPr>
      </w:pPr>
      <w:r>
        <w:rPr>
          <w:rFonts w:ascii="Times New Roman" w:hAnsi="Times New Roman"/>
          <w:sz w:val="20"/>
        </w:rPr>
        <w:t>15.2 </w:t>
      </w:r>
      <w:r>
        <w:rPr>
          <w:rFonts w:ascii="Times New Roman" w:hAnsi="Times New Roman"/>
          <w:sz w:val="20"/>
          <w:u w:val="single"/>
        </w:rPr>
        <w:t>Adjustments</w:t>
      </w:r>
      <w:r>
        <w:rPr>
          <w:rFonts w:ascii="Times New Roman" w:hAnsi="Times New Roman"/>
          <w:sz w:val="20"/>
        </w:rPr>
        <w:t xml:space="preserve">15.3 . Participant acknowledges that the Option is subject to adjustment, modification and termination in certain events as provided in this Agreement and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15.4 </w:t>
      </w:r>
      <w:r>
        <w:rPr>
          <w:rFonts w:ascii="Times New Roman" w:hAnsi="Times New Roman"/>
          <w:sz w:val="20"/>
          <w:u w:val="single"/>
        </w:rPr>
        <w:t>Notices</w:t>
      </w:r>
      <w:r>
        <w:rPr>
          <w:rFonts w:ascii="Times New Roman" w:hAnsi="Times New Roman"/>
          <w:sz w:val="20"/>
        </w:rPr>
        <w:t xml:space="preserve">.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 </w:t>
      </w:r>
    </w:p>
    <w:p>
      <w:pPr>
        <w:pStyle w:val="TextBody"/>
        <w:bidi w:val="0"/>
        <w:spacing w:before="240" w:after="0"/>
        <w:jc w:val="left"/>
        <w:rPr>
          <w:rFonts w:ascii="Times New Roman" w:hAnsi="Times New Roman"/>
          <w:sz w:val="20"/>
        </w:rPr>
      </w:pPr>
      <w:r>
        <w:rPr>
          <w:rFonts w:ascii="Times New Roman" w:hAnsi="Times New Roman"/>
          <w:sz w:val="20"/>
        </w:rPr>
        <w:t>15.5 </w:t>
      </w:r>
      <w:r>
        <w:rPr>
          <w:rFonts w:ascii="Times New Roman" w:hAnsi="Times New Roman"/>
          <w:sz w:val="20"/>
          <w:u w:val="single"/>
        </w:rPr>
        <w:t>Titles</w:t>
      </w:r>
      <w:r>
        <w:rPr>
          <w:rFonts w:ascii="Times New Roman" w:hAnsi="Times New Roman"/>
          <w:sz w:val="20"/>
        </w:rPr>
        <w:t xml:space="preserve">. Titles are provided herein for convenience only and are not to serve as a basis for interpretation or construction of this Agreement. </w:t>
      </w:r>
    </w:p>
    <w:p>
      <w:pPr>
        <w:pStyle w:val="TextBody"/>
        <w:bidi w:val="0"/>
        <w:spacing w:before="240" w:after="0"/>
        <w:jc w:val="left"/>
        <w:rPr>
          <w:rFonts w:ascii="Times New Roman" w:hAnsi="Times New Roman"/>
          <w:sz w:val="20"/>
        </w:rPr>
      </w:pPr>
      <w:r>
        <w:rPr>
          <w:rFonts w:ascii="Times New Roman" w:hAnsi="Times New Roman"/>
          <w:sz w:val="20"/>
        </w:rPr>
        <w:t>15.6 </w:t>
      </w:r>
      <w:r>
        <w:rPr>
          <w:rFonts w:ascii="Times New Roman" w:hAnsi="Times New Roman"/>
          <w:sz w:val="20"/>
          <w:u w:val="single"/>
        </w:rPr>
        <w:t>Conformity to Securities Laws</w:t>
      </w:r>
      <w:r>
        <w:rPr>
          <w:rFonts w:ascii="Times New Roman" w:hAnsi="Times New Roman"/>
          <w:sz w:val="20"/>
        </w:rPr>
        <w:t xml:space="preserve">.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Participant acknowledges that the Plan, the Grant Notice and this Agreement are intended to conform to the extent necessary with all Applicable Laws and, to the extent Applicable Laws permit, will be deemed amended to the extent necessary to conform to such Applicable Laws or any such exemptive rule described in the preceding sentence. </w:t>
      </w:r>
    </w:p>
    <w:p>
      <w:pPr>
        <w:pStyle w:val="TextBody"/>
        <w:bidi w:val="0"/>
        <w:spacing w:before="240" w:after="0"/>
        <w:jc w:val="left"/>
        <w:rPr>
          <w:rFonts w:ascii="Times New Roman" w:hAnsi="Times New Roman"/>
          <w:sz w:val="20"/>
        </w:rPr>
      </w:pPr>
      <w:r>
        <w:rPr>
          <w:rFonts w:ascii="Times New Roman" w:hAnsi="Times New Roman"/>
          <w:sz w:val="20"/>
        </w:rPr>
        <w:t>15.8 </w:t>
      </w:r>
      <w:r>
        <w:rPr>
          <w:rFonts w:ascii="Times New Roman" w:hAnsi="Times New Roman"/>
          <w:sz w:val="20"/>
          <w:u w:val="single"/>
        </w:rPr>
        <w:t>Successors and Assigns</w:t>
      </w:r>
      <w:r>
        <w:rPr>
          <w:rFonts w:ascii="Times New Roman" w:hAnsi="Times New Roman"/>
          <w:sz w:val="20"/>
        </w:rPr>
        <w:t xml:space="preserve">. The Company may assign any of its rights under this Agreement to single or multiple assignees, and this Agreement will inure to the benefit of the successors and assigns of the Company. Subject to the restrictions on transfer herein set forth in the Plan, this Agreement will be binding upon and inure to the benefit of the heirs, legatees, legal representatives, successors and assigns of the parties hereto. </w:t>
      </w:r>
    </w:p>
    <w:p>
      <w:pPr>
        <w:pStyle w:val="TextBody"/>
        <w:bidi w:val="0"/>
        <w:spacing w:before="240" w:after="0"/>
        <w:jc w:val="left"/>
        <w:rPr>
          <w:rFonts w:ascii="Times New Roman" w:hAnsi="Times New Roman"/>
          <w:sz w:val="20"/>
        </w:rPr>
      </w:pPr>
      <w:r>
        <w:rPr>
          <w:rFonts w:ascii="Times New Roman" w:hAnsi="Times New Roman"/>
          <w:sz w:val="20"/>
        </w:rPr>
        <w:t>15.9 </w:t>
      </w:r>
      <w:r>
        <w:rPr>
          <w:rFonts w:ascii="Times New Roman" w:hAnsi="Times New Roman"/>
          <w:sz w:val="20"/>
          <w:u w:val="single"/>
        </w:rPr>
        <w:t>Entire Agreement</w:t>
      </w:r>
      <w:r>
        <w:rPr>
          <w:rFonts w:ascii="Times New Roman" w:hAnsi="Times New Roman"/>
          <w:sz w:val="20"/>
        </w:rPr>
        <w:t xml:space="preserve">. The Plan, the Grant Notice and this Agreement constitute the entire agreement of the parties and supersede in their entirety all prior undertakings and agreements of the Company and Participant with respect to the subject matter hereof. This Agreement may be amended by the Company in accordance with Section 9.6 of the Plan. </w:t>
      </w:r>
    </w:p>
    <w:p>
      <w:pPr>
        <w:pStyle w:val="TextBody"/>
        <w:bidi w:val="0"/>
        <w:spacing w:before="240" w:after="0"/>
        <w:jc w:val="left"/>
        <w:rPr>
          <w:rFonts w:ascii="Times New Roman" w:hAnsi="Times New Roman"/>
          <w:sz w:val="20"/>
        </w:rPr>
      </w:pPr>
      <w:r>
        <w:rPr>
          <w:rFonts w:ascii="Times New Roman" w:hAnsi="Times New Roman"/>
          <w:sz w:val="20"/>
        </w:rPr>
        <w:t>15.10 </w:t>
      </w:r>
      <w:r>
        <w:rPr>
          <w:rFonts w:ascii="Times New Roman" w:hAnsi="Times New Roman"/>
          <w:sz w:val="20"/>
          <w:u w:val="single"/>
        </w:rPr>
        <w:t>Agreement Severable</w:t>
      </w:r>
      <w:r>
        <w:rPr>
          <w:rFonts w:ascii="Times New Roman" w:hAnsi="Times New Roman"/>
          <w:sz w:val="20"/>
        </w:rPr>
        <w:t xml:space="preserve">.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 </w:t>
      </w:r>
    </w:p>
    <w:p>
      <w:pPr>
        <w:pStyle w:val="TextBody"/>
        <w:bidi w:val="0"/>
        <w:spacing w:before="240" w:after="0"/>
        <w:jc w:val="left"/>
        <w:rPr>
          <w:rFonts w:ascii="Times New Roman" w:hAnsi="Times New Roman"/>
          <w:sz w:val="20"/>
        </w:rPr>
      </w:pPr>
      <w:r>
        <w:rPr>
          <w:rFonts w:ascii="Times New Roman" w:hAnsi="Times New Roman"/>
          <w:sz w:val="20"/>
        </w:rPr>
        <w:t>15.11 </w:t>
      </w:r>
      <w:r>
        <w:rPr>
          <w:rFonts w:ascii="Times New Roman" w:hAnsi="Times New Roman"/>
          <w:sz w:val="20"/>
          <w:u w:val="single"/>
        </w:rPr>
        <w:t>Limitation on Participant’s Rights</w:t>
      </w:r>
      <w:r>
        <w:rPr>
          <w:rFonts w:ascii="Times New Roman" w:hAnsi="Times New Roman"/>
          <w:sz w:val="20"/>
        </w:rPr>
        <w:t xml:space="preserve">.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 </w:t>
      </w:r>
    </w:p>
    <w:p>
      <w:pPr>
        <w:pStyle w:val="TextBody"/>
        <w:bidi w:val="0"/>
        <w:spacing w:before="240" w:after="0"/>
        <w:jc w:val="left"/>
        <w:rPr>
          <w:rFonts w:ascii="Times New Roman" w:hAnsi="Times New Roman"/>
          <w:sz w:val="20"/>
        </w:rPr>
      </w:pPr>
      <w:r>
        <w:rPr>
          <w:rFonts w:ascii="Times New Roman" w:hAnsi="Times New Roman"/>
          <w:sz w:val="20"/>
        </w:rPr>
        <w:t>15.12 </w:t>
      </w:r>
      <w:r>
        <w:rPr>
          <w:rFonts w:ascii="Times New Roman" w:hAnsi="Times New Roman"/>
          <w:sz w:val="20"/>
          <w:u w:val="single"/>
        </w:rPr>
        <w:t>Rights as a Stockholder</w:t>
      </w:r>
      <w:r>
        <w:rPr>
          <w:rFonts w:ascii="Times New Roman" w:hAnsi="Times New Roman"/>
          <w:sz w:val="20"/>
        </w:rPr>
        <w:t xml:space="preserve">. Neither Participant nor any person claiming under or through Participant will have any of the rights or privileges of a stockholder of the Company in respect of any Shares deliverable hereunder unless and until certificates representing such Shares (which may be in book-entry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 </w:t>
      </w:r>
    </w:p>
    <w:p>
      <w:pPr>
        <w:pStyle w:val="TextBody"/>
        <w:bidi w:val="0"/>
        <w:spacing w:before="240" w:after="0"/>
        <w:jc w:val="left"/>
        <w:rPr>
          <w:rFonts w:ascii="Times New Roman" w:hAnsi="Times New Roman"/>
          <w:sz w:val="20"/>
        </w:rPr>
      </w:pPr>
      <w:r>
        <w:rPr>
          <w:rFonts w:ascii="Times New Roman" w:hAnsi="Times New Roman"/>
          <w:sz w:val="20"/>
        </w:rPr>
        <w:t>15.13 </w:t>
      </w:r>
      <w:r>
        <w:rPr>
          <w:rFonts w:ascii="Times New Roman" w:hAnsi="Times New Roman"/>
          <w:sz w:val="20"/>
          <w:u w:val="single"/>
        </w:rPr>
        <w:t>Not a Contract of Employment</w:t>
      </w:r>
      <w:r>
        <w:rPr>
          <w:rFonts w:ascii="Times New Roman" w:hAnsi="Times New Roman"/>
          <w:sz w:val="20"/>
        </w:rPr>
        <w:t xml:space="preserve">.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 </w:t>
      </w:r>
    </w:p>
    <w:p>
      <w:pPr>
        <w:pStyle w:val="TextBody"/>
        <w:bidi w:val="0"/>
        <w:spacing w:before="240" w:after="0"/>
        <w:jc w:val="left"/>
        <w:rPr>
          <w:rFonts w:ascii="Times New Roman" w:hAnsi="Times New Roman"/>
          <w:sz w:val="20"/>
        </w:rPr>
      </w:pPr>
      <w:r>
        <w:rPr>
          <w:rFonts w:ascii="Times New Roman" w:hAnsi="Times New Roman"/>
          <w:sz w:val="20"/>
        </w:rPr>
        <w:t>15.14 </w:t>
      </w:r>
      <w:r>
        <w:rPr>
          <w:rFonts w:ascii="Times New Roman" w:hAnsi="Times New Roman"/>
          <w:sz w:val="20"/>
          <w:u w:val="single"/>
        </w:rPr>
        <w:t>Counterparts</w:t>
      </w:r>
      <w:r>
        <w:rPr>
          <w:rFonts w:ascii="Times New Roman" w:hAnsi="Times New Roman"/>
          <w:sz w:val="20"/>
        </w:rPr>
        <w:t xml:space="preserve">. The Grant Notice may be executed in one or more counterparts, including by way of any electronic signature, subject to Applicable Laws, each of which will be deemed an original and all of which together will constitute one instrument. </w:t>
      </w:r>
    </w:p>
    <w:p>
      <w:pPr>
        <w:pStyle w:val="TextBody"/>
        <w:bidi w:val="0"/>
        <w:spacing w:before="240" w:after="0"/>
        <w:jc w:val="left"/>
        <w:rPr>
          <w:rFonts w:ascii="Times New Roman" w:hAnsi="Times New Roman"/>
          <w:sz w:val="20"/>
        </w:rPr>
      </w:pPr>
      <w:r>
        <w:rPr>
          <w:rFonts w:ascii="Times New Roman" w:hAnsi="Times New Roman"/>
          <w:sz w:val="20"/>
        </w:rPr>
        <w:t>15.15 </w:t>
      </w:r>
      <w:r>
        <w:rPr>
          <w:rFonts w:ascii="Times New Roman" w:hAnsi="Times New Roman"/>
          <w:sz w:val="20"/>
          <w:u w:val="single"/>
        </w:rPr>
        <w:t>Governing Law</w:t>
      </w:r>
      <w:r>
        <w:rPr>
          <w:rFonts w:ascii="Times New Roman" w:hAnsi="Times New Roman"/>
          <w:sz w:val="20"/>
        </w:rPr>
        <w:t xml:space="preserve">. The provisions of the Plan and all Awards made thereunder, including the Option, will be governed by and interpreted in accordance with the laws of the State of Delaware, disregarding choice-of-law principles of the law of any state that would require the application of the laws of a jurisdiction other than such state. </w:t>
      </w:r>
    </w:p>
    <w:p>
      <w:pPr>
        <w:pStyle w:val="TextBody"/>
        <w:bidi w:val="0"/>
        <w:spacing w:before="360" w:after="0"/>
        <w:jc w:val="center"/>
        <w:rPr>
          <w:rFonts w:ascii="Times New Roman" w:hAnsi="Times New Roman"/>
          <w:b/>
          <w:sz w:val="20"/>
        </w:rPr>
      </w:pPr>
      <w:r>
        <w:rPr>
          <w:rFonts w:ascii="Times New Roman" w:hAnsi="Times New Roman"/>
          <w:b/>
          <w:sz w:val="20"/>
        </w:rPr>
        <w:t xml:space="preserve">* *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ERASCA, INC.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2026 EMPLOYMENT INDUCEMENT INCENTIVE AWARD PLAN </w:t>
      </w:r>
    </w:p>
    <w:p>
      <w:pPr>
        <w:pStyle w:val="TextBody"/>
        <w:bidi w:val="0"/>
        <w:spacing w:before="360" w:after="0"/>
        <w:jc w:val="center"/>
        <w:rPr>
          <w:rFonts w:ascii="Times New Roman" w:hAnsi="Times New Roman"/>
          <w:b/>
          <w:sz w:val="20"/>
        </w:rPr>
      </w:pPr>
      <w:r>
        <w:rPr>
          <w:rFonts w:ascii="Times New Roman" w:hAnsi="Times New Roman"/>
          <w:b/>
          <w:sz w:val="20"/>
        </w:rPr>
        <w:t xml:space="preserve">RESTRICTED STOCK UNIT GRANT NOTICE </w:t>
      </w:r>
    </w:p>
    <w:p>
      <w:pPr>
        <w:pStyle w:val="TextBody"/>
        <w:bidi w:val="0"/>
        <w:spacing w:before="240" w:after="0"/>
        <w:jc w:val="left"/>
        <w:rPr>
          <w:rFonts w:ascii="Times New Roman" w:hAnsi="Times New Roman"/>
          <w:sz w:val="20"/>
        </w:rPr>
      </w:pPr>
      <w:r>
        <w:rPr>
          <w:rFonts w:ascii="Times New Roman" w:hAnsi="Times New Roman"/>
          <w:sz w:val="20"/>
        </w:rPr>
        <w:t>Capitalized terms not specifically defined in this Restricted Stock Unit Grant Notice (the “</w:t>
      </w:r>
      <w:r>
        <w:rPr>
          <w:rFonts w:ascii="Times New Roman" w:hAnsi="Times New Roman"/>
          <w:b/>
          <w:i/>
          <w:sz w:val="20"/>
        </w:rPr>
        <w:t>Grant Notice</w:t>
      </w:r>
      <w:r>
        <w:rPr>
          <w:rFonts w:ascii="Times New Roman" w:hAnsi="Times New Roman"/>
          <w:sz w:val="20"/>
        </w:rPr>
        <w:t>”) have the meanings given to them in the 2026 Employment Inducement Incentive Award Plan (as amended from time to time, the “</w:t>
      </w:r>
      <w:r>
        <w:rPr>
          <w:rFonts w:ascii="Times New Roman" w:hAnsi="Times New Roman"/>
          <w:b/>
          <w:i/>
          <w:sz w:val="20"/>
        </w:rPr>
        <w:t>Plan</w:t>
      </w:r>
      <w:r>
        <w:rPr>
          <w:rFonts w:ascii="Times New Roman" w:hAnsi="Times New Roman"/>
          <w:sz w:val="20"/>
        </w:rPr>
        <w:t>”) of Erasca, Inc. (the “</w:t>
      </w:r>
      <w:r>
        <w:rPr>
          <w:rFonts w:ascii="Times New Roman" w:hAnsi="Times New Roman"/>
          <w:b/>
          <w:i/>
          <w:sz w:val="20"/>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hereby grants to the participant listed below (“</w:t>
      </w:r>
      <w:r>
        <w:rPr>
          <w:rFonts w:ascii="Times New Roman" w:hAnsi="Times New Roman"/>
          <w:b/>
          <w:i/>
          <w:sz w:val="20"/>
        </w:rPr>
        <w:t>Participant</w:t>
      </w:r>
      <w:r>
        <w:rPr>
          <w:rFonts w:ascii="Times New Roman" w:hAnsi="Times New Roman"/>
          <w:sz w:val="20"/>
        </w:rPr>
        <w:t>”) the Restricted Stock Units described in this Grant Notice (the “</w:t>
      </w:r>
      <w:r>
        <w:rPr>
          <w:rFonts w:ascii="Times New Roman" w:hAnsi="Times New Roman"/>
          <w:b/>
          <w:i/>
          <w:sz w:val="20"/>
        </w:rPr>
        <w:t>RSUs</w:t>
      </w:r>
      <w:r>
        <w:rPr>
          <w:rFonts w:ascii="Times New Roman" w:hAnsi="Times New Roman"/>
          <w:sz w:val="20"/>
        </w:rPr>
        <w:t xml:space="preserve">”), subject to the terms and conditions of the Plan and the Restricted Stock Unit Agreement attached hereto as </w:t>
      </w:r>
      <w:r>
        <w:rPr>
          <w:rFonts w:ascii="Times New Roman" w:hAnsi="Times New Roman"/>
          <w:b/>
          <w:sz w:val="20"/>
        </w:rPr>
        <w:t>Exhibit A</w:t>
      </w:r>
      <w:r>
        <w:rPr>
          <w:rFonts w:ascii="Times New Roman" w:hAnsi="Times New Roman"/>
          <w:sz w:val="20"/>
        </w:rPr>
        <w:t xml:space="preserve"> (the “</w:t>
      </w:r>
      <w:r>
        <w:rPr>
          <w:rFonts w:ascii="Times New Roman" w:hAnsi="Times New Roman"/>
          <w:b/>
          <w:i/>
          <w:sz w:val="20"/>
        </w:rPr>
        <w:t>Agreement</w:t>
      </w:r>
      <w:r>
        <w:rPr>
          <w:rFonts w:ascii="Times New Roman" w:hAnsi="Times New Roman"/>
          <w:sz w:val="20"/>
        </w:rPr>
        <w:t xml:space="preserve">”), both of which are incorporated into this Grant Notice by reference.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3"/>
        <w:gridCol w:w="121"/>
        <w:gridCol w:w="4921"/>
      </w:tblGrid>
      <w:tr>
        <w:trPr/>
        <w:tc>
          <w:tcPr>
            <w:tcW w:w="516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r>
      <w:tr>
        <w:trPr/>
        <w:tc>
          <w:tcPr>
            <w:tcW w:w="51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Participant:</w:t>
            </w:r>
          </w:p>
        </w:tc>
        <w:tc>
          <w:tcPr>
            <w:tcW w:w="121" w:type="dxa"/>
            <w:tcBorders/>
            <w:vAlign w:val="bottom"/>
          </w:tcPr>
          <w:p>
            <w:pPr>
              <w:pStyle w:val="TableContents"/>
              <w:bidi w:val="0"/>
              <w:spacing w:before="0" w:after="283"/>
              <w:jc w:val="left"/>
              <w:rPr/>
            </w:pPr>
            <w:r>
              <w:rPr/>
              <w:t>  </w:t>
            </w:r>
          </w:p>
        </w:tc>
        <w:tc>
          <w:tcPr>
            <w:tcW w:w="4921" w:type="dxa"/>
            <w:tcBorders/>
            <w:vAlign w:val="bottom"/>
          </w:tcPr>
          <w:p>
            <w:pPr>
              <w:pStyle w:val="TableContents"/>
              <w:bidi w:val="0"/>
              <w:spacing w:before="0" w:after="283"/>
              <w:jc w:val="left"/>
              <w:rPr>
                <w:i/>
              </w:rPr>
            </w:pPr>
            <w:r>
              <w:rPr>
                <w:i/>
              </w:rPr>
              <w:t>[Insert Participant Name]</w:t>
            </w:r>
          </w:p>
        </w:tc>
      </w:tr>
      <w:tr>
        <w:trPr/>
        <w:tc>
          <w:tcPr>
            <w:tcW w:w="51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Grant Date:</w:t>
            </w:r>
          </w:p>
        </w:tc>
        <w:tc>
          <w:tcPr>
            <w:tcW w:w="121" w:type="dxa"/>
            <w:tcBorders/>
            <w:vAlign w:val="bottom"/>
          </w:tcPr>
          <w:p>
            <w:pPr>
              <w:pStyle w:val="TableContents"/>
              <w:bidi w:val="0"/>
              <w:spacing w:before="0" w:after="283"/>
              <w:jc w:val="left"/>
              <w:rPr/>
            </w:pPr>
            <w:r>
              <w:rPr/>
              <w:t>  </w:t>
            </w:r>
          </w:p>
        </w:tc>
        <w:tc>
          <w:tcPr>
            <w:tcW w:w="4921" w:type="dxa"/>
            <w:tcBorders/>
            <w:vAlign w:val="bottom"/>
          </w:tcPr>
          <w:p>
            <w:pPr>
              <w:pStyle w:val="TableContents"/>
              <w:bidi w:val="0"/>
              <w:spacing w:before="0" w:after="283"/>
              <w:jc w:val="left"/>
              <w:rPr>
                <w:i/>
              </w:rPr>
            </w:pPr>
            <w:r>
              <w:rPr>
                <w:i/>
              </w:rPr>
              <w:t>[Insert Grant Date]</w:t>
            </w:r>
          </w:p>
        </w:tc>
      </w:tr>
      <w:tr>
        <w:trPr/>
        <w:tc>
          <w:tcPr>
            <w:tcW w:w="51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Number of RSUs:</w:t>
            </w:r>
          </w:p>
        </w:tc>
        <w:tc>
          <w:tcPr>
            <w:tcW w:w="121" w:type="dxa"/>
            <w:tcBorders/>
            <w:vAlign w:val="bottom"/>
          </w:tcPr>
          <w:p>
            <w:pPr>
              <w:pStyle w:val="TableContents"/>
              <w:bidi w:val="0"/>
              <w:spacing w:before="0" w:after="283"/>
              <w:jc w:val="left"/>
              <w:rPr/>
            </w:pPr>
            <w:r>
              <w:rPr/>
              <w:t>  </w:t>
            </w:r>
          </w:p>
        </w:tc>
        <w:tc>
          <w:tcPr>
            <w:tcW w:w="4921" w:type="dxa"/>
            <w:tcBorders/>
            <w:vAlign w:val="bottom"/>
          </w:tcPr>
          <w:p>
            <w:pPr>
              <w:pStyle w:val="TableContents"/>
              <w:bidi w:val="0"/>
              <w:spacing w:before="0" w:after="283"/>
              <w:jc w:val="left"/>
              <w:rPr>
                <w:i/>
              </w:rPr>
            </w:pPr>
            <w:r>
              <w:rPr>
                <w:i/>
              </w:rPr>
              <w:t>[Insert Number of RSUs]</w:t>
            </w:r>
          </w:p>
        </w:tc>
      </w:tr>
      <w:tr>
        <w:trPr/>
        <w:tc>
          <w:tcPr>
            <w:tcW w:w="51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Vesting Commencement Date:</w:t>
            </w:r>
          </w:p>
        </w:tc>
        <w:tc>
          <w:tcPr>
            <w:tcW w:w="121" w:type="dxa"/>
            <w:tcBorders/>
            <w:vAlign w:val="bottom"/>
          </w:tcPr>
          <w:p>
            <w:pPr>
              <w:pStyle w:val="TableContents"/>
              <w:bidi w:val="0"/>
              <w:spacing w:before="0" w:after="283"/>
              <w:jc w:val="left"/>
              <w:rPr/>
            </w:pPr>
            <w:r>
              <w:rPr/>
              <w:t>  </w:t>
            </w:r>
          </w:p>
        </w:tc>
        <w:tc>
          <w:tcPr>
            <w:tcW w:w="4921" w:type="dxa"/>
            <w:tcBorders/>
            <w:vAlign w:val="bottom"/>
          </w:tcPr>
          <w:p>
            <w:pPr>
              <w:pStyle w:val="TableContents"/>
              <w:bidi w:val="0"/>
              <w:spacing w:before="0" w:after="283"/>
              <w:jc w:val="left"/>
              <w:rPr>
                <w:i/>
              </w:rPr>
            </w:pPr>
            <w:r>
              <w:rPr>
                <w:i/>
              </w:rPr>
              <w:t>[Insert Vesting Commencement Date]</w:t>
            </w:r>
          </w:p>
        </w:tc>
      </w:tr>
      <w:tr>
        <w:trPr/>
        <w:tc>
          <w:tcPr>
            <w:tcW w:w="51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Vesting Schedule:</w:t>
            </w:r>
          </w:p>
        </w:tc>
        <w:tc>
          <w:tcPr>
            <w:tcW w:w="121" w:type="dxa"/>
            <w:tcBorders/>
            <w:vAlign w:val="bottom"/>
          </w:tcPr>
          <w:p>
            <w:pPr>
              <w:pStyle w:val="TableContents"/>
              <w:bidi w:val="0"/>
              <w:spacing w:before="0" w:after="283"/>
              <w:jc w:val="left"/>
              <w:rPr/>
            </w:pPr>
            <w:r>
              <w:rPr/>
              <w:t>  </w:t>
            </w:r>
          </w:p>
        </w:tc>
        <w:tc>
          <w:tcPr>
            <w:tcW w:w="4921" w:type="dxa"/>
            <w:tcBorders/>
            <w:vAlign w:val="bottom"/>
          </w:tcPr>
          <w:p>
            <w:pPr>
              <w:pStyle w:val="TableContents"/>
              <w:bidi w:val="0"/>
              <w:spacing w:before="0" w:after="283"/>
              <w:jc w:val="left"/>
              <w:rPr>
                <w:i/>
              </w:rPr>
            </w:pPr>
            <w:r>
              <w:rPr>
                <w:i/>
              </w:rPr>
              <w:t>[Insert Vesting Schedule]</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Company uses an electronic capitalization table system (such as E*Trade, Shareworks or Carta) and the fields in this Grant Notice are blank or the information is otherwise provided in a different format electronically, the blank fields and other information will be deemed to come from the electronic capitalization system and is considered part of this Grant Notice. </w:t>
      </w:r>
    </w:p>
    <w:p>
      <w:pPr>
        <w:pStyle w:val="TextBody"/>
        <w:bidi w:val="0"/>
        <w:spacing w:before="240" w:after="0"/>
        <w:jc w:val="left"/>
        <w:rPr>
          <w:rFonts w:ascii="Times New Roman" w:hAnsi="Times New Roman"/>
          <w:sz w:val="20"/>
        </w:rPr>
      </w:pPr>
      <w:r>
        <w:rPr>
          <w:rFonts w:ascii="Times New Roman" w:hAnsi="Times New Roman"/>
          <w:sz w:val="20"/>
        </w:rPr>
        <w:t xml:space="preserve">By electronically accepting this document, Participant agrees to be bound by the terms and conditions of this Grant Notice, the Plan and the Agreement. Participant has reviewed the Plan, this Grant Notice and the Agreement in their entirety, has been provided with a copy or electronic access to a copy of the prospectus for the Plan,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 </w:t>
      </w:r>
    </w:p>
    <w:p>
      <w:pPr>
        <w:pStyle w:val="TextBody"/>
        <w:bidi w:val="0"/>
        <w:spacing w:before="240" w:after="0"/>
        <w:jc w:val="left"/>
        <w:rPr>
          <w:rFonts w:ascii="Times New Roman" w:hAnsi="Times New Roman"/>
          <w:sz w:val="20"/>
        </w:rPr>
      </w:pPr>
      <w:r>
        <w:rPr>
          <w:rFonts w:ascii="Times New Roman" w:hAnsi="Times New Roman"/>
          <w:b/>
          <w:sz w:val="20"/>
        </w:rPr>
        <w:t>Internet Availability of Plan Materials</w:t>
      </w:r>
      <w:r>
        <w:rPr>
          <w:rFonts w:ascii="Times New Roman" w:hAnsi="Times New Roman"/>
          <w:sz w:val="20"/>
        </w:rPr>
        <w:t xml:space="preserve">: The Company will furnish Plan materials (including the Plan, prospectus, annual report on Form 10-K and proxy statement and other information provided to the Company’s stockholders) relating to the Plan to Participant electronically, instead of mailing printed copies of these materials to each person eligible to participate in the plans. This process is designed to expedite Participant’s receipt of the plan materials, reduce the costs of printing and distributing these materials, and help conserve natural resources. These materials are available through the Company’s electronic capitalization table system (such as E*Trade, Shareworks or Carta) and the annual report on Form 10-K and proxy statement and other information provided to our stockholders is also available on the Company’s website at https://www.erasca.com/. However, if Participant would prefer to receive printed copies of the Plan materials or information provided to the Company’s stockholders without charge, please contact: Erasca, Inc., 3115 Merryfield Row, Suite 300, San Diego, CA 92121, Telephone: (858) 465-6511.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RESTRICTED STOCK UNIT AGREEMENT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not specifically defined in this Agreement have the meanings specified in the Grant Notice or, if not defined in the Grant Notice, in the Plan.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XVI.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16.1 </w:t>
      </w:r>
      <w:r>
        <w:rPr>
          <w:rFonts w:ascii="Times New Roman" w:hAnsi="Times New Roman"/>
          <w:sz w:val="20"/>
          <w:u w:val="single"/>
        </w:rPr>
        <w:t>Award of RSUs</w:t>
      </w:r>
      <w:r>
        <w:rPr>
          <w:rFonts w:ascii="Times New Roman" w:hAnsi="Times New Roman"/>
          <w:sz w:val="20"/>
        </w:rPr>
        <w:t>. The Company has granted the RSUs to Participant effective as of the grant date set forth in the Grant Notice (the “</w:t>
      </w:r>
      <w:r>
        <w:rPr>
          <w:rFonts w:ascii="Times New Roman" w:hAnsi="Times New Roman"/>
          <w:b/>
          <w:i/>
          <w:sz w:val="20"/>
        </w:rPr>
        <w:t>Grant Date</w:t>
      </w:r>
      <w:r>
        <w:rPr>
          <w:rFonts w:ascii="Times New Roman" w:hAnsi="Times New Roman"/>
          <w:sz w:val="20"/>
        </w:rPr>
        <w:t>”). Each RSU represents the right to receive one Share, as set forth in this Agreement. Participant will have no right to the distribution of any Shares until the time (if ever) the RSUs have vested. The RSUs are intended to constitute an “employment inducement” award under Nasdaq Stock Market (“</w:t>
      </w:r>
      <w:r>
        <w:rPr>
          <w:rFonts w:ascii="Times New Roman" w:hAnsi="Times New Roman"/>
          <w:b/>
          <w:i/>
          <w:sz w:val="20"/>
        </w:rPr>
        <w:t>Nasdaq</w:t>
      </w:r>
      <w:r>
        <w:rPr>
          <w:rFonts w:ascii="Times New Roman" w:hAnsi="Times New Roman"/>
          <w:sz w:val="20"/>
        </w:rPr>
        <w:t xml:space="preserve">”) Rule 5635(c)(4) and consequently is intended to be exempt from the Nasdaq rules regarding shareholder approval of stock option plans or other equity compensation arrangements. This Agreement and the terms and conditions of the Award shall be interpreted in accordance with and consistent with such exception. </w:t>
      </w:r>
    </w:p>
    <w:p>
      <w:pPr>
        <w:pStyle w:val="TextBody"/>
        <w:bidi w:val="0"/>
        <w:spacing w:before="240" w:after="0"/>
        <w:jc w:val="left"/>
        <w:rPr>
          <w:rFonts w:ascii="Times New Roman" w:hAnsi="Times New Roman"/>
          <w:sz w:val="20"/>
        </w:rPr>
      </w:pPr>
      <w:r>
        <w:rPr>
          <w:rFonts w:ascii="Times New Roman" w:hAnsi="Times New Roman"/>
          <w:sz w:val="20"/>
        </w:rPr>
        <w:t>16.2 </w:t>
      </w:r>
      <w:r>
        <w:rPr>
          <w:rFonts w:ascii="Times New Roman" w:hAnsi="Times New Roman"/>
          <w:sz w:val="20"/>
          <w:u w:val="single"/>
        </w:rPr>
        <w:t>Incorporation of Terms of Plan</w:t>
      </w:r>
      <w:r>
        <w:rPr>
          <w:rFonts w:ascii="Times New Roman" w:hAnsi="Times New Roman"/>
          <w:sz w:val="20"/>
        </w:rPr>
        <w:t xml:space="preserve">. The RSUs are subject to the terms and conditions set forth in this Agreement and the Plan, which is incorporated herein by reference. In the event of any inconsistency between the Plan and this Agreement, the terms of the Plan will control. </w:t>
      </w:r>
    </w:p>
    <w:p>
      <w:pPr>
        <w:pStyle w:val="TextBody"/>
        <w:bidi w:val="0"/>
        <w:spacing w:before="240" w:after="0"/>
        <w:jc w:val="left"/>
        <w:rPr>
          <w:rFonts w:ascii="Times New Roman" w:hAnsi="Times New Roman"/>
          <w:sz w:val="20"/>
        </w:rPr>
      </w:pPr>
      <w:r>
        <w:rPr>
          <w:rFonts w:ascii="Times New Roman" w:hAnsi="Times New Roman"/>
          <w:sz w:val="20"/>
        </w:rPr>
        <w:t>16.3 </w:t>
      </w:r>
      <w:r>
        <w:rPr>
          <w:rFonts w:ascii="Times New Roman" w:hAnsi="Times New Roman"/>
          <w:sz w:val="20"/>
          <w:u w:val="single"/>
        </w:rPr>
        <w:t>Unsecured Promise</w:t>
      </w:r>
      <w:r>
        <w:rPr>
          <w:rFonts w:ascii="Times New Roman" w:hAnsi="Times New Roman"/>
          <w:sz w:val="20"/>
        </w:rPr>
        <w:t xml:space="preserve">. The RSUs will at all times prior to settlement represent an unsecured Company obligation payable only from the Company’s general assets.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XVII. </w:t>
      </w:r>
    </w:p>
    <w:p>
      <w:pPr>
        <w:pStyle w:val="TextBody"/>
        <w:bidi w:val="0"/>
        <w:spacing w:before="0" w:after="0"/>
        <w:jc w:val="center"/>
        <w:rPr>
          <w:rFonts w:ascii="Times New Roman" w:hAnsi="Times New Roman"/>
          <w:b/>
          <w:sz w:val="20"/>
        </w:rPr>
      </w:pPr>
      <w:r>
        <w:rPr>
          <w:rFonts w:ascii="Times New Roman" w:hAnsi="Times New Roman"/>
          <w:b/>
          <w:sz w:val="20"/>
        </w:rPr>
        <w:t xml:space="preserve">VESTING; FORFEITURE AND SETTLEMENT </w:t>
      </w:r>
    </w:p>
    <w:p>
      <w:pPr>
        <w:pStyle w:val="TextBody"/>
        <w:bidi w:val="0"/>
        <w:spacing w:before="240" w:after="0"/>
        <w:jc w:val="left"/>
        <w:rPr>
          <w:rFonts w:ascii="Times New Roman" w:hAnsi="Times New Roman"/>
          <w:sz w:val="20"/>
        </w:rPr>
      </w:pPr>
      <w:r>
        <w:rPr>
          <w:rFonts w:ascii="Times New Roman" w:hAnsi="Times New Roman"/>
          <w:sz w:val="20"/>
        </w:rPr>
        <w:t>17.1 </w:t>
      </w:r>
      <w:r>
        <w:rPr>
          <w:rFonts w:ascii="Times New Roman" w:hAnsi="Times New Roman"/>
          <w:sz w:val="20"/>
          <w:u w:val="single"/>
        </w:rPr>
        <w:t>Vesting; Forfeiture</w:t>
      </w:r>
      <w:r>
        <w:rPr>
          <w:rFonts w:ascii="Times New Roman" w:hAnsi="Times New Roman"/>
          <w:sz w:val="20"/>
        </w:rPr>
        <w:t>. The RSUs will vest according to the vesting schedule in the Grant Notice (the “</w:t>
      </w:r>
      <w:r>
        <w:rPr>
          <w:rFonts w:ascii="Times New Roman" w:hAnsi="Times New Roman"/>
          <w:b/>
          <w:i/>
          <w:sz w:val="20"/>
        </w:rPr>
        <w:t>Vesting Schedule</w:t>
      </w:r>
      <w:r>
        <w:rPr>
          <w:rFonts w:ascii="Times New Roman" w:hAnsi="Times New Roman"/>
          <w:sz w:val="20"/>
        </w:rPr>
        <w:t xml:space="preserve">”), except that any fraction of an RSU that would otherwise be vested will be accumulated and will vest only when a whole RSU has accumulated. Except as provided in the Grant Notice, in the event of Participant’s Termination of Service for any reason, all unvested RSUs will immediately and automatically be cancelled and forfeited, except as otherwise determined by the Administrator or provided in a binding written agreement between Participant and the Company. Unless and until the RSUs have vested in accordance with the Vesting Schedule set forth in the Grant Notice, Participant will have no right to any distribution with respect to such RSUs. </w:t>
      </w:r>
    </w:p>
    <w:p>
      <w:pPr>
        <w:pStyle w:val="TextBody"/>
        <w:bidi w:val="0"/>
        <w:spacing w:before="240" w:after="0"/>
        <w:jc w:val="left"/>
        <w:rPr>
          <w:rFonts w:ascii="Times New Roman" w:hAnsi="Times New Roman"/>
          <w:sz w:val="20"/>
        </w:rPr>
      </w:pPr>
      <w:r>
        <w:rPr>
          <w:rFonts w:ascii="Times New Roman" w:hAnsi="Times New Roman"/>
          <w:sz w:val="20"/>
        </w:rPr>
        <w:t>17.2 </w:t>
      </w:r>
      <w:r>
        <w:rPr>
          <w:rFonts w:ascii="Times New Roman" w:hAnsi="Times New Roman"/>
          <w:sz w:val="20"/>
          <w:u w:val="single"/>
        </w:rPr>
        <w:t>Settlement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(a) RSUs will be paid in Shares as soon as administratively practicable after the vesting of the applicable RSU, but in no event more than sixty (60) days after the applicable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 </w:t>
      </w:r>
    </w:p>
    <w:p>
      <w:pPr>
        <w:pStyle w:val="TextBody"/>
        <w:bidi w:val="0"/>
        <w:spacing w:before="240" w:after="0"/>
        <w:jc w:val="left"/>
        <w:rPr>
          <w:rFonts w:ascii="Times New Roman" w:hAnsi="Times New Roman"/>
          <w:sz w:val="20"/>
        </w:rPr>
      </w:pPr>
      <w:r>
        <w:rPr>
          <w:rFonts w:ascii="Times New Roman" w:hAnsi="Times New Roman"/>
          <w:sz w:val="20"/>
        </w:rPr>
        <w:t xml:space="preserve">(b) All distributions shall be made by the Company in the form of whole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(c) Neither the time nor form of distribution of Shares with respect to the RSUs may be changed, except as may be permitted by the Administrator in accordance with the Plan and Section 409A of the Code and the Treasury Regulations thereunder.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XVIII. </w:t>
      </w:r>
    </w:p>
    <w:p>
      <w:pPr>
        <w:pStyle w:val="TextBody"/>
        <w:bidi w:val="0"/>
        <w:spacing w:before="0" w:after="0"/>
        <w:jc w:val="center"/>
        <w:rPr>
          <w:rFonts w:ascii="Times New Roman" w:hAnsi="Times New Roman"/>
          <w:b/>
          <w:sz w:val="20"/>
        </w:rPr>
      </w:pPr>
      <w:r>
        <w:rPr>
          <w:rFonts w:ascii="Times New Roman" w:hAnsi="Times New Roman"/>
          <w:b/>
          <w:sz w:val="20"/>
        </w:rPr>
        <w:t xml:space="preserve">TAXATION AND TAX WITHHOLDING </w:t>
      </w:r>
    </w:p>
    <w:p>
      <w:pPr>
        <w:pStyle w:val="TextBody"/>
        <w:bidi w:val="0"/>
        <w:spacing w:before="240" w:after="0"/>
        <w:jc w:val="left"/>
        <w:rPr>
          <w:rFonts w:ascii="Times New Roman" w:hAnsi="Times New Roman"/>
          <w:sz w:val="20"/>
        </w:rPr>
      </w:pPr>
      <w:r>
        <w:rPr>
          <w:rFonts w:ascii="Times New Roman" w:hAnsi="Times New Roman"/>
          <w:sz w:val="20"/>
        </w:rPr>
        <w:t>18.1 </w:t>
      </w:r>
      <w:r>
        <w:rPr>
          <w:rFonts w:ascii="Times New Roman" w:hAnsi="Times New Roman"/>
          <w:sz w:val="20"/>
          <w:u w:val="single"/>
        </w:rPr>
        <w:t>Tax Withholding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shall not be obligated to deliver any certificate representing Shares issuable with respect to the RSUs to Participant or his or her legal representative unless and until Participant or his or her legal representative will have paid or otherwise satisfied in full the amount of all federal, state, local and foreign taxes required by Applicable Law to be withheld in connection with the vesting, exercise or settlement of the RSUs, the distribution of the Shares issuable with respect thereto, or any other taxable event related to the RSUs (the “</w:t>
      </w:r>
      <w:r>
        <w:rPr>
          <w:rFonts w:ascii="Times New Roman" w:hAnsi="Times New Roman"/>
          <w:b/>
          <w:i/>
          <w:sz w:val="20"/>
        </w:rPr>
        <w:t>Tax Withholding Obligation</w:t>
      </w:r>
      <w:r>
        <w:rPr>
          <w:rFonts w:ascii="Times New Roman" w:hAnsi="Times New Roman"/>
          <w:sz w:val="20"/>
        </w:rPr>
        <w:t xml:space="preserve">”). Subject to Section 9.5 of the Plan, the Company will have the authority and the right to deduct or withhold, or require Participant to remit to the Company, an amount sufficient to satisfy any Tax Withholding Obligation, including, without limitation, the authority to deduct such amounts from other compensation payable to Participant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(b) Unless Participant elects to satisfy the Tax Withholding Obligation by some other means in accordance with Section 9.5 of the Plan, the Company will have the right, but not the obligation, with respect to the Tax Withholding Obligation arising as a result of the vesting, exercise or settlement of the RSUs, to treat Participant’s failure to provide timely payment in accordance with Section 9.5 of the Plan as Participant’s election to satisfy the Tax Withholding Obligation by requesting the Company to withhold a net number of vested Shares otherwise issuable pursuant to the RSUs having a then-current fair market value not exceeding the amount necessary to satisfy the Tax Withholding Obligation (provided that if Participant is subject to Section 16 of the Exchange Act, any such action by the Company will require the approval of the Administrator) in accordance with Section 9.5 of the Plan. </w:t>
      </w:r>
    </w:p>
    <w:p>
      <w:pPr>
        <w:pStyle w:val="TextBody"/>
        <w:bidi w:val="0"/>
        <w:spacing w:before="240" w:after="0"/>
        <w:jc w:val="left"/>
        <w:rPr>
          <w:rFonts w:ascii="Times New Roman" w:hAnsi="Times New Roman"/>
          <w:sz w:val="20"/>
        </w:rPr>
      </w:pPr>
      <w:r>
        <w:rPr>
          <w:rFonts w:ascii="Times New Roman" w:hAnsi="Times New Roman"/>
          <w:sz w:val="20"/>
        </w:rPr>
        <w:t>18.2 </w:t>
      </w:r>
      <w:r>
        <w:rPr>
          <w:rFonts w:ascii="Times New Roman" w:hAnsi="Times New Roman"/>
          <w:sz w:val="20"/>
          <w:u w:val="single"/>
        </w:rPr>
        <w:t>Participant Responsibility; No Company Liability</w:t>
      </w:r>
      <w:r>
        <w:rPr>
          <w:rFonts w:ascii="Times New Roman" w:hAnsi="Times New Roman"/>
          <w:sz w:val="20"/>
        </w:rPr>
        <w:t xml:space="preserve">. Participant acknowledges that 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tax treatment to Participant in connection with the awarding, vesting or settlement of the RSUs or the subsequent sale of Shares. The Company and its Subsidiaries do not commit and are under no obligation to structure the RSUs to reduce or eliminate Participant’s tax liability. </w:t>
      </w:r>
    </w:p>
    <w:p>
      <w:pPr>
        <w:pStyle w:val="TextBody"/>
        <w:bidi w:val="0"/>
        <w:spacing w:before="240" w:after="0"/>
        <w:jc w:val="left"/>
        <w:rPr>
          <w:rFonts w:ascii="Times New Roman" w:hAnsi="Times New Roman"/>
          <w:sz w:val="20"/>
        </w:rPr>
      </w:pPr>
      <w:r>
        <w:rPr>
          <w:rFonts w:ascii="Times New Roman" w:hAnsi="Times New Roman"/>
          <w:sz w:val="20"/>
        </w:rPr>
        <w:t>18.3 </w:t>
      </w:r>
      <w:r>
        <w:rPr>
          <w:rFonts w:ascii="Times New Roman" w:hAnsi="Times New Roman"/>
          <w:sz w:val="20"/>
          <w:u w:val="single"/>
        </w:rPr>
        <w:t>Representation</w:t>
      </w:r>
      <w:r>
        <w:rPr>
          <w:rFonts w:ascii="Times New Roman" w:hAnsi="Times New Roman"/>
          <w:sz w:val="20"/>
        </w:rPr>
        <w:t xml:space="preserve">.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 </w:t>
      </w:r>
    </w:p>
    <w:p>
      <w:pPr>
        <w:pStyle w:val="TextBody"/>
        <w:bidi w:val="0"/>
        <w:spacing w:before="360" w:after="0"/>
        <w:jc w:val="center"/>
        <w:rPr>
          <w:rFonts w:ascii="Times New Roman" w:hAnsi="Times New Roman"/>
          <w:b/>
          <w:sz w:val="20"/>
        </w:rPr>
      </w:pPr>
      <w:r>
        <w:rPr>
          <w:rFonts w:ascii="Times New Roman" w:hAnsi="Times New Roman"/>
          <w:b/>
          <w:sz w:val="20"/>
        </w:rPr>
        <w:t xml:space="preserve">ARTICLE XIX. </w:t>
      </w:r>
    </w:p>
    <w:p>
      <w:pPr>
        <w:pStyle w:val="TextBody"/>
        <w:bidi w:val="0"/>
        <w:spacing w:before="0" w:after="0"/>
        <w:jc w:val="center"/>
        <w:rPr>
          <w:rFonts w:ascii="Times New Roman" w:hAnsi="Times New Roman"/>
          <w:b/>
          <w:sz w:val="20"/>
        </w:rPr>
      </w:pPr>
      <w:r>
        <w:rPr>
          <w:rFonts w:ascii="Times New Roman" w:hAnsi="Times New Roman"/>
          <w:b/>
          <w:sz w:val="20"/>
        </w:rPr>
        <w:t xml:space="preserve">OTHER PROVISIONS </w:t>
      </w:r>
    </w:p>
    <w:p>
      <w:pPr>
        <w:pStyle w:val="TextBody"/>
        <w:bidi w:val="0"/>
        <w:spacing w:before="240" w:after="0"/>
        <w:jc w:val="left"/>
        <w:rPr>
          <w:rFonts w:ascii="Times New Roman" w:hAnsi="Times New Roman"/>
          <w:sz w:val="20"/>
        </w:rPr>
      </w:pPr>
      <w:r>
        <w:rPr>
          <w:rFonts w:ascii="Times New Roman" w:hAnsi="Times New Roman"/>
          <w:sz w:val="20"/>
        </w:rPr>
        <w:t>19.1 </w:t>
      </w:r>
      <w:r>
        <w:rPr>
          <w:rFonts w:ascii="Times New Roman" w:hAnsi="Times New Roman"/>
          <w:sz w:val="20"/>
          <w:u w:val="single"/>
        </w:rPr>
        <w:t>Award Not Transferable; Other Restrictions</w:t>
      </w:r>
      <w:r>
        <w:rPr>
          <w:rFonts w:ascii="Times New Roman" w:hAnsi="Times New Roman"/>
          <w:sz w:val="20"/>
        </w:rPr>
        <w:t>. Without limiting the generality of any other provision hereof, the Award will be subject to the restrictions on transferability set forth in Section 9.1 of the Plan. Without limiting the generality of any other provision hereof, Participant hereby expressly acknowledges that Section 10.8 (“</w:t>
      </w:r>
      <w:r>
        <w:rPr>
          <w:rFonts w:ascii="Times New Roman" w:hAnsi="Times New Roman"/>
          <w:i/>
          <w:sz w:val="20"/>
        </w:rPr>
        <w:t>Lock-Up Period</w:t>
      </w:r>
      <w:r>
        <w:rPr>
          <w:rFonts w:ascii="Times New Roman" w:hAnsi="Times New Roman"/>
          <w:sz w:val="20"/>
        </w:rPr>
        <w:t>”) and Section 10.13 (“</w:t>
      </w:r>
      <w:r>
        <w:rPr>
          <w:rFonts w:ascii="Times New Roman" w:hAnsi="Times New Roman"/>
          <w:i/>
          <w:sz w:val="20"/>
        </w:rPr>
        <w:t>Clawback Provisions</w:t>
      </w:r>
      <w:r>
        <w:rPr>
          <w:rFonts w:ascii="Times New Roman" w:hAnsi="Times New Roman"/>
          <w:sz w:val="20"/>
        </w:rPr>
        <w:t xml:space="preserve">”) of the Plan are expressly incorporated into this Agreement and are applicable to the Shares issued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19.2 </w:t>
      </w:r>
      <w:r>
        <w:rPr>
          <w:rFonts w:ascii="Times New Roman" w:hAnsi="Times New Roman"/>
          <w:sz w:val="20"/>
          <w:u w:val="single"/>
        </w:rPr>
        <w:t>Adjustments</w:t>
      </w:r>
      <w:r>
        <w:rPr>
          <w:rFonts w:ascii="Times New Roman" w:hAnsi="Times New Roman"/>
          <w:sz w:val="20"/>
        </w:rPr>
        <w:t xml:space="preserve">. Participant acknowledges that the RSUs and the Shares subject to the RSUs are subject to adjustment, modification and termination in certain events as provided in this Agreement and the Plan. </w:t>
      </w:r>
    </w:p>
    <w:p>
      <w:pPr>
        <w:pStyle w:val="TextBody"/>
        <w:bidi w:val="0"/>
        <w:spacing w:before="240" w:after="0"/>
        <w:jc w:val="left"/>
        <w:rPr>
          <w:rFonts w:ascii="Times New Roman" w:hAnsi="Times New Roman"/>
          <w:sz w:val="20"/>
        </w:rPr>
      </w:pPr>
      <w:r>
        <w:rPr>
          <w:rFonts w:ascii="Times New Roman" w:hAnsi="Times New Roman"/>
          <w:sz w:val="20"/>
        </w:rPr>
        <w:t>19.3 </w:t>
      </w:r>
      <w:r>
        <w:rPr>
          <w:rFonts w:ascii="Times New Roman" w:hAnsi="Times New Roman"/>
          <w:sz w:val="20"/>
          <w:u w:val="single"/>
        </w:rPr>
        <w:t>Notices</w:t>
      </w:r>
      <w:r>
        <w:rPr>
          <w:rFonts w:ascii="Times New Roman" w:hAnsi="Times New Roman"/>
          <w:sz w:val="20"/>
        </w:rPr>
        <w:t xml:space="preserve">.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 </w:t>
      </w:r>
    </w:p>
    <w:p>
      <w:pPr>
        <w:pStyle w:val="TextBody"/>
        <w:bidi w:val="0"/>
        <w:spacing w:before="240" w:after="0"/>
        <w:jc w:val="left"/>
        <w:rPr>
          <w:rFonts w:ascii="Times New Roman" w:hAnsi="Times New Roman"/>
          <w:sz w:val="20"/>
        </w:rPr>
      </w:pPr>
      <w:r>
        <w:rPr>
          <w:rFonts w:ascii="Times New Roman" w:hAnsi="Times New Roman"/>
          <w:sz w:val="20"/>
        </w:rPr>
        <w:t>19.4 </w:t>
      </w:r>
      <w:r>
        <w:rPr>
          <w:rFonts w:ascii="Times New Roman" w:hAnsi="Times New Roman"/>
          <w:sz w:val="20"/>
          <w:u w:val="single"/>
        </w:rPr>
        <w:t>Titles</w:t>
      </w:r>
      <w:r>
        <w:rPr>
          <w:rFonts w:ascii="Times New Roman" w:hAnsi="Times New Roman"/>
          <w:sz w:val="20"/>
        </w:rPr>
        <w:t xml:space="preserve">. Titles are provided herein for convenience only and are not to serve as a basis for interpretation or construction of this Agreement. </w:t>
      </w:r>
    </w:p>
    <w:p>
      <w:pPr>
        <w:pStyle w:val="TextBody"/>
        <w:bidi w:val="0"/>
        <w:spacing w:before="240" w:after="0"/>
        <w:jc w:val="left"/>
        <w:rPr>
          <w:rFonts w:ascii="Times New Roman" w:hAnsi="Times New Roman"/>
          <w:sz w:val="20"/>
        </w:rPr>
      </w:pPr>
      <w:r>
        <w:rPr>
          <w:rFonts w:ascii="Times New Roman" w:hAnsi="Times New Roman"/>
          <w:sz w:val="20"/>
        </w:rPr>
        <w:t>19.5 </w:t>
      </w:r>
      <w:r>
        <w:rPr>
          <w:rFonts w:ascii="Times New Roman" w:hAnsi="Times New Roman"/>
          <w:sz w:val="20"/>
          <w:u w:val="single"/>
        </w:rPr>
        <w:t>Conformity to Securities Laws</w:t>
      </w:r>
      <w:r>
        <w:rPr>
          <w:rFonts w:ascii="Times New Roman" w:hAnsi="Times New Roman"/>
          <w:sz w:val="20"/>
        </w:rPr>
        <w:t xml:space="preserve">.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16b-3) that are requirements for the application of such exemptive rule. Participant acknowledges that the Plan, the Grant Notice and this Agreement are intended to conform to the extent necessary with all Applicable Laws and, to the extent Applicable Laws permit, will be deemed amended to the extent necessary to conform to such Applicable Laws or any such exemptive rule described in the preceding sentence. </w:t>
      </w:r>
    </w:p>
    <w:p>
      <w:pPr>
        <w:pStyle w:val="TextBody"/>
        <w:bidi w:val="0"/>
        <w:spacing w:before="240" w:after="0"/>
        <w:jc w:val="left"/>
        <w:rPr>
          <w:rFonts w:ascii="Times New Roman" w:hAnsi="Times New Roman"/>
          <w:sz w:val="20"/>
        </w:rPr>
      </w:pPr>
      <w:r>
        <w:rPr>
          <w:rFonts w:ascii="Times New Roman" w:hAnsi="Times New Roman"/>
          <w:sz w:val="20"/>
        </w:rPr>
        <w:t>19.6 </w:t>
      </w:r>
      <w:r>
        <w:rPr>
          <w:rFonts w:ascii="Times New Roman" w:hAnsi="Times New Roman"/>
          <w:sz w:val="20"/>
          <w:u w:val="single"/>
        </w:rPr>
        <w:t>Successors and Assigns</w:t>
      </w:r>
      <w:r>
        <w:rPr>
          <w:rFonts w:ascii="Times New Roman" w:hAnsi="Times New Roman"/>
          <w:sz w:val="20"/>
        </w:rPr>
        <w:t xml:space="preserve">.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 </w:t>
      </w:r>
    </w:p>
    <w:p>
      <w:pPr>
        <w:pStyle w:val="TextBody"/>
        <w:bidi w:val="0"/>
        <w:spacing w:before="240" w:after="0"/>
        <w:jc w:val="left"/>
        <w:rPr>
          <w:rFonts w:ascii="Times New Roman" w:hAnsi="Times New Roman"/>
          <w:sz w:val="20"/>
        </w:rPr>
      </w:pPr>
      <w:r>
        <w:rPr>
          <w:rFonts w:ascii="Times New Roman" w:hAnsi="Times New Roman"/>
          <w:sz w:val="20"/>
        </w:rPr>
        <w:t>19.7 </w:t>
      </w:r>
      <w:r>
        <w:rPr>
          <w:rFonts w:ascii="Times New Roman" w:hAnsi="Times New Roman"/>
          <w:sz w:val="20"/>
          <w:u w:val="single"/>
        </w:rPr>
        <w:t>Entire Agreement</w:t>
      </w:r>
      <w:r>
        <w:rPr>
          <w:rFonts w:ascii="Times New Roman" w:hAnsi="Times New Roman"/>
          <w:sz w:val="20"/>
        </w:rPr>
        <w:t xml:space="preserve">. The Plan, the Grant Notice and this Agreement constitute the entire agreement of the parties and supersede in their entirety all prior undertakings and agreements of the Company and Participant with respect to the subject matter hereof. This Agreement may be amended by the Company in accordance with Section 9.6 of the Plan. </w:t>
      </w:r>
    </w:p>
    <w:p>
      <w:pPr>
        <w:pStyle w:val="TextBody"/>
        <w:bidi w:val="0"/>
        <w:spacing w:before="240" w:after="0"/>
        <w:jc w:val="left"/>
        <w:rPr>
          <w:rFonts w:ascii="Times New Roman" w:hAnsi="Times New Roman"/>
          <w:sz w:val="20"/>
        </w:rPr>
      </w:pPr>
      <w:r>
        <w:rPr>
          <w:rFonts w:ascii="Times New Roman" w:hAnsi="Times New Roman"/>
          <w:sz w:val="20"/>
        </w:rPr>
        <w:t>19.8 </w:t>
      </w:r>
      <w:r>
        <w:rPr>
          <w:rFonts w:ascii="Times New Roman" w:hAnsi="Times New Roman"/>
          <w:sz w:val="20"/>
          <w:u w:val="single"/>
        </w:rPr>
        <w:t>Agreement Severable</w:t>
      </w:r>
      <w:r>
        <w:rPr>
          <w:rFonts w:ascii="Times New Roman" w:hAnsi="Times New Roman"/>
          <w:sz w:val="20"/>
        </w:rPr>
        <w:t xml:space="preserve">.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 </w:t>
      </w:r>
    </w:p>
    <w:p>
      <w:pPr>
        <w:pStyle w:val="TextBody"/>
        <w:bidi w:val="0"/>
        <w:spacing w:before="240" w:after="0"/>
        <w:jc w:val="left"/>
        <w:rPr>
          <w:rFonts w:ascii="Times New Roman" w:hAnsi="Times New Roman"/>
          <w:sz w:val="20"/>
        </w:rPr>
      </w:pPr>
      <w:r>
        <w:rPr>
          <w:rFonts w:ascii="Times New Roman" w:hAnsi="Times New Roman"/>
          <w:sz w:val="20"/>
        </w:rPr>
        <w:t>19.9 </w:t>
      </w:r>
      <w:r>
        <w:rPr>
          <w:rFonts w:ascii="Times New Roman" w:hAnsi="Times New Roman"/>
          <w:sz w:val="20"/>
          <w:u w:val="single"/>
        </w:rPr>
        <w:t>Limitation on Participant’s Rights</w:t>
      </w:r>
      <w:r>
        <w:rPr>
          <w:rFonts w:ascii="Times New Roman" w:hAnsi="Times New Roman"/>
          <w:sz w:val="20"/>
        </w:rPr>
        <w:t xml:space="preserve">.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the Shares as a general unsecured creditor with respect to the RSUs, as and when settled pursuant to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19.10 </w:t>
      </w:r>
      <w:r>
        <w:rPr>
          <w:rFonts w:ascii="Times New Roman" w:hAnsi="Times New Roman"/>
          <w:sz w:val="20"/>
          <w:u w:val="single"/>
        </w:rPr>
        <w:t>Rights as a Stockholder</w:t>
      </w:r>
      <w:r>
        <w:rPr>
          <w:rFonts w:ascii="Times New Roman" w:hAnsi="Times New Roman"/>
          <w:sz w:val="20"/>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19.11 </w:t>
      </w:r>
      <w:r>
        <w:rPr>
          <w:rFonts w:ascii="Times New Roman" w:hAnsi="Times New Roman"/>
          <w:sz w:val="20"/>
          <w:u w:val="single"/>
        </w:rPr>
        <w:t>Not a Contract of Employment</w:t>
      </w:r>
      <w:r>
        <w:rPr>
          <w:rFonts w:ascii="Times New Roman" w:hAnsi="Times New Roman"/>
          <w:sz w:val="20"/>
        </w:rPr>
        <w:t xml:space="preserve">.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 </w:t>
      </w:r>
    </w:p>
    <w:p>
      <w:pPr>
        <w:pStyle w:val="TextBody"/>
        <w:bidi w:val="0"/>
        <w:spacing w:before="240" w:after="0"/>
        <w:jc w:val="left"/>
        <w:rPr>
          <w:rFonts w:ascii="Times New Roman" w:hAnsi="Times New Roman"/>
          <w:sz w:val="20"/>
        </w:rPr>
      </w:pPr>
      <w:r>
        <w:rPr>
          <w:rFonts w:ascii="Times New Roman" w:hAnsi="Times New Roman"/>
          <w:sz w:val="20"/>
        </w:rPr>
        <w:t>19.12 </w:t>
      </w:r>
      <w:r>
        <w:rPr>
          <w:rFonts w:ascii="Times New Roman" w:hAnsi="Times New Roman"/>
          <w:sz w:val="20"/>
          <w:u w:val="single"/>
        </w:rPr>
        <w:t>Counterparts</w:t>
      </w:r>
      <w:r>
        <w:rPr>
          <w:rFonts w:ascii="Times New Roman" w:hAnsi="Times New Roman"/>
          <w:sz w:val="20"/>
        </w:rPr>
        <w:t xml:space="preserve">. The Grant Notice may be executed in one or more counterparts, including by way of any electronic signature, subject to Applicable Law, each of which will be deemed an original and all of which together will constitute one instrument. </w:t>
      </w:r>
    </w:p>
    <w:p>
      <w:pPr>
        <w:pStyle w:val="TextBody"/>
        <w:bidi w:val="0"/>
        <w:spacing w:before="240" w:after="0"/>
        <w:jc w:val="left"/>
        <w:rPr>
          <w:rFonts w:ascii="Times New Roman" w:hAnsi="Times New Roman"/>
          <w:sz w:val="20"/>
        </w:rPr>
      </w:pPr>
      <w:r>
        <w:rPr>
          <w:rFonts w:ascii="Times New Roman" w:hAnsi="Times New Roman"/>
          <w:sz w:val="20"/>
        </w:rPr>
        <w:t>4.12 </w:t>
      </w:r>
      <w:r>
        <w:rPr>
          <w:rFonts w:ascii="Times New Roman" w:hAnsi="Times New Roman"/>
          <w:sz w:val="20"/>
          <w:u w:val="single"/>
        </w:rPr>
        <w:t>Governing Law</w:t>
      </w:r>
      <w:r>
        <w:rPr>
          <w:rFonts w:ascii="Times New Roman" w:hAnsi="Times New Roman"/>
          <w:sz w:val="20"/>
        </w:rPr>
        <w:t xml:space="preserve">. The provisions of the Plan and all Awards made thereunder, including the RSUs, shall be governed by and interpreted in accordance with the laws of the State of Delaware, disregarding choice-of-law principles of the law of any state that would require the application of the laws of a jurisdiction other than such state. </w:t>
      </w:r>
    </w:p>
    <w:p>
      <w:pPr>
        <w:pStyle w:val="TextBody"/>
        <w:bidi w:val="0"/>
        <w:spacing w:before="240" w:after="0"/>
        <w:jc w:val="left"/>
        <w:rPr>
          <w:rFonts w:ascii="Times New Roman" w:hAnsi="Times New Roman"/>
          <w:sz w:val="20"/>
        </w:rPr>
      </w:pPr>
      <w:r>
        <w:rPr>
          <w:rFonts w:ascii="Times New Roman" w:hAnsi="Times New Roman"/>
          <w:sz w:val="20"/>
        </w:rPr>
        <w:t>4.13 </w:t>
      </w:r>
      <w:r>
        <w:rPr>
          <w:rFonts w:ascii="Times New Roman" w:hAnsi="Times New Roman"/>
          <w:sz w:val="20"/>
          <w:u w:val="single"/>
        </w:rPr>
        <w:t>Section 409A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 other provision of the Plan, this Agreement or the Grant Notice, the Plan, this Agreement and the Grant Notice shall be interpreted in accordance with, and incorporate the terms and conditions required by, Section 409A of the Code (together with any Department of Treasury Regulations and other interpretive guidance issued thereunder, including without limitation any such regulations or other guidance that may be issued after the Grant Date, “Section 409A”). The Administrator may, in its discretion, adopt such amendments to the Plan, this Agreement or the Grant Notice or adopt other policies and procedures (including amendments, policies and procedures with retroactive effect), or take any other actions, as the Administrator determines are necessary or appropriate to comply with the requirements of Section 409A.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is not intended to provide for any deferral of compensation subject to Section 409A of the Code, and, accordingly, the Shares issuable pursuant to the RSUs hereunder shall be distributed to Participant no later than the later of: (A) the fifteenth (15th) day of the third month following Participant’s first taxable year in which such RSUs are no longer subject to a substantial risk of forfeiture, and (B) the fifteenth (15th) day of the third month following first taxable year of the Company in which such RSUs are no longer subject to substantial risk of forfeiture, as determined in accordance with Section 409A and any Treasury Regulations and other guidance issued thereunder. </w:t>
      </w:r>
    </w:p>
    <w:p>
      <w:pPr>
        <w:pStyle w:val="TextBody"/>
        <w:bidi w:val="0"/>
        <w:spacing w:before="360" w:after="0"/>
        <w:jc w:val="center"/>
        <w:rPr>
          <w:rFonts w:ascii="Times New Roman" w:hAnsi="Times New Roman"/>
          <w:b/>
          <w:sz w:val="20"/>
        </w:rPr>
      </w:pPr>
      <w:r>
        <w:rPr>
          <w:rFonts w:ascii="Times New Roman" w:hAnsi="Times New Roman"/>
          <w:b/>
          <w:sz w:val="20"/>
        </w:rPr>
        <w:t xml:space="preserve">* *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p>
    <w:p>
      <w:pPr>
        <w:pStyle w:val="TextBody"/>
        <w:bidi w:val="0"/>
        <w:spacing w:before="0" w:after="0"/>
        <w:jc w:val="right"/>
        <w:rPr>
          <w:rFonts w:ascii="Times New Roman" w:hAnsi="Times New Roman"/>
          <w:b/>
          <w:sz w:val="20"/>
        </w:rPr>
      </w:pPr>
      <w:bookmarkStart w:id="7" w:name="d154998dex231.htm"/>
      <w:bookmarkStart w:id="8" w:name="ksd154998dex231"/>
      <w:bookmarkEnd w:id="7"/>
      <w:bookmarkEnd w:id="8"/>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March 12, 2026, with respect to the consolidated financial statements of Erasca, Inc. and subsidiaries, incorporated herein by reference. </w:t>
      </w:r>
    </w:p>
    <w:p>
      <w:pPr>
        <w:pStyle w:val="TextBody"/>
        <w:bidi w:val="0"/>
        <w:spacing w:before="240" w:after="0"/>
        <w:jc w:val="center"/>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0" w:after="0"/>
        <w:jc w:val="left"/>
        <w:rPr>
          <w:rFonts w:ascii="Times New Roman" w:hAnsi="Times New Roman"/>
          <w:sz w:val="20"/>
        </w:rPr>
      </w:pPr>
      <w:r>
        <w:rPr>
          <w:rFonts w:ascii="Times New Roman" w:hAnsi="Times New Roman"/>
          <w:sz w:val="20"/>
        </w:rPr>
        <w:t xml:space="preserve">August 11, 2026 </w:t>
      </w:r>
    </w:p>
    <w:p>
      <w:pPr>
        <w:pStyle w:val="Normal"/>
        <w:bidi w:val="0"/>
        <w:spacing w:before="0" w:after="0"/>
        <w:jc w:val="left"/>
        <w:rPr>
          <w:sz w:val="4"/>
          <w:szCs w:val="4"/>
        </w:rPr>
      </w:pPr>
      <w:r>
        <w:rPr>
          <w:sz w:val="4"/>
          <w:szCs w:val="4"/>
        </w:rPr>
      </w:r>
      <w:bookmarkStart w:id="9" w:name="d154998dexfilingfees.htm"/>
      <w:bookmarkStart w:id="10" w:name="ksd154998dexfilingfees"/>
      <w:bookmarkStart w:id="11" w:name="d154998dexfilingfees.htm"/>
      <w:bookmarkStart w:id="12" w:name="ksd154998dexfilingfees"/>
      <w:bookmarkEnd w:id="11"/>
      <w:bookmarkEnd w:id="12"/>
      <w:r>
        <w:br w:type="page"/>
      </w:r>
    </w:p>
    <w:tbl>
      <w:tblPr>
        <w:tblW w:w="3549" w:type="dxa"/>
        <w:jc w:val="left"/>
        <w:tblInd w:w="0" w:type="dxa"/>
        <w:tblLayout w:type="fixed"/>
        <w:tblCellMar>
          <w:top w:w="28" w:type="dxa"/>
          <w:left w:w="28" w:type="dxa"/>
          <w:bottom w:w="28" w:type="dxa"/>
          <w:right w:w="28" w:type="dxa"/>
        </w:tblCellMar>
      </w:tblPr>
      <w:tblGrid>
        <w:gridCol w:w="3395"/>
        <w:gridCol w:w="154"/>
      </w:tblGrid>
      <w:tr>
        <w:trPr/>
        <w:tc>
          <w:tcPr>
            <w:tcW w:w="354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95"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283"/>
              <w:jc w:val="left"/>
              <w:rPr>
                <w:b/>
              </w:rPr>
            </w:pPr>
            <w:r>
              <w:rPr>
                <w:b/>
              </w:rPr>
              <w:t xml:space="preserve">Erasca,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1"/>
        <w:gridCol w:w="1010"/>
        <w:gridCol w:w="1284"/>
        <w:gridCol w:w="1193"/>
        <w:gridCol w:w="1184"/>
        <w:gridCol w:w="1802"/>
        <w:gridCol w:w="1126"/>
        <w:gridCol w:w="1414"/>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1"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10"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4"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02"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4"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1" w:type="dxa"/>
            <w:tcBorders/>
            <w:shd w:fill="E7E7E2" w:val="clear"/>
            <w:vAlign w:val="center"/>
          </w:tcPr>
          <w:p>
            <w:pPr>
              <w:pStyle w:val="TableContents"/>
              <w:bidi w:val="0"/>
              <w:spacing w:before="0" w:after="283"/>
              <w:jc w:val="left"/>
              <w:rPr/>
            </w:pPr>
            <w:r>
              <w:rPr/>
              <w:t xml:space="preserve">Equity </w:t>
            </w:r>
          </w:p>
        </w:tc>
        <w:tc>
          <w:tcPr>
            <w:tcW w:w="1010" w:type="dxa"/>
            <w:tcBorders/>
            <w:shd w:fill="E7E7E2" w:val="clear"/>
            <w:vAlign w:val="center"/>
          </w:tcPr>
          <w:p>
            <w:pPr>
              <w:pStyle w:val="TableContents"/>
              <w:bidi w:val="0"/>
              <w:spacing w:before="0" w:after="283"/>
              <w:jc w:val="left"/>
              <w:rPr/>
            </w:pPr>
            <w:r>
              <w:rPr/>
              <w:t xml:space="preserve">Common stock, $0.0001 par value </w:t>
            </w:r>
          </w:p>
        </w:tc>
        <w:tc>
          <w:tcPr>
            <w:tcW w:w="1284" w:type="dxa"/>
            <w:tcBorders/>
            <w:shd w:fill="E7E7E2" w:val="clear"/>
            <w:vAlign w:val="center"/>
          </w:tcPr>
          <w:p>
            <w:pPr>
              <w:pStyle w:val="TableContents"/>
              <w:bidi w:val="0"/>
              <w:spacing w:before="0" w:after="283"/>
              <w:jc w:val="center"/>
              <w:rPr/>
            </w:pPr>
            <w:r>
              <w:rPr/>
              <w:t xml:space="preserve">Other </w:t>
            </w:r>
          </w:p>
        </w:tc>
        <w:tc>
          <w:tcPr>
            <w:tcW w:w="1193" w:type="dxa"/>
            <w:tcBorders/>
            <w:shd w:fill="E7E7E2" w:val="clear"/>
            <w:vAlign w:val="center"/>
          </w:tcPr>
          <w:p>
            <w:pPr>
              <w:pStyle w:val="TableContents"/>
              <w:bidi w:val="0"/>
              <w:spacing w:before="0" w:after="283"/>
              <w:jc w:val="right"/>
              <w:rPr/>
            </w:pPr>
            <w:r>
              <w:rPr/>
              <w:t xml:space="preserve">4,921,480 </w:t>
            </w:r>
          </w:p>
        </w:tc>
        <w:tc>
          <w:tcPr>
            <w:tcW w:w="1184" w:type="dxa"/>
            <w:tcBorders/>
            <w:shd w:fill="E7E7E2" w:val="clear"/>
            <w:vAlign w:val="center"/>
          </w:tcPr>
          <w:p>
            <w:pPr>
              <w:pStyle w:val="TableContents"/>
              <w:bidi w:val="0"/>
              <w:spacing w:before="0" w:after="283"/>
              <w:jc w:val="right"/>
              <w:rPr/>
            </w:pPr>
            <w:r>
              <w:rPr/>
              <w:t xml:space="preserve">$ 18.215 </w:t>
            </w:r>
          </w:p>
        </w:tc>
        <w:tc>
          <w:tcPr>
            <w:tcW w:w="1802" w:type="dxa"/>
            <w:tcBorders/>
            <w:shd w:fill="E7E7E2" w:val="clear"/>
            <w:vAlign w:val="center"/>
          </w:tcPr>
          <w:p>
            <w:pPr>
              <w:pStyle w:val="TableContents"/>
              <w:bidi w:val="0"/>
              <w:spacing w:before="0" w:after="283"/>
              <w:jc w:val="right"/>
              <w:rPr/>
            </w:pPr>
            <w:r>
              <w:rPr/>
              <w:t xml:space="preserve">$ 89,644,758.20 </w:t>
            </w:r>
          </w:p>
        </w:tc>
        <w:tc>
          <w:tcPr>
            <w:tcW w:w="1126" w:type="dxa"/>
            <w:tcBorders/>
            <w:shd w:fill="E7E7E2" w:val="clear"/>
            <w:vAlign w:val="center"/>
          </w:tcPr>
          <w:p>
            <w:pPr>
              <w:pStyle w:val="TableContents"/>
              <w:bidi w:val="0"/>
              <w:spacing w:before="0" w:after="283"/>
              <w:jc w:val="right"/>
              <w:rPr/>
            </w:pPr>
            <w:r>
              <w:rPr/>
              <w:t xml:space="preserve">0.0001381 </w:t>
            </w:r>
          </w:p>
        </w:tc>
        <w:tc>
          <w:tcPr>
            <w:tcW w:w="1414" w:type="dxa"/>
            <w:tcBorders/>
            <w:shd w:fill="E7E7E2" w:val="clear"/>
            <w:vAlign w:val="center"/>
          </w:tcPr>
          <w:p>
            <w:pPr>
              <w:pStyle w:val="TableContents"/>
              <w:bidi w:val="0"/>
              <w:spacing w:before="0" w:after="283"/>
              <w:jc w:val="right"/>
              <w:rPr/>
            </w:pPr>
            <w:r>
              <w:rPr/>
              <w:t xml:space="preserve">$ 12,379.95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51" w:type="dxa"/>
            <w:tcBorders/>
            <w:shd w:fill="E7E7E2" w:val="clear"/>
            <w:vAlign w:val="center"/>
          </w:tcPr>
          <w:p>
            <w:pPr>
              <w:pStyle w:val="TableContents"/>
              <w:bidi w:val="0"/>
              <w:spacing w:before="0" w:after="283"/>
              <w:jc w:val="left"/>
              <w:rPr/>
            </w:pPr>
            <w:r>
              <w:rPr/>
              <w:t xml:space="preserve">Equity </w:t>
            </w:r>
          </w:p>
        </w:tc>
        <w:tc>
          <w:tcPr>
            <w:tcW w:w="1010" w:type="dxa"/>
            <w:tcBorders/>
            <w:shd w:fill="E7E7E2" w:val="clear"/>
            <w:vAlign w:val="center"/>
          </w:tcPr>
          <w:p>
            <w:pPr>
              <w:pStyle w:val="TableContents"/>
              <w:bidi w:val="0"/>
              <w:spacing w:before="0" w:after="283"/>
              <w:jc w:val="left"/>
              <w:rPr/>
            </w:pPr>
            <w:r>
              <w:rPr/>
              <w:t xml:space="preserve">Common stock, $0.0001 par value </w:t>
            </w:r>
          </w:p>
        </w:tc>
        <w:tc>
          <w:tcPr>
            <w:tcW w:w="1284" w:type="dxa"/>
            <w:tcBorders/>
            <w:shd w:fill="E7E7E2" w:val="clear"/>
            <w:vAlign w:val="center"/>
          </w:tcPr>
          <w:p>
            <w:pPr>
              <w:pStyle w:val="TableContents"/>
              <w:bidi w:val="0"/>
              <w:spacing w:before="0" w:after="283"/>
              <w:jc w:val="center"/>
              <w:rPr/>
            </w:pPr>
            <w:r>
              <w:rPr/>
              <w:t xml:space="preserve">Other </w:t>
            </w:r>
          </w:p>
        </w:tc>
        <w:tc>
          <w:tcPr>
            <w:tcW w:w="1193" w:type="dxa"/>
            <w:tcBorders/>
            <w:shd w:fill="E7E7E2" w:val="clear"/>
            <w:vAlign w:val="center"/>
          </w:tcPr>
          <w:p>
            <w:pPr>
              <w:pStyle w:val="TableContents"/>
              <w:bidi w:val="0"/>
              <w:spacing w:before="0" w:after="283"/>
              <w:jc w:val="right"/>
              <w:rPr/>
            </w:pPr>
            <w:r>
              <w:rPr/>
              <w:t xml:space="preserve">1,278,520 </w:t>
            </w:r>
          </w:p>
        </w:tc>
        <w:tc>
          <w:tcPr>
            <w:tcW w:w="1184" w:type="dxa"/>
            <w:tcBorders/>
            <w:shd w:fill="E7E7E2" w:val="clear"/>
            <w:vAlign w:val="center"/>
          </w:tcPr>
          <w:p>
            <w:pPr>
              <w:pStyle w:val="TableContents"/>
              <w:bidi w:val="0"/>
              <w:spacing w:before="0" w:after="283"/>
              <w:jc w:val="right"/>
              <w:rPr/>
            </w:pPr>
            <w:r>
              <w:rPr/>
              <w:t xml:space="preserve">$ 18.12 </w:t>
            </w:r>
          </w:p>
        </w:tc>
        <w:tc>
          <w:tcPr>
            <w:tcW w:w="1802" w:type="dxa"/>
            <w:tcBorders/>
            <w:shd w:fill="E7E7E2" w:val="clear"/>
            <w:vAlign w:val="center"/>
          </w:tcPr>
          <w:p>
            <w:pPr>
              <w:pStyle w:val="TableContents"/>
              <w:bidi w:val="0"/>
              <w:spacing w:before="0" w:after="283"/>
              <w:jc w:val="right"/>
              <w:rPr/>
            </w:pPr>
            <w:r>
              <w:rPr/>
              <w:t xml:space="preserve">$ 23,166,782.40 </w:t>
            </w:r>
          </w:p>
        </w:tc>
        <w:tc>
          <w:tcPr>
            <w:tcW w:w="1126" w:type="dxa"/>
            <w:tcBorders/>
            <w:shd w:fill="E7E7E2" w:val="clear"/>
            <w:vAlign w:val="center"/>
          </w:tcPr>
          <w:p>
            <w:pPr>
              <w:pStyle w:val="TableContents"/>
              <w:bidi w:val="0"/>
              <w:spacing w:before="0" w:after="283"/>
              <w:jc w:val="right"/>
              <w:rPr/>
            </w:pPr>
            <w:r>
              <w:rPr/>
              <w:t xml:space="preserve">0.0001381 </w:t>
            </w:r>
          </w:p>
        </w:tc>
        <w:tc>
          <w:tcPr>
            <w:tcW w:w="1414" w:type="dxa"/>
            <w:tcBorders/>
            <w:shd w:fill="E7E7E2" w:val="clear"/>
            <w:vAlign w:val="center"/>
          </w:tcPr>
          <w:p>
            <w:pPr>
              <w:pStyle w:val="TableContents"/>
              <w:bidi w:val="0"/>
              <w:spacing w:before="0" w:after="283"/>
              <w:jc w:val="right"/>
              <w:rPr/>
            </w:pPr>
            <w:r>
              <w:rPr/>
              <w:t xml:space="preserve">$ 3,199.34 </w:t>
            </w:r>
          </w:p>
        </w:tc>
      </w:tr>
      <w:tr>
        <w:trPr/>
        <w:tc>
          <w:tcPr>
            <w:tcW w:w="4679" w:type="dxa"/>
            <w:gridSpan w:val="5"/>
            <w:tcBorders/>
            <w:vAlign w:val="center"/>
          </w:tcPr>
          <w:p>
            <w:pPr>
              <w:pStyle w:val="TableContents"/>
              <w:bidi w:val="0"/>
              <w:spacing w:before="0" w:after="0"/>
              <w:ind w:left="0" w:right="0" w:hanging="0"/>
              <w:jc w:val="right"/>
              <w:rPr/>
            </w:pPr>
            <w:r>
              <w:rPr/>
              <w:t>Total Offering Amounts:</w:t>
            </w:r>
          </w:p>
        </w:tc>
        <w:tc>
          <w:tcPr>
            <w:tcW w:w="1184"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0"/>
              <w:ind w:left="0" w:right="0" w:hanging="0"/>
              <w:jc w:val="right"/>
              <w:rPr/>
            </w:pPr>
            <w:bookmarkStart w:id="13" w:name="MaxAggtOfferingPrice"/>
            <w:bookmarkEnd w:id="13"/>
            <w:r>
              <w:rPr/>
              <w:t xml:space="preserve">$ 112,811,540.60 </w:t>
            </w:r>
          </w:p>
        </w:tc>
        <w:tc>
          <w:tcPr>
            <w:tcW w:w="1126" w:type="dxa"/>
            <w:tcBorders/>
            <w:vAlign w:val="center"/>
          </w:tcPr>
          <w:p>
            <w:pPr>
              <w:pStyle w:val="TableContents"/>
              <w:bidi w:val="0"/>
              <w:spacing w:before="0" w:after="283"/>
              <w:jc w:val="left"/>
              <w:rPr>
                <w:sz w:val="4"/>
                <w:szCs w:val="4"/>
              </w:rPr>
            </w:pPr>
            <w:r>
              <w:rPr>
                <w:sz w:val="4"/>
                <w:szCs w:val="4"/>
              </w:rPr>
            </w:r>
          </w:p>
        </w:tc>
        <w:tc>
          <w:tcPr>
            <w:tcW w:w="1414"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$ 15,579.29 </w:t>
            </w:r>
          </w:p>
        </w:tc>
      </w:tr>
      <w:tr>
        <w:trPr/>
        <w:tc>
          <w:tcPr>
            <w:tcW w:w="4679" w:type="dxa"/>
            <w:gridSpan w:val="5"/>
            <w:tcBorders/>
            <w:vAlign w:val="center"/>
          </w:tcPr>
          <w:p>
            <w:pPr>
              <w:pStyle w:val="TableContents"/>
              <w:bidi w:val="0"/>
              <w:spacing w:before="0" w:after="0"/>
              <w:ind w:left="0" w:right="0" w:hanging="0"/>
              <w:jc w:val="right"/>
              <w:rPr/>
            </w:pPr>
            <w:r>
              <w:rPr/>
              <w:t xml:space="preserve">Total Fee Offsets: </w:t>
            </w:r>
          </w:p>
        </w:tc>
        <w:tc>
          <w:tcPr>
            <w:tcW w:w="1184"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0"/>
              <w:ind w:left="0" w:right="0" w:hanging="0"/>
              <w:jc w:val="right"/>
              <w:rPr/>
            </w:pPr>
            <w:bookmarkStart w:id="15" w:name="TotalOffsetAmt"/>
            <w:bookmarkEnd w:id="15"/>
            <w:r>
              <w:rPr/>
              <w:t xml:space="preserve">$ 0.00 </w:t>
            </w:r>
          </w:p>
        </w:tc>
      </w:tr>
      <w:tr>
        <w:trPr/>
        <w:tc>
          <w:tcPr>
            <w:tcW w:w="4679" w:type="dxa"/>
            <w:gridSpan w:val="5"/>
            <w:tcBorders/>
            <w:vAlign w:val="center"/>
          </w:tcPr>
          <w:p>
            <w:pPr>
              <w:pStyle w:val="TableContents"/>
              <w:bidi w:val="0"/>
              <w:spacing w:before="0" w:after="0"/>
              <w:ind w:left="0" w:right="0" w:hanging="0"/>
              <w:jc w:val="right"/>
              <w:rPr/>
            </w:pPr>
            <w:r>
              <w:rPr/>
              <w:t xml:space="preserve">Net Fee Due: </w:t>
            </w:r>
          </w:p>
        </w:tc>
        <w:tc>
          <w:tcPr>
            <w:tcW w:w="1184"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0"/>
              <w:ind w:left="0" w:right="0" w:hanging="0"/>
              <w:jc w:val="right"/>
              <w:rPr/>
            </w:pPr>
            <w:bookmarkStart w:id="16" w:name="NetFeeAmt"/>
            <w:bookmarkEnd w:id="16"/>
            <w:r>
              <w:rPr/>
              <w:t xml:space="preserve">$ 15,579.29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 Pursuant to Rule 416 under the Securities Act of 1933, as amended (the "Securities Act"), this registration statement also registers an indeterminate number of additional shares that may be issued pursuant to the above-named plans as the result of any future stock dividend, stock split, recapitalization or any other similar transaction effected without the receipt of consideration which results in an increase in the number of our outstanding shares of common stock. (2) Represents 4,921,480 shares of common stock available for future issuance under the Erasca, Inc. 2026 Employment Inducement Incentive Award Plan. (3) This estimate is made pursuant to Rule 457(c) and 457(h) of the Securities Act solely for purposes of calculating the registration fee. The maximum offering price per share and the maximum aggregate offering price are based upon the average of the high and low prices of the Registrant's common stock as reported on the Nasdaq Global Select Market on August 10, 2026, which date is within five business days prior to filing this registration statement.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(1) Pursuant to Rule 416 under the Securities Act of 1933, as amended (the "Securities Act"), this registration statement also registers an indeterminate number of additional shares that may be issued pursuant to the above-named plans as the result of any future stock dividend, stock split, recapitalization or any other similar transaction effected without the receipt of consideration which results in an increase in the number of our outstanding shares of common stock. (4) Represents 1,278,520 shares of common stock issuable upon the exercise of outstanding stock options granted under the Erasca, Inc. 2026 Employment Inducement Incentive Award Plan. To the extent these outstanding stock options expire, lapse or are terminated, such shares of common stock subject to such awards will again be available for future issuance under the Erasca, Inc. 2026 Employment Inducement Incentive Award Plan. (5) This estimate is made pursuant to Rule 457(c) and 457(h) of the Securities Act solely for purposes of calculating the registration fee. The maximum offering price per share and the maximum aggregate offering price are based upon the weighted average exercise price of these stock options outstanding under the Erasca, Inc. 2026 Employment Inducement Incentive Award Plan.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1761918/000119312526104150/eras-20251231.htm" TargetMode="External"/><Relationship Id="rId3" Type="http://schemas.openxmlformats.org/officeDocument/2006/relationships/hyperlink" Target="http://www.sec.gov/Archives/edgar/data/../../../ix?doc=/Archives/edgar/data/1761918/000119312526216788/eras-20260331.htm" TargetMode="External"/><Relationship Id="rId4" Type="http://schemas.openxmlformats.org/officeDocument/2006/relationships/hyperlink" Target="http://www.sec.gov/Archives/edgar/data/../../../ix?doc=/Archives/edgar/data/1761918/000119312526344611/eras-20260630.htm" TargetMode="External"/><Relationship Id="rId5" Type="http://schemas.openxmlformats.org/officeDocument/2006/relationships/hyperlink" Target="http://www.sec.gov/Archives/edgar/data/../../../ix?doc=/Archives/edgar/data/1761918/000119312526187361/d946333ddef14a.htm" TargetMode="External"/><Relationship Id="rId6" Type="http://schemas.openxmlformats.org/officeDocument/2006/relationships/hyperlink" Target="http://www.sec.gov/Archives/edgar/data/../../../ix?doc=/Archives/edgar/data/1761918/000119312526009820/eras-20260112.htm" TargetMode="External"/><Relationship Id="rId7" Type="http://schemas.openxmlformats.org/officeDocument/2006/relationships/hyperlink" Target="http://www.sec.gov/Archives/edgar/data/../../../ix?doc=/Archives/edgar/data/1761918/000119312526019651/d51429d8k.htm" TargetMode="External"/><Relationship Id="rId8" Type="http://schemas.openxmlformats.org/officeDocument/2006/relationships/hyperlink" Target="http://www.sec.gov/Archives/edgar/data/../../../ix?doc=/Archives/edgar/data/1761918/000119312526029467/eras-20260129.htm" TargetMode="External"/><Relationship Id="rId9" Type="http://schemas.openxmlformats.org/officeDocument/2006/relationships/hyperlink" Target="http://www.sec.gov/Archives/edgar/data/../../../ix?doc=/Archives/edgar/data/1761918/000119312526165297/eras-20260421.htm" TargetMode="External"/><Relationship Id="rId10" Type="http://schemas.openxmlformats.org/officeDocument/2006/relationships/hyperlink" Target="http://www.sec.gov/Archives/edgar/data/../../../ix?doc=/Archives/edgar/data/1761918/000119312526179214/eras-20260427.htm" TargetMode="External"/><Relationship Id="rId11" Type="http://schemas.openxmlformats.org/officeDocument/2006/relationships/hyperlink" Target="http://www.sec.gov/Archives/edgar/data/../../../ix?doc=/Archives/edgar/data/1761918/000119312526290881/eras-20260626.htm" TargetMode="External"/><Relationship Id="rId12" Type="http://schemas.openxmlformats.org/officeDocument/2006/relationships/hyperlink" Target="http://www.sec.gov/Archives/edgar/data/../../../ix?doc=/Archives/edgar/data/1761918/000119312526302045/d54726d8k.htm" TargetMode="External"/><Relationship Id="rId13" Type="http://schemas.openxmlformats.org/officeDocument/2006/relationships/hyperlink" Target="http://www.sec.gov/Archives/edgar/data/../../../ix?doc=/Archives/edgar/data/1761918/000119312526303357/d371010d8k.htm" TargetMode="External"/><Relationship Id="rId14" Type="http://schemas.openxmlformats.org/officeDocument/2006/relationships/hyperlink" Target="http://www.sec.gov/Archives/edgar/data/../../../ix?doc=/Archives/edgar/data/1761918/000119312526342669/eras-20260810.htm" TargetMode="External"/><Relationship Id="rId15" Type="http://schemas.openxmlformats.org/officeDocument/2006/relationships/hyperlink" Target="http://www.sec.gov/Archives/edgar/data/1761918/000095017022004557/eras-ex4_3.htm" TargetMode="External"/><Relationship Id="rId16" Type="http://schemas.openxmlformats.org/officeDocument/2006/relationships/hyperlink" Target="http://www.sec.gov/Archives/edgar/data/1761918/000119312521219642/d81810dex31.htm" TargetMode="External"/><Relationship Id="rId17" Type="http://schemas.openxmlformats.org/officeDocument/2006/relationships/hyperlink" Target="http://www.sec.gov/Archives/edgar/data/1761918/000119312521219642/d81810dex32.htm" TargetMode="External"/><Relationship Id="rId18" Type="http://schemas.openxmlformats.org/officeDocument/2006/relationships/hyperlink" Target="http://www.sec.gov/Archives/edgar/data/1761918/000119312521200537/d176019dex41.htm" TargetMode="External"/><Relationship Id="rId19" Type="http://schemas.openxmlformats.org/officeDocument/2006/relationships/image" Target="media/image1.jpeg"/><Relationship Id="rId20" Type="http://schemas.openxmlformats.org/officeDocument/2006/relationships/image" Target="media/image2.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20209</Words>
  <Characters>107513</Characters>
  <CharactersWithSpaces>127892</CharactersWithSpaces>
  <Paragraphs>850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