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16467d424b5.htm"/>
      <w:bookmarkStart w:id="1" w:name="ksd116467d424b5"/>
      <w:bookmarkEnd w:id="0"/>
      <w:bookmarkEnd w:id="1"/>
      <w:r>
        <w:rPr>
          <w:rFonts w:ascii="Times New Roman" w:hAnsi="Times New Roman"/>
          <w:b/>
          <w:sz w:val="20"/>
        </w:rPr>
        <w:t xml:space="preserve">Filed Pursuant to Rule 424(b)(5) </w:t>
        <w:br/>
        <w:t xml:space="preserve">Registration No. 333-297427 </w:t>
      </w:r>
    </w:p>
    <w:p>
      <w:pPr>
        <w:pStyle w:val="TextBody"/>
        <w:bidi w:val="0"/>
        <w:spacing w:before="0" w:after="0"/>
        <w:jc w:val="left"/>
        <w:rPr/>
      </w:pPr>
      <w:r>
        <w:rPr/>
        <w:t> </w:t>
      </w:r>
    </w:p>
    <w:p>
      <w:pPr>
        <w:pStyle w:val="TextBody"/>
        <w:bidi w:val="0"/>
        <w:spacing w:before="0" w:after="0"/>
        <w:jc w:val="left"/>
        <w:rPr>
          <w:rFonts w:ascii="Arial" w:hAnsi="Arial"/>
          <w:b/>
          <w:sz w:val="22"/>
        </w:rPr>
      </w:pPr>
      <w:r>
        <w:rPr>
          <w:rFonts w:ascii="Arial" w:hAnsi="Arial"/>
          <w:b/>
          <w:sz w:val="22"/>
        </w:rPr>
        <w:t xml:space="preserve">Prospectus supplement </w:t>
      </w:r>
    </w:p>
    <w:p>
      <w:pPr>
        <w:pStyle w:val="TextBody"/>
        <w:bidi w:val="0"/>
        <w:spacing w:before="0" w:after="0"/>
        <w:jc w:val="left"/>
        <w:rPr>
          <w:rFonts w:ascii="Arial" w:hAnsi="Arial"/>
          <w:b/>
          <w:sz w:val="22"/>
        </w:rPr>
      </w:pPr>
      <w:r>
        <w:rPr>
          <w:rFonts w:ascii="Arial" w:hAnsi="Arial"/>
          <w:b/>
          <w:sz w:val="22"/>
        </w:rPr>
        <w:t xml:space="preserve">(To prospectus dated July 13, 2026) </w:t>
      </w:r>
    </w:p>
    <w:p>
      <w:pPr>
        <w:pStyle w:val="TextBody"/>
        <w:bidi w:val="0"/>
        <w:spacing w:before="440" w:after="0"/>
        <w:jc w:val="left"/>
        <w:rPr>
          <w:rFonts w:ascii="Arial" w:hAnsi="Arial"/>
          <w:b/>
          <w:i/>
          <w:sz w:val="36"/>
        </w:rPr>
      </w:pPr>
      <w:r>
        <w:rPr>
          <w:rFonts w:ascii="Arial" w:hAnsi="Arial"/>
          <w:b/>
          <w:i/>
          <w:sz w:val="36"/>
        </w:rPr>
        <w:t xml:space="preserve">31,428,572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109470" cy="353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9470" cy="353060"/>
                    </a:xfrm>
                    <a:prstGeom prst="rect">
                      <a:avLst/>
                    </a:prstGeom>
                  </pic:spPr>
                </pic:pic>
              </a:graphicData>
            </a:graphic>
          </wp:inline>
        </w:drawing>
      </w:r>
      <w:r>
        <w:rPr/>
        <w:t xml:space="preserve"> </w:t>
      </w:r>
    </w:p>
    <w:p>
      <w:pPr>
        <w:pStyle w:val="TextBody"/>
        <w:bidi w:val="0"/>
        <w:spacing w:before="360" w:after="0"/>
        <w:jc w:val="left"/>
        <w:rPr>
          <w:rFonts w:ascii="Arial" w:hAnsi="Arial"/>
          <w:b/>
          <w:i/>
          <w:sz w:val="36"/>
        </w:rPr>
      </w:pPr>
      <w:r>
        <w:rPr>
          <w:rFonts w:ascii="Arial" w:hAnsi="Arial"/>
          <w:b/>
          <w:i/>
          <w:sz w:val="36"/>
        </w:rPr>
        <w:t xml:space="preserve">Common stock </w:t>
      </w:r>
    </w:p>
    <w:p>
      <w:pPr>
        <w:pStyle w:val="TextBody"/>
        <w:bidi w:val="0"/>
        <w:spacing w:before="240" w:after="0"/>
        <w:jc w:val="left"/>
        <w:rPr>
          <w:rFonts w:ascii="Arial" w:hAnsi="Arial"/>
          <w:sz w:val="20"/>
        </w:rPr>
      </w:pPr>
      <w:r>
        <w:rPr>
          <w:rFonts w:ascii="Arial" w:hAnsi="Arial"/>
          <w:sz w:val="20"/>
        </w:rPr>
        <w:t xml:space="preserve">We are offering 31,428,572 shares of our common stock, $0.0001 par value per share. </w:t>
      </w:r>
    </w:p>
    <w:p>
      <w:pPr>
        <w:pStyle w:val="TextBody"/>
        <w:bidi w:val="0"/>
        <w:spacing w:before="240" w:after="0"/>
        <w:jc w:val="left"/>
        <w:rPr>
          <w:rFonts w:ascii="Arial" w:hAnsi="Arial"/>
          <w:sz w:val="20"/>
        </w:rPr>
      </w:pPr>
      <w:r>
        <w:rPr>
          <w:rFonts w:ascii="Arial" w:hAnsi="Arial"/>
          <w:sz w:val="20"/>
        </w:rPr>
        <w:t xml:space="preserve">Our common stock is listed on the Nasdaq Global Select Market under the symbol “ERAS.” On July 13, 2026, the last reported sale price for our common stock on the Nasdaq Global Select Market was $17.90 per share of common stock. </w:t>
      </w:r>
    </w:p>
    <w:p>
      <w:pPr>
        <w:pStyle w:val="TextBody"/>
        <w:bidi w:val="0"/>
        <w:spacing w:before="240" w:after="0"/>
        <w:jc w:val="left"/>
        <w:rPr>
          <w:rFonts w:ascii="Arial" w:hAnsi="Arial"/>
          <w:sz w:val="20"/>
        </w:rPr>
      </w:pPr>
      <w:r>
        <w:rPr>
          <w:rFonts w:ascii="Arial" w:hAnsi="Arial"/>
          <w:sz w:val="20"/>
        </w:rPr>
        <w:t xml:space="preserve">We are an “emerging growth company” as that term is used in the Jumpstart Our Business Startups Act of 2012 and, as such, have elected to comply with certain reduced public company disclosure and reporting requirements.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3"/>
        <w:gridCol w:w="307"/>
        <w:gridCol w:w="200"/>
        <w:gridCol w:w="878"/>
        <w:gridCol w:w="60"/>
        <w:gridCol w:w="307"/>
        <w:gridCol w:w="163"/>
        <w:gridCol w:w="1713"/>
        <w:gridCol w:w="64"/>
      </w:tblGrid>
      <w:tr>
        <w:trPr/>
        <w:tc>
          <w:tcPr>
            <w:tcW w:w="6513"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513" w:type="dxa"/>
            <w:tcBorders>
              <w:top w:val="single" w:sz="16" w:space="0" w:color="000000"/>
            </w:tcBorders>
            <w:tcMar>
              <w:top w:w="28" w:type="dxa"/>
            </w:tcMar>
            <w:vAlign w:val="center"/>
          </w:tcPr>
          <w:p>
            <w:pPr>
              <w:pStyle w:val="TableContents"/>
              <w:bidi w:val="0"/>
              <w:spacing w:before="0" w:after="283"/>
              <w:jc w:val="left"/>
              <w:rPr/>
            </w:pPr>
            <w:r>
              <w:rPr/>
              <w:t> </w:t>
            </w:r>
          </w:p>
        </w:tc>
        <w:tc>
          <w:tcPr>
            <w:tcW w:w="144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247"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513" w:type="dxa"/>
            <w:tcBorders>
              <w:bottom w:val="single" w:sz="2" w:space="0" w:color="000000"/>
            </w:tcBorders>
            <w:tcMar>
              <w:bottom w:w="28" w:type="dxa"/>
            </w:tcMar>
            <w:vAlign w:val="bottom"/>
          </w:tcPr>
          <w:p>
            <w:pPr>
              <w:pStyle w:val="TableContents"/>
              <w:bidi w:val="0"/>
              <w:spacing w:before="0" w:after="283"/>
              <w:jc w:val="left"/>
              <w:rPr/>
            </w:pPr>
            <w:r>
              <w:rPr/>
              <w:t>  </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078" w:type="dxa"/>
            <w:gridSpan w:val="2"/>
            <w:tcBorders>
              <w:bottom w:val="single" w:sz="2" w:space="0" w:color="000000"/>
            </w:tcBorders>
            <w:tcMar>
              <w:bottom w:w="28" w:type="dxa"/>
            </w:tcMar>
            <w:vAlign w:val="bottom"/>
          </w:tcPr>
          <w:p>
            <w:pPr>
              <w:pStyle w:val="TableContents"/>
              <w:bidi w:val="0"/>
              <w:spacing w:before="0" w:after="283"/>
              <w:jc w:val="left"/>
              <w:rPr>
                <w:b/>
              </w:rPr>
            </w:pPr>
            <w:r>
              <w:rPr>
                <w:b/>
              </w:rPr>
              <w:t>Per 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876" w:type="dxa"/>
            <w:gridSpan w:val="2"/>
            <w:tcBorders>
              <w:bottom w:val="single" w:sz="2" w:space="0" w:color="000000"/>
            </w:tcBorders>
            <w:tcMar>
              <w:bottom w:w="28" w:type="dxa"/>
            </w:tcMar>
            <w:vAlign w:val="bottom"/>
          </w:tcPr>
          <w:p>
            <w:pPr>
              <w:pStyle w:val="TableContents"/>
              <w:bidi w:val="0"/>
              <w:spacing w:before="0" w:after="283"/>
              <w:jc w:val="left"/>
              <w:rPr>
                <w:b/>
              </w:rPr>
            </w:pPr>
            <w:r>
              <w:rPr>
                <w:b/>
              </w:rPr>
              <w:t>Total</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50" w:hRule="atLeast"/>
        </w:trPr>
        <w:tc>
          <w:tcPr>
            <w:tcW w:w="6513"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2247" w:type="dxa"/>
            <w:gridSpan w:val="4"/>
            <w:tcBorders/>
            <w:vAlign w:val="center"/>
          </w:tcPr>
          <w:p>
            <w:pPr>
              <w:pStyle w:val="TableContents"/>
              <w:bidi w:val="0"/>
              <w:spacing w:before="0" w:after="283"/>
              <w:jc w:val="left"/>
              <w:rPr>
                <w:sz w:val="4"/>
                <w:szCs w:val="4"/>
              </w:rPr>
            </w:pPr>
            <w:r>
              <w:rPr>
                <w:sz w:val="4"/>
                <w:szCs w:val="4"/>
              </w:rPr>
            </w:r>
          </w:p>
        </w:tc>
      </w:tr>
      <w:tr>
        <w:trPr/>
        <w:tc>
          <w:tcPr>
            <w:tcW w:w="6513" w:type="dxa"/>
            <w:tcBorders/>
            <w:shd w:fill="CCEEFF" w:val="clear"/>
          </w:tcPr>
          <w:p>
            <w:pPr>
              <w:pStyle w:val="TableContents"/>
              <w:bidi w:val="0"/>
              <w:spacing w:before="0" w:after="0"/>
              <w:jc w:val="left"/>
              <w:rPr>
                <w:rFonts w:ascii="Arial" w:hAnsi="Arial"/>
                <w:sz w:val="20"/>
              </w:rPr>
            </w:pPr>
            <w:r>
              <w:rPr>
                <w:rFonts w:ascii="Arial" w:hAnsi="Arial"/>
                <w:sz w:val="20"/>
              </w:rPr>
              <w:t>Public offering price</w:t>
            </w:r>
          </w:p>
        </w:tc>
        <w:tc>
          <w:tcPr>
            <w:tcW w:w="307" w:type="dxa"/>
            <w:tcBorders/>
            <w:shd w:fill="CCEEFF" w:val="clear"/>
            <w:vAlign w:val="bottom"/>
          </w:tcPr>
          <w:p>
            <w:pPr>
              <w:pStyle w:val="TableContents"/>
              <w:bidi w:val="0"/>
              <w:spacing w:before="0" w:after="283"/>
              <w:jc w:val="left"/>
              <w:rPr/>
            </w:pPr>
            <w:r>
              <w:rPr/>
              <w:t>  </w:t>
            </w:r>
          </w:p>
        </w:tc>
        <w:tc>
          <w:tcPr>
            <w:tcW w:w="200" w:type="dxa"/>
            <w:tcBorders/>
            <w:shd w:fill="CCEEFF" w:val="clear"/>
          </w:tcPr>
          <w:p>
            <w:pPr>
              <w:pStyle w:val="TableContents"/>
              <w:bidi w:val="0"/>
              <w:spacing w:before="0" w:after="283"/>
              <w:jc w:val="left"/>
              <w:rPr/>
            </w:pPr>
            <w:r>
              <w:rPr/>
              <w:t>$</w:t>
            </w:r>
          </w:p>
        </w:tc>
        <w:tc>
          <w:tcPr>
            <w:tcW w:w="878" w:type="dxa"/>
            <w:tcBorders/>
            <w:shd w:fill="CCEEFF" w:val="clear"/>
          </w:tcPr>
          <w:p>
            <w:pPr>
              <w:pStyle w:val="TableContents"/>
              <w:bidi w:val="0"/>
              <w:spacing w:before="0" w:after="283"/>
              <w:jc w:val="right"/>
              <w:rPr/>
            </w:pPr>
            <w:r>
              <w:rPr/>
              <w:t>17.50</w:t>
            </w:r>
          </w:p>
        </w:tc>
        <w:tc>
          <w:tcPr>
            <w:tcW w:w="60" w:type="dxa"/>
            <w:tcBorders/>
            <w:shd w:fill="CCEEFF" w:val="clear"/>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63" w:type="dxa"/>
            <w:tcBorders/>
            <w:shd w:fill="CCEEFF" w:val="clear"/>
          </w:tcPr>
          <w:p>
            <w:pPr>
              <w:pStyle w:val="TableContents"/>
              <w:bidi w:val="0"/>
              <w:spacing w:before="0" w:after="283"/>
              <w:jc w:val="left"/>
              <w:rPr/>
            </w:pPr>
            <w:r>
              <w:rPr/>
              <w:t>$</w:t>
            </w:r>
          </w:p>
        </w:tc>
        <w:tc>
          <w:tcPr>
            <w:tcW w:w="1713" w:type="dxa"/>
            <w:tcBorders/>
            <w:shd w:fill="CCEEFF" w:val="clear"/>
          </w:tcPr>
          <w:p>
            <w:pPr>
              <w:pStyle w:val="TableContents"/>
              <w:bidi w:val="0"/>
              <w:spacing w:before="0" w:after="283"/>
              <w:jc w:val="right"/>
              <w:rPr/>
            </w:pPr>
            <w:r>
              <w:rPr/>
              <w:t>550,000,010.00</w:t>
            </w:r>
          </w:p>
        </w:tc>
        <w:tc>
          <w:tcPr>
            <w:tcW w:w="64" w:type="dxa"/>
            <w:tcBorders/>
            <w:shd w:fill="CCEEFF" w:val="clear"/>
          </w:tcPr>
          <w:p>
            <w:pPr>
              <w:pStyle w:val="TableContents"/>
              <w:bidi w:val="0"/>
              <w:spacing w:before="0" w:after="283"/>
              <w:jc w:val="left"/>
              <w:rPr/>
            </w:pPr>
            <w:r>
              <w:rPr/>
              <w:t> </w:t>
            </w:r>
          </w:p>
        </w:tc>
      </w:tr>
      <w:tr>
        <w:trPr>
          <w:trHeight w:val="150" w:hRule="atLeast"/>
        </w:trPr>
        <w:tc>
          <w:tcPr>
            <w:tcW w:w="6513"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2247" w:type="dxa"/>
            <w:gridSpan w:val="4"/>
            <w:tcBorders/>
            <w:vAlign w:val="center"/>
          </w:tcPr>
          <w:p>
            <w:pPr>
              <w:pStyle w:val="TableContents"/>
              <w:bidi w:val="0"/>
              <w:spacing w:before="0" w:after="283"/>
              <w:jc w:val="left"/>
              <w:rPr>
                <w:sz w:val="4"/>
                <w:szCs w:val="4"/>
              </w:rPr>
            </w:pPr>
            <w:r>
              <w:rPr>
                <w:sz w:val="4"/>
                <w:szCs w:val="4"/>
              </w:rPr>
            </w:r>
          </w:p>
        </w:tc>
      </w:tr>
      <w:tr>
        <w:trPr/>
        <w:tc>
          <w:tcPr>
            <w:tcW w:w="6513" w:type="dxa"/>
            <w:tcBorders/>
          </w:tcPr>
          <w:p>
            <w:pPr>
              <w:pStyle w:val="TableContents"/>
              <w:bidi w:val="0"/>
              <w:spacing w:before="0" w:after="0"/>
              <w:jc w:val="left"/>
              <w:rPr>
                <w:rFonts w:ascii="Arial" w:hAnsi="Arial"/>
                <w:sz w:val="20"/>
              </w:rPr>
            </w:pPr>
            <w:r>
              <w:rPr>
                <w:rFonts w:ascii="Arial" w:hAnsi="Arial"/>
                <w:sz w:val="20"/>
              </w:rPr>
              <w:t>Underwriting discounts and commissions(1)</w:t>
            </w:r>
          </w:p>
        </w:tc>
        <w:tc>
          <w:tcPr>
            <w:tcW w:w="307"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left"/>
              <w:rPr/>
            </w:pPr>
            <w:r>
              <w:rPr/>
              <w:t>$</w:t>
            </w:r>
          </w:p>
        </w:tc>
        <w:tc>
          <w:tcPr>
            <w:tcW w:w="878" w:type="dxa"/>
            <w:tcBorders/>
          </w:tcPr>
          <w:p>
            <w:pPr>
              <w:pStyle w:val="TableContents"/>
              <w:bidi w:val="0"/>
              <w:spacing w:before="0" w:after="283"/>
              <w:jc w:val="right"/>
              <w:rPr/>
            </w:pPr>
            <w:r>
              <w:rPr/>
              <w:t>1.05</w:t>
            </w:r>
          </w:p>
        </w:tc>
        <w:tc>
          <w:tcPr>
            <w:tcW w:w="60" w:type="dxa"/>
            <w:tcBorders/>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pPr>
            <w:r>
              <w:rPr/>
              <w:t>$</w:t>
            </w:r>
          </w:p>
        </w:tc>
        <w:tc>
          <w:tcPr>
            <w:tcW w:w="1713" w:type="dxa"/>
            <w:tcBorders/>
          </w:tcPr>
          <w:p>
            <w:pPr>
              <w:pStyle w:val="TableContents"/>
              <w:bidi w:val="0"/>
              <w:spacing w:before="0" w:after="283"/>
              <w:jc w:val="right"/>
              <w:rPr/>
            </w:pPr>
            <w:r>
              <w:rPr/>
              <w:t>33,000,000.60</w:t>
            </w:r>
          </w:p>
        </w:tc>
        <w:tc>
          <w:tcPr>
            <w:tcW w:w="64" w:type="dxa"/>
            <w:tcBorders/>
          </w:tcPr>
          <w:p>
            <w:pPr>
              <w:pStyle w:val="TableContents"/>
              <w:bidi w:val="0"/>
              <w:spacing w:before="0" w:after="283"/>
              <w:jc w:val="left"/>
              <w:rPr/>
            </w:pPr>
            <w:r>
              <w:rPr/>
              <w:t> </w:t>
            </w:r>
          </w:p>
        </w:tc>
      </w:tr>
      <w:tr>
        <w:trPr>
          <w:trHeight w:val="150" w:hRule="atLeast"/>
        </w:trPr>
        <w:tc>
          <w:tcPr>
            <w:tcW w:w="6513"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2247" w:type="dxa"/>
            <w:gridSpan w:val="4"/>
            <w:tcBorders/>
            <w:vAlign w:val="center"/>
          </w:tcPr>
          <w:p>
            <w:pPr>
              <w:pStyle w:val="TableContents"/>
              <w:bidi w:val="0"/>
              <w:spacing w:before="0" w:after="283"/>
              <w:jc w:val="left"/>
              <w:rPr>
                <w:sz w:val="4"/>
                <w:szCs w:val="4"/>
              </w:rPr>
            </w:pPr>
            <w:r>
              <w:rPr>
                <w:sz w:val="4"/>
                <w:szCs w:val="4"/>
              </w:rPr>
            </w:r>
          </w:p>
        </w:tc>
      </w:tr>
      <w:tr>
        <w:trPr/>
        <w:tc>
          <w:tcPr>
            <w:tcW w:w="6513"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Proceeds to Erasca, Inc., before expenses</w:t>
            </w:r>
          </w:p>
        </w:tc>
        <w:tc>
          <w:tcPr>
            <w:tcW w:w="30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878" w:type="dxa"/>
            <w:tcBorders>
              <w:bottom w:val="single" w:sz="2" w:space="0" w:color="000000"/>
            </w:tcBorders>
            <w:shd w:fill="CCEEFF" w:val="clear"/>
            <w:tcMar>
              <w:bottom w:w="28" w:type="dxa"/>
            </w:tcMar>
          </w:tcPr>
          <w:p>
            <w:pPr>
              <w:pStyle w:val="TableContents"/>
              <w:bidi w:val="0"/>
              <w:spacing w:before="0" w:after="283"/>
              <w:jc w:val="right"/>
              <w:rPr/>
            </w:pPr>
            <w:r>
              <w:rPr/>
              <w:t>16.45</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0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1713" w:type="dxa"/>
            <w:tcBorders>
              <w:bottom w:val="single" w:sz="2" w:space="0" w:color="000000"/>
            </w:tcBorders>
            <w:shd w:fill="CCEEFF" w:val="clear"/>
            <w:tcMar>
              <w:bottom w:w="28" w:type="dxa"/>
            </w:tcMar>
          </w:tcPr>
          <w:p>
            <w:pPr>
              <w:pStyle w:val="TableContents"/>
              <w:bidi w:val="0"/>
              <w:spacing w:before="0" w:after="283"/>
              <w:jc w:val="right"/>
              <w:rPr/>
            </w:pPr>
            <w:r>
              <w:rPr/>
              <w:t>517,000,009.40</w:t>
            </w:r>
          </w:p>
        </w:tc>
        <w:tc>
          <w:tcPr>
            <w:tcW w:w="64" w:type="dxa"/>
            <w:tcBorders>
              <w:bottom w:val="single" w:sz="2" w:space="0" w:color="000000"/>
            </w:tcBorders>
            <w:shd w:fill="CCEEFF" w:val="clear"/>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See the section titled “Underwriting” for a description of the compensation payable to the underwriters. </w:t>
            </w:r>
          </w:p>
        </w:tc>
      </w:tr>
    </w:tbl>
    <w:p>
      <w:pPr>
        <w:pStyle w:val="TextBody"/>
        <w:bidi w:val="0"/>
        <w:spacing w:before="320" w:after="0"/>
        <w:jc w:val="left"/>
        <w:rPr>
          <w:rFonts w:ascii="Arial" w:hAnsi="Arial"/>
          <w:sz w:val="20"/>
        </w:rPr>
      </w:pPr>
      <w:r>
        <w:rPr>
          <w:rFonts w:ascii="Arial" w:hAnsi="Arial"/>
          <w:sz w:val="20"/>
        </w:rPr>
        <w:t xml:space="preserve">We have granted the underwriters an option to purchase up to an additional 4,714,285 shares of common stock from us at the public offering price, less underwriting discounts and commissions, within 30 days from the date of this prospectus supplement. </w:t>
      </w:r>
    </w:p>
    <w:p>
      <w:pPr>
        <w:pStyle w:val="TextBody"/>
        <w:bidi w:val="0"/>
        <w:spacing w:before="160" w:after="0"/>
        <w:jc w:val="left"/>
        <w:rPr/>
      </w:pPr>
      <w:r>
        <w:rPr>
          <w:rFonts w:ascii="Arial" w:hAnsi="Arial"/>
          <w:b/>
          <w:sz w:val="20"/>
        </w:rPr>
        <w:t>Investing in our common stock involves a high degree of risk. See “</w:t>
      </w:r>
      <w:hyperlink w:anchor="supptoc116467_3">
        <w:r>
          <w:rPr>
            <w:rStyle w:val="InternetLink"/>
            <w:rFonts w:ascii="Arial" w:hAnsi="Arial"/>
            <w:b/>
            <w:sz w:val="20"/>
          </w:rPr>
          <w:t>Risk factors</w:t>
        </w:r>
      </w:hyperlink>
      <w:r>
        <w:rPr>
          <w:rFonts w:ascii="Arial" w:hAnsi="Arial"/>
          <w:b/>
          <w:sz w:val="20"/>
        </w:rPr>
        <w:t xml:space="preserve">” beginning on page S-5 of this prospectus supplement, on page 5 of the accompanying prospectus and the documents incorporated by reference into this prospectus supplement and the accompanying prospectus. </w:t>
      </w:r>
    </w:p>
    <w:p>
      <w:pPr>
        <w:pStyle w:val="TextBody"/>
        <w:bidi w:val="0"/>
        <w:spacing w:before="16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left"/>
        <w:rPr>
          <w:rFonts w:ascii="Arial" w:hAnsi="Arial"/>
          <w:sz w:val="20"/>
        </w:rPr>
      </w:pPr>
      <w:r>
        <w:rPr>
          <w:rFonts w:ascii="Arial" w:hAnsi="Arial"/>
          <w:sz w:val="20"/>
        </w:rPr>
        <w:t xml:space="preserve">The underwriters expect to deliver the shares of common stock to purchasers on or about July 15,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2"/>
        <w:gridCol w:w="121"/>
        <w:gridCol w:w="2595"/>
        <w:gridCol w:w="121"/>
        <w:gridCol w:w="2378"/>
        <w:gridCol w:w="121"/>
        <w:gridCol w:w="2317"/>
      </w:tblGrid>
      <w:tr>
        <w:trPr/>
        <w:tc>
          <w:tcPr>
            <w:tcW w:w="255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r>
      <w:tr>
        <w:trPr/>
        <w:tc>
          <w:tcPr>
            <w:tcW w:w="2552" w:type="dxa"/>
            <w:tcBorders/>
          </w:tcPr>
          <w:p>
            <w:pPr>
              <w:pStyle w:val="TableContents"/>
              <w:bidi w:val="0"/>
              <w:spacing w:before="0" w:after="283"/>
              <w:jc w:val="left"/>
              <w:rPr>
                <w:b/>
              </w:rPr>
            </w:pPr>
            <w:r>
              <w:rPr>
                <w:b/>
              </w:rPr>
              <w:t>J.P. Morgan</w:t>
            </w:r>
          </w:p>
        </w:tc>
        <w:tc>
          <w:tcPr>
            <w:tcW w:w="121" w:type="dxa"/>
            <w:tcBorders/>
            <w:vAlign w:val="bottom"/>
          </w:tcPr>
          <w:p>
            <w:pPr>
              <w:pStyle w:val="TableContents"/>
              <w:bidi w:val="0"/>
              <w:spacing w:before="0" w:after="283"/>
              <w:jc w:val="left"/>
              <w:rPr/>
            </w:pPr>
            <w:r>
              <w:rPr/>
              <w:t>  </w:t>
            </w:r>
          </w:p>
        </w:tc>
        <w:tc>
          <w:tcPr>
            <w:tcW w:w="2595" w:type="dxa"/>
            <w:tcBorders/>
          </w:tcPr>
          <w:p>
            <w:pPr>
              <w:pStyle w:val="TableContents"/>
              <w:bidi w:val="0"/>
              <w:spacing w:before="0" w:after="283"/>
              <w:jc w:val="right"/>
              <w:rPr>
                <w:b/>
              </w:rPr>
            </w:pPr>
            <w:r>
              <w:rPr>
                <w:b/>
              </w:rPr>
              <w:t>Morgan Stanley</w:t>
            </w:r>
          </w:p>
        </w:tc>
        <w:tc>
          <w:tcPr>
            <w:tcW w:w="121" w:type="dxa"/>
            <w:tcBorders/>
            <w:vAlign w:val="bottom"/>
          </w:tcPr>
          <w:p>
            <w:pPr>
              <w:pStyle w:val="TableContents"/>
              <w:bidi w:val="0"/>
              <w:spacing w:before="0" w:after="283"/>
              <w:jc w:val="left"/>
              <w:rPr/>
            </w:pPr>
            <w:r>
              <w:rPr/>
              <w:t>  </w:t>
            </w:r>
          </w:p>
        </w:tc>
        <w:tc>
          <w:tcPr>
            <w:tcW w:w="2378" w:type="dxa"/>
            <w:tcBorders/>
          </w:tcPr>
          <w:p>
            <w:pPr>
              <w:pStyle w:val="TableContents"/>
              <w:bidi w:val="0"/>
              <w:spacing w:before="0" w:after="283"/>
              <w:jc w:val="right"/>
              <w:rPr>
                <w:b/>
              </w:rPr>
            </w:pPr>
            <w:r>
              <w:rPr>
                <w:b/>
              </w:rPr>
              <w:t>Jefferies</w:t>
            </w:r>
          </w:p>
        </w:tc>
        <w:tc>
          <w:tcPr>
            <w:tcW w:w="121" w:type="dxa"/>
            <w:tcBorders/>
            <w:vAlign w:val="bottom"/>
          </w:tcPr>
          <w:p>
            <w:pPr>
              <w:pStyle w:val="TableContents"/>
              <w:bidi w:val="0"/>
              <w:spacing w:before="0" w:after="283"/>
              <w:jc w:val="left"/>
              <w:rPr/>
            </w:pPr>
            <w:r>
              <w:rPr/>
              <w:t>  </w:t>
            </w:r>
          </w:p>
        </w:tc>
        <w:tc>
          <w:tcPr>
            <w:tcW w:w="2317" w:type="dxa"/>
            <w:tcBorders/>
          </w:tcPr>
          <w:p>
            <w:pPr>
              <w:pStyle w:val="TableContents"/>
              <w:bidi w:val="0"/>
              <w:spacing w:before="0" w:after="283"/>
              <w:jc w:val="right"/>
              <w:rPr>
                <w:b/>
              </w:rPr>
            </w:pPr>
            <w:r>
              <w:rPr>
                <w:b/>
              </w:rPr>
              <w:t>Evercore ISI</w:t>
            </w:r>
          </w:p>
        </w:tc>
      </w:tr>
    </w:tbl>
    <w:p>
      <w:pPr>
        <w:pStyle w:val="TextBody"/>
        <w:bidi w:val="0"/>
        <w:spacing w:before="440" w:after="0"/>
        <w:jc w:val="left"/>
        <w:rPr>
          <w:rFonts w:ascii="Arial" w:hAnsi="Arial"/>
          <w:b/>
          <w:sz w:val="20"/>
        </w:rPr>
      </w:pPr>
      <w:r>
        <w:rPr>
          <w:rFonts w:ascii="Arial" w:hAnsi="Arial"/>
          <w:b/>
          <w:sz w:val="20"/>
        </w:rPr>
        <w:t xml:space="preserve">July 13, 2026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2" w:name="toc"/>
      <w:bookmarkEnd w:id="2"/>
      <w:r>
        <w:rPr>
          <w:rFonts w:ascii="Arial" w:hAnsi="Arial"/>
          <w:b/>
          <w:sz w:val="32"/>
        </w:rPr>
        <w:t xml:space="preserve">Table of contents </w:t>
      </w:r>
    </w:p>
    <w:p>
      <w:pPr>
        <w:pStyle w:val="TextBody"/>
        <w:bidi w:val="0"/>
        <w:spacing w:before="160" w:after="0"/>
        <w:jc w:val="left"/>
        <w:rPr>
          <w:rFonts w:ascii="Arial" w:hAnsi="Arial"/>
          <w:b/>
          <w:sz w:val="32"/>
        </w:rPr>
      </w:pPr>
      <w:r>
        <w:rPr>
          <w:rFonts w:ascii="Arial" w:hAnsi="Arial"/>
          <w:b/>
          <w:sz w:val="32"/>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1"/>
        <w:gridCol w:w="141"/>
        <w:gridCol w:w="60"/>
        <w:gridCol w:w="461"/>
        <w:gridCol w:w="62"/>
      </w:tblGrid>
      <w:tr>
        <w:trPr/>
        <w:tc>
          <w:tcPr>
            <w:tcW w:w="948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right"/>
              <w:rPr>
                <w:b/>
              </w:rPr>
            </w:pPr>
            <w:r>
              <w:rPr>
                <w:b/>
              </w:rPr>
              <w:t>Page</w:t>
            </w:r>
          </w:p>
        </w:tc>
        <w:tc>
          <w:tcPr>
            <w:tcW w:w="62" w:type="dxa"/>
            <w:tcBorders/>
            <w:vAlign w:val="bottom"/>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1">
              <w:r>
                <w:rPr>
                  <w:rStyle w:val="InternetLink"/>
                  <w:rFonts w:ascii="Arial" w:hAnsi="Arial"/>
                  <w:sz w:val="20"/>
                </w:rPr>
                <w:t>About this prospectus supplement</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S-ii</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2">
              <w:r>
                <w:rPr>
                  <w:rStyle w:val="InternetLink"/>
                  <w:rFonts w:ascii="Arial" w:hAnsi="Arial"/>
                  <w:sz w:val="20"/>
                </w:rPr>
                <w:t>Prospectus supplement summary</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S-1</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3">
              <w:r>
                <w:rPr>
                  <w:rStyle w:val="InternetLink"/>
                  <w:rFonts w:ascii="Arial" w:hAnsi="Arial"/>
                  <w:sz w:val="20"/>
                </w:rPr>
                <w:t>Risk factors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S-5</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4">
              <w:r>
                <w:rPr>
                  <w:rStyle w:val="InternetLink"/>
                  <w:rFonts w:ascii="Arial" w:hAnsi="Arial"/>
                  <w:sz w:val="20"/>
                </w:rPr>
                <w:t>Cautionary note regarding forward-looking statements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S-7</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5">
              <w:r>
                <w:rPr>
                  <w:rStyle w:val="InternetLink"/>
                  <w:rFonts w:ascii="Arial" w:hAnsi="Arial"/>
                  <w:sz w:val="20"/>
                </w:rPr>
                <w:t>Use of proceeds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S-8</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6">
              <w:r>
                <w:rPr>
                  <w:rStyle w:val="InternetLink"/>
                  <w:rFonts w:ascii="Arial" w:hAnsi="Arial"/>
                  <w:sz w:val="20"/>
                </w:rPr>
                <w:t>Dilution</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S-9</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6a">
              <w:r>
                <w:rPr>
                  <w:rStyle w:val="InternetLink"/>
                  <w:rFonts w:ascii="Arial" w:hAnsi="Arial"/>
                  <w:sz w:val="20"/>
                </w:rPr>
                <w:t xml:space="preserve">Material U.S. federal income tax consequences to non-U.S. holders </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S-11</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7">
              <w:r>
                <w:rPr>
                  <w:rStyle w:val="InternetLink"/>
                  <w:rFonts w:ascii="Arial" w:hAnsi="Arial"/>
                  <w:sz w:val="20"/>
                </w:rPr>
                <w:t>Underwriting</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S-15</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8">
              <w:r>
                <w:rPr>
                  <w:rStyle w:val="InternetLink"/>
                  <w:rFonts w:ascii="Arial" w:hAnsi="Arial"/>
                  <w:sz w:val="20"/>
                </w:rPr>
                <w:t>Legal matters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S-30</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9">
              <w:r>
                <w:rPr>
                  <w:rStyle w:val="InternetLink"/>
                  <w:rFonts w:ascii="Arial" w:hAnsi="Arial"/>
                  <w:sz w:val="20"/>
                </w:rPr>
                <w:t>Experts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S-30</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10">
              <w:r>
                <w:rPr>
                  <w:rStyle w:val="InternetLink"/>
                  <w:rFonts w:ascii="Arial" w:hAnsi="Arial"/>
                  <w:sz w:val="20"/>
                </w:rPr>
                <w:t>Where you can find more information; incorporation by reference</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S-31</w:t>
            </w:r>
          </w:p>
        </w:tc>
        <w:tc>
          <w:tcPr>
            <w:tcW w:w="62" w:type="dxa"/>
            <w:tcBorders/>
          </w:tcPr>
          <w:p>
            <w:pPr>
              <w:pStyle w:val="TableContents"/>
              <w:bidi w:val="0"/>
              <w:spacing w:before="0" w:after="283"/>
              <w:jc w:val="left"/>
              <w:rPr/>
            </w:pPr>
            <w:r>
              <w:rPr/>
              <w:t> </w:t>
            </w:r>
          </w:p>
        </w:tc>
      </w:tr>
    </w:tbl>
    <w:p>
      <w:pPr>
        <w:pStyle w:val="TextBody"/>
        <w:bidi w:val="0"/>
        <w:spacing w:before="320" w:after="0"/>
        <w:jc w:val="left"/>
        <w:rPr>
          <w:rFonts w:ascii="Arial" w:hAnsi="Arial"/>
          <w:b/>
          <w:sz w:val="32"/>
        </w:rPr>
      </w:pPr>
      <w:r>
        <w:rPr>
          <w:rFonts w:ascii="Arial" w:hAnsi="Arial"/>
          <w:b/>
          <w:sz w:val="32"/>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6"/>
        <w:gridCol w:w="253"/>
        <w:gridCol w:w="60"/>
        <w:gridCol w:w="263"/>
        <w:gridCol w:w="63"/>
      </w:tblGrid>
      <w:tr>
        <w:trPr/>
        <w:tc>
          <w:tcPr>
            <w:tcW w:w="9566"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
              <w:r>
                <w:rPr>
                  <w:rStyle w:val="InternetLink"/>
                  <w:rFonts w:ascii="Arial" w:hAnsi="Arial"/>
                  <w:sz w:val="20"/>
                </w:rPr>
                <w:t>ABOUT THIS PROSPECTUS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2">
              <w:r>
                <w:rPr>
                  <w:rStyle w:val="InternetLink"/>
                  <w:rFonts w:ascii="Arial" w:hAnsi="Arial"/>
                  <w:sz w:val="20"/>
                </w:rPr>
                <w:t>WHERE YOU CAN FIND MORE INFORMATION; INCORPORATION BY REFERENCE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3">
              <w:r>
                <w:rPr>
                  <w:rStyle w:val="InternetLink"/>
                  <w:rFonts w:ascii="Arial" w:hAnsi="Arial"/>
                  <w:sz w:val="20"/>
                </w:rPr>
                <w:t>THE COMPANY</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4">
              <w:r>
                <w:rPr>
                  <w:rStyle w:val="InternetLink"/>
                  <w:rFonts w:ascii="Arial" w:hAnsi="Arial"/>
                  <w:sz w:val="20"/>
                </w:rPr>
                <w:t>RISK FACTORS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5">
              <w:r>
                <w:rPr>
                  <w:rStyle w:val="InternetLink"/>
                  <w:rFonts w:ascii="Arial" w:hAnsi="Arial"/>
                  <w:sz w:val="20"/>
                </w:rPr>
                <w:t>CAUTIONARY NOTE REGARDING FORWARD-LOOKING STATEMENTS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6">
              <w:r>
                <w:rPr>
                  <w:rStyle w:val="InternetLink"/>
                  <w:rFonts w:ascii="Arial" w:hAnsi="Arial"/>
                  <w:sz w:val="20"/>
                </w:rPr>
                <w:t>USE OF PROCEEDS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7">
              <w:r>
                <w:rPr>
                  <w:rStyle w:val="InternetLink"/>
                  <w:rFonts w:ascii="Arial" w:hAnsi="Arial"/>
                  <w:sz w:val="20"/>
                </w:rPr>
                <w:t>DESCRIPTION OF CAPITAL STOCK</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8">
              <w:r>
                <w:rPr>
                  <w:rStyle w:val="InternetLink"/>
                  <w:rFonts w:ascii="Arial" w:hAnsi="Arial"/>
                  <w:sz w:val="20"/>
                </w:rPr>
                <w:t>DESCRIPTION OF DEBT SECURITIES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9">
              <w:r>
                <w:rPr>
                  <w:rStyle w:val="InternetLink"/>
                  <w:rFonts w:ascii="Arial" w:hAnsi="Arial"/>
                  <w:sz w:val="20"/>
                </w:rPr>
                <w:t>DESCRIPTION OF OTHER SECURITIES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0">
              <w:r>
                <w:rPr>
                  <w:rStyle w:val="InternetLink"/>
                  <w:rFonts w:ascii="Arial" w:hAnsi="Arial"/>
                  <w:sz w:val="20"/>
                </w:rPr>
                <w:t>GLOBAL SECURITIES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1">
              <w:r>
                <w:rPr>
                  <w:rStyle w:val="InternetLink"/>
                  <w:rFonts w:ascii="Arial" w:hAnsi="Arial"/>
                  <w:sz w:val="20"/>
                </w:rPr>
                <w:t>PLAN OF DISTRIBUTION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2">
              <w:r>
                <w:rPr>
                  <w:rStyle w:val="InternetLink"/>
                  <w:rFonts w:ascii="Arial" w:hAnsi="Arial"/>
                  <w:sz w:val="20"/>
                </w:rPr>
                <w:t>LEGAL MATTERS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3">
              <w:r>
                <w:rPr>
                  <w:rStyle w:val="InternetLink"/>
                  <w:rFonts w:ascii="Arial" w:hAnsi="Arial"/>
                  <w:sz w:val="20"/>
                </w:rPr>
                <w:t>EXPERTS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Arial" w:hAnsi="Arial"/>
          <w:sz w:val="20"/>
        </w:rPr>
      </w:pPr>
      <w:r>
        <w:rPr>
          <w:rFonts w:ascii="Arial" w:hAnsi="Arial"/>
          <w:sz w:val="20"/>
        </w:rPr>
        <w:t xml:space="preserve">Neither we nor any of the underwriters have authorized anyone to provide information different from that contained in this prospectus supplement. When you make a decision about whether to invest in our common stock, you should not rely upon any information other than the information in this prospectus supplement. Neither the delivery of this prospectus supplement nor the sale of shares of our common stock means that information contained in this prospectus supplement is correct after the date of this prospectus supplement. This prospectus supplement is not an offer to sell or solicitation of an offer to buy shares of our common stock in any circumstances under which the offer or solicitation is unlawful.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3" w:name="supptoc116467_1"/>
      <w:bookmarkEnd w:id="3"/>
      <w:r>
        <w:rPr>
          <w:rFonts w:ascii="Arial" w:hAnsi="Arial"/>
          <w:b/>
          <w:sz w:val="32"/>
        </w:rPr>
        <w:t xml:space="preserve">About this prospectus supplement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dated July 13, 2026 are part of a registration statement that we filed with the Securities and Exchange Commission (SEC), utilizing a “shelf” registration process. This prospectus supplement and the accompanying prospectus relate to the offer by us of shares of our common stock to certain investors. 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incorporation by reference.” </w:t>
      </w:r>
    </w:p>
    <w:p>
      <w:pPr>
        <w:pStyle w:val="TextBody"/>
        <w:bidi w:val="0"/>
        <w:spacing w:before="160" w:after="0"/>
        <w:jc w:val="left"/>
        <w:rPr>
          <w:rFonts w:ascii="Arial" w:hAnsi="Arial"/>
          <w:sz w:val="20"/>
        </w:rPr>
      </w:pPr>
      <w:r>
        <w:rPr>
          <w:rFonts w:ascii="Arial" w:hAnsi="Arial"/>
          <w:sz w:val="20"/>
        </w:rPr>
        <w:t xml:space="preserve">You should rely only on information contained in or incorporated by reference into this prospectus supplement and the accompanying prospectus or any free writing prospectus prepared by or on behalf of us or to which we have referred you. We have not, and the underwriters have not, authorized anyone to provide you with information that is different. We are offering to sell and seeking offers to buy shares of our common stock only in jurisdictions where offers and sales are permitted. The information contained in this prospectus supplement, the accompanying prospectus, the documents and information incorporated by reference in this prospectus supplement and the accompanying prospectus, and any free writing prospectus that we have authorized for use in connection with this offering are accurate only as of their respective dates, regardless of the time of delivery of this prospectus supplement or of any sale of our common stock. </w:t>
      </w:r>
    </w:p>
    <w:p>
      <w:pPr>
        <w:pStyle w:val="TextBody"/>
        <w:bidi w:val="0"/>
        <w:spacing w:before="160" w:after="0"/>
        <w:jc w:val="left"/>
        <w:rPr>
          <w:rFonts w:ascii="Arial" w:hAnsi="Arial"/>
          <w:sz w:val="20"/>
        </w:rPr>
      </w:pPr>
      <w:r>
        <w:rPr>
          <w:rFonts w:ascii="Arial" w:hAnsi="Arial"/>
          <w:sz w:val="20"/>
        </w:rPr>
        <w:t xml:space="preserve">In this prospectus supplement, unless the context otherwise indicates, the terms “Erasca,” the “Company,” “we,” “our” and “us” or similar terms refer to Erasca, Inc. and its subsidiaries. </w:t>
      </w:r>
    </w:p>
    <w:p>
      <w:pPr>
        <w:pStyle w:val="TextBody"/>
        <w:bidi w:val="0"/>
        <w:spacing w:before="160" w:after="0"/>
        <w:jc w:val="left"/>
        <w:rPr>
          <w:rFonts w:ascii="Arial" w:hAnsi="Arial"/>
          <w:sz w:val="20"/>
        </w:rPr>
      </w:pPr>
      <w:r>
        <w:rPr>
          <w:rFonts w:ascii="Arial" w:hAnsi="Arial"/>
          <w:sz w:val="20"/>
        </w:rPr>
        <w:t xml:space="preserve">We use our trademarks in this prospectus supplement as well as trademarks, tradenames and service marks that are the property of other organizations. Solely for convenience, trademarks and tradenames referred to in this prospectus supplement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Arial" w:hAnsi="Arial"/>
          <w:b/>
          <w:sz w:val="32"/>
          <w:bdr w:val="single" w:sz="2" w:space="1" w:color="000000"/>
        </w:rPr>
      </w:pPr>
      <w:bookmarkStart w:id="4" w:name="supptoc116467_2"/>
      <w:bookmarkEnd w:id="4"/>
      <w:r>
        <w:rPr>
          <w:rFonts w:ascii="Arial" w:hAnsi="Arial"/>
          <w:b/>
          <w:sz w:val="32"/>
          <w:bdr w:val="single" w:sz="2" w:space="1" w:color="000000"/>
        </w:rPr>
        <w:t xml:space="preserve">Prospectus supplement summary </w:t>
      </w:r>
    </w:p>
    <w:p>
      <w:pPr>
        <w:pStyle w:val="TextBody"/>
        <w:bidi w:val="0"/>
        <w:spacing w:before="160" w:after="0"/>
        <w:jc w:val="left"/>
        <w:rPr>
          <w:rFonts w:ascii="Arial" w:hAnsi="Arial"/>
          <w:i/>
          <w:sz w:val="20"/>
          <w:bdr w:val="single" w:sz="2" w:space="1" w:color="000000"/>
        </w:rPr>
      </w:pPr>
      <w:r>
        <w:rPr>
          <w:rFonts w:ascii="Arial" w:hAnsi="Arial"/>
          <w:i/>
          <w:sz w:val="20"/>
          <w:bdr w:val="single" w:sz="2" w:space="1" w:color="000000"/>
        </w:rPr>
        <w:t xml:space="preserve">The items in the following summary are described in more detail later in or incorporated by reference into this prospectus supplement and in the accompanying prospectus. This summary provides an overview of selected information and does not contain all the information you should consider before investing in our common stock. Therefore, you should read the entire prospectus supplement, the accompanying prospectus and any free writing prospectus that we have authorized for use in connection with this offering carefully, including the “Risk factors” section, and other documents or information included or incorporated by reference in this prospectus supplement and the accompanying prospectus before making any investment decision.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Company overview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 Our pipeline enables us to pursue a systematic, data-driven, portfolio-wide clinical development effort to identify therapeutic approaches with the goal of prolonging survival in numerous patient populations with high unmet medical needs.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(SAB), which includes the world’s leading experts in the RAS/MAPK pathway, uniquely position us to achieve our bold mission of erasing cancer.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Recent developments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On July 13, 2026, we announced updated preliminary Phase 1 data for our potentially best-in-class, pan-RAS molecular glue ERAS-0015 in patients with RAS-mutant solid tumors. Updated preliminary data from our ongoing AURORAS-1 Phase 1 trial in the U.S. builds on our April 2026 announcement, with additional patients and longer follow-up. </w:t>
      </w:r>
    </w:p>
    <w:p>
      <w:pPr>
        <w:pStyle w:val="TextBody"/>
        <w:bidi w:val="0"/>
        <w:spacing w:before="160" w:after="0"/>
        <w:jc w:val="left"/>
        <w:rPr>
          <w:rFonts w:ascii="Arial" w:hAnsi="Arial"/>
          <w:b/>
          <w:i/>
          <w:sz w:val="20"/>
          <w:bdr w:val="single" w:sz="2" w:space="1" w:color="000000"/>
        </w:rPr>
      </w:pPr>
      <w:r>
        <w:rPr>
          <w:rFonts w:ascii="Arial" w:hAnsi="Arial"/>
          <w:b/>
          <w:i/>
          <w:sz w:val="20"/>
          <w:bdr w:val="single" w:sz="2" w:space="1" w:color="000000"/>
        </w:rPr>
        <w:t xml:space="preserve">Additional Results from AURORAS-1 Trial </w:t>
      </w:r>
    </w:p>
    <w:p>
      <w:pPr>
        <w:pStyle w:val="TextBody"/>
        <w:bidi w:val="0"/>
        <w:spacing w:before="160" w:after="0"/>
        <w:jc w:val="left"/>
        <w:rPr>
          <w:rFonts w:ascii="Arial" w:hAnsi="Arial"/>
          <w:sz w:val="20"/>
          <w:bdr w:val="single" w:sz="2" w:space="1" w:color="000000"/>
        </w:rPr>
      </w:pPr>
      <w:r>
        <w:rPr>
          <w:rFonts w:ascii="Arial" w:hAnsi="Arial"/>
          <w:i/>
          <w:sz w:val="20"/>
          <w:bdr w:val="single" w:sz="2" w:space="1" w:color="000000"/>
        </w:rPr>
        <w:t>Encouraging Monotherapy Responses Observed in Second Line or Greater (2L</w:t>
      </w:r>
      <w:r>
        <w:rPr>
          <w:rFonts w:ascii="Arial" w:hAnsi="Arial"/>
          <w:sz w:val="20"/>
          <w:bdr w:val="single" w:sz="2" w:space="1" w:color="000000"/>
        </w:rPr>
        <w:t>+</w:t>
      </w:r>
      <w:r>
        <w:rPr>
          <w:rFonts w:ascii="Arial" w:hAnsi="Arial"/>
          <w:i/>
          <w:sz w:val="20"/>
          <w:bdr w:val="single" w:sz="2" w:space="1" w:color="000000"/>
        </w:rPr>
        <w:t>) KRAS G12X Pancreatic Ductal Adenocarcinoma (PDAC)1</w:t>
      </w:r>
      <w:r>
        <w:rPr>
          <w:rFonts w:ascii="Arial" w:hAnsi="Arial"/>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57% uORR8wk (N=7) at recommended dose for expansion (RDE) of 32 mg once daily (QD)2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Across doses, all patients with either confirmed or unconfirmed responses remained on treatment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At RDE of 32 mg QD, 6 of 7 enrolled patients remained on treatment; at RDE of 24 mg QD, 6 of 8 enrolled patients remained on treatment </w:t>
            </w:r>
          </w:p>
        </w:tc>
      </w:tr>
    </w:tbl>
    <w:p>
      <w:pPr>
        <w:pStyle w:val="TextBody"/>
        <w:bidi w:val="0"/>
        <w:spacing w:before="160" w:after="0"/>
        <w:jc w:val="left"/>
        <w:rPr>
          <w:rFonts w:ascii="Arial" w:hAnsi="Arial"/>
          <w:sz w:val="20"/>
          <w:bdr w:val="single" w:sz="2" w:space="1" w:color="000000"/>
        </w:rPr>
      </w:pPr>
      <w:r>
        <w:rPr>
          <w:rFonts w:ascii="Arial" w:hAnsi="Arial"/>
          <w:i/>
          <w:sz w:val="20"/>
          <w:bdr w:val="single" w:sz="2" w:space="1" w:color="000000"/>
        </w:rPr>
        <w:t>With Additional Patients and Longer Follow-up, Monotherapy Safety Data Remained Consistent with Prior Disclosure and ERAS-0015 Continued to be Generally Well-Tolerated1</w:t>
      </w:r>
      <w:r>
        <w:rPr>
          <w:rFonts w:ascii="Arial" w:hAnsi="Arial"/>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Frequency and severity of treatment-related adverse events (TRAEs) remained consistent with our April 2026 announcement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Mostly low-grade TRAEs, no dose-limiting toxicities (DLTs), low rate of dose interruptions or reductions due to TRAEs, and no discontinuations due to TRAEs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Median relative dose intensity was 100% at both 24 mg QD and 32 mg QD </w:t>
            </w:r>
          </w:p>
        </w:tc>
      </w:tr>
    </w:tbl>
    <w:p>
      <w:pPr>
        <w:pStyle w:val="TextBody"/>
        <w:bidi w:val="0"/>
        <w:spacing w:before="160" w:after="0"/>
        <w:jc w:val="left"/>
        <w:rPr>
          <w:rFonts w:ascii="Arial" w:hAnsi="Arial"/>
          <w:sz w:val="20"/>
          <w:bdr w:val="single" w:sz="2" w:space="1" w:color="000000"/>
        </w:rPr>
      </w:pPr>
      <w:r>
        <w:rPr>
          <w:rFonts w:ascii="Arial" w:hAnsi="Arial"/>
          <w:i/>
          <w:sz w:val="20"/>
          <w:bdr w:val="single" w:sz="2" w:space="1" w:color="000000"/>
        </w:rPr>
        <w:t>Promising Combination Potential with Panitumumab in Metastatic Colorectal Cancer, including Clearance of First Dose Escalation Cohort3</w:t>
      </w:r>
      <w:r>
        <w:rPr>
          <w:rFonts w:ascii="Arial" w:hAnsi="Arial"/>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No DLTs were observed for the combination in the 16 mg cohort during dose escalation in four DLT-evaluable patients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Backfill enrollment is ongoing in the 16 mg combination cohort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Dose escalation is ongoing with continued enrollment in the 24 mg combination cohort </w:t>
            </w:r>
          </w:p>
        </w:tc>
      </w:tr>
    </w:tbl>
    <w:p>
      <w:pPr>
        <w:pStyle w:val="TextBody"/>
        <w:bidi w:val="0"/>
        <w:spacing w:before="160" w:after="0"/>
        <w:jc w:val="left"/>
        <w:rPr>
          <w:rFonts w:ascii="Arial" w:hAnsi="Arial"/>
          <w:sz w:val="20"/>
          <w:bdr w:val="single" w:sz="2" w:space="1" w:color="000000"/>
        </w:rPr>
      </w:pPr>
      <w:r>
        <w:rPr>
          <w:rFonts w:ascii="Arial" w:hAnsi="Arial"/>
          <w:i/>
          <w:sz w:val="20"/>
          <w:bdr w:val="single" w:sz="2" w:space="1" w:color="000000"/>
        </w:rPr>
        <w:t>Accelerating Potentially Registration-Enabling Development Plans in Highest Value Indications</w:t>
      </w:r>
      <w:r>
        <w:rPr>
          <w:rFonts w:ascii="Arial" w:hAnsi="Arial"/>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Initiate potentially registration-enabling trial in non-small-cell lung cancer (NSCLC) patients as 2L+ therapy in the first half of 2027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Initiate Phase 3 pivotal trial in PDAC patients as first line therapy in 2027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Initiate Phase 3 pivotal trial in RAS-mutant NSCLC patients in the second half of 2027 or first half of 2028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0"/>
        <w:gridCol w:w="205"/>
        <w:gridCol w:w="9790"/>
      </w:tblGrid>
      <w:tr>
        <w:trPr/>
        <w:tc>
          <w:tcPr>
            <w:tcW w:w="210" w:type="dxa"/>
            <w:tcBorders/>
          </w:tcPr>
          <w:p>
            <w:pPr>
              <w:pStyle w:val="TableContents"/>
              <w:bidi w:val="0"/>
              <w:spacing w:before="0" w:after="283"/>
              <w:jc w:val="left"/>
              <w:rPr/>
            </w:pPr>
            <w:r>
              <w:rPr/>
              <w:t>1 </w:t>
            </w:r>
          </w:p>
        </w:tc>
        <w:tc>
          <w:tcPr>
            <w:tcW w:w="205" w:type="dxa"/>
            <w:tcBorders/>
          </w:tcPr>
          <w:p>
            <w:pPr>
              <w:pStyle w:val="TableContents"/>
              <w:bidi w:val="0"/>
              <w:spacing w:before="0" w:after="283"/>
              <w:jc w:val="left"/>
              <w:rPr/>
            </w:pPr>
            <w:r>
              <w:rPr/>
              <w:t> </w:t>
            </w:r>
          </w:p>
        </w:tc>
        <w:tc>
          <w:tcPr>
            <w:tcW w:w="9790" w:type="dxa"/>
            <w:tcBorders/>
          </w:tcPr>
          <w:p>
            <w:pPr>
              <w:pStyle w:val="TableContents"/>
              <w:bidi w:val="0"/>
              <w:spacing w:before="0" w:after="283"/>
              <w:jc w:val="left"/>
              <w:rPr/>
            </w:pPr>
            <w:r>
              <w:rPr/>
              <w:t xml:space="preserve">Data cutoff (DCO) May 25, 2026 </w:t>
            </w:r>
          </w:p>
        </w:tc>
      </w:tr>
    </w:tbl>
    <w:tbl>
      <w:tblPr>
        <w:tblW w:w="5000" w:type="pct"/>
        <w:jc w:val="left"/>
        <w:tblInd w:w="0" w:type="dxa"/>
        <w:tblLayout w:type="fixed"/>
        <w:tblCellMar>
          <w:top w:w="0" w:type="dxa"/>
          <w:left w:w="0" w:type="dxa"/>
          <w:bottom w:w="0" w:type="dxa"/>
          <w:right w:w="0" w:type="dxa"/>
        </w:tblCellMar>
      </w:tblPr>
      <w:tblGrid>
        <w:gridCol w:w="209"/>
        <w:gridCol w:w="204"/>
        <w:gridCol w:w="9792"/>
      </w:tblGrid>
      <w:tr>
        <w:trPr/>
        <w:tc>
          <w:tcPr>
            <w:tcW w:w="209" w:type="dxa"/>
            <w:tcBorders/>
          </w:tcPr>
          <w:p>
            <w:pPr>
              <w:pStyle w:val="TableContents"/>
              <w:bidi w:val="0"/>
              <w:spacing w:before="0" w:after="283"/>
              <w:jc w:val="left"/>
              <w:rPr/>
            </w:pPr>
            <w:r>
              <w:rPr/>
              <w:t>2 </w:t>
            </w:r>
          </w:p>
        </w:tc>
        <w:tc>
          <w:tcPr>
            <w:tcW w:w="204" w:type="dxa"/>
            <w:tcBorders/>
          </w:tcPr>
          <w:p>
            <w:pPr>
              <w:pStyle w:val="TableContents"/>
              <w:bidi w:val="0"/>
              <w:spacing w:before="0" w:after="283"/>
              <w:jc w:val="left"/>
              <w:rPr/>
            </w:pPr>
            <w:r>
              <w:rPr/>
              <w:t> </w:t>
            </w:r>
          </w:p>
        </w:tc>
        <w:tc>
          <w:tcPr>
            <w:tcW w:w="9792" w:type="dxa"/>
            <w:tcBorders/>
          </w:tcPr>
          <w:p>
            <w:pPr>
              <w:pStyle w:val="TableContents"/>
              <w:bidi w:val="0"/>
              <w:spacing w:before="0" w:after="283"/>
              <w:jc w:val="left"/>
              <w:rPr/>
            </w:pPr>
            <w:r>
              <w:rPr/>
              <w:t xml:space="preserve">The uORR8wk is the overall response rate (ORR) (confirmed and unconfirmed responses) for patients who received first dose of ERAS-0015 at least 8 weeks prior to the May 25, 2026 cutoff date </w:t>
            </w:r>
          </w:p>
        </w:tc>
      </w:tr>
    </w:tbl>
    <w:tbl>
      <w:tblPr>
        <w:tblW w:w="5000" w:type="pct"/>
        <w:jc w:val="left"/>
        <w:tblInd w:w="0" w:type="dxa"/>
        <w:tblLayout w:type="fixed"/>
        <w:tblCellMar>
          <w:top w:w="0" w:type="dxa"/>
          <w:left w:w="0" w:type="dxa"/>
          <w:bottom w:w="0" w:type="dxa"/>
          <w:right w:w="0" w:type="dxa"/>
        </w:tblCellMar>
      </w:tblPr>
      <w:tblGrid>
        <w:gridCol w:w="203"/>
        <w:gridCol w:w="204"/>
        <w:gridCol w:w="9798"/>
      </w:tblGrid>
      <w:tr>
        <w:trPr/>
        <w:tc>
          <w:tcPr>
            <w:tcW w:w="203" w:type="dxa"/>
            <w:tcBorders/>
          </w:tcPr>
          <w:p>
            <w:pPr>
              <w:pStyle w:val="TableContents"/>
              <w:bidi w:val="0"/>
              <w:spacing w:before="0" w:after="283"/>
              <w:jc w:val="left"/>
              <w:rPr/>
            </w:pPr>
            <w:r>
              <w:rPr/>
              <w:t>3 </w:t>
            </w:r>
          </w:p>
        </w:tc>
        <w:tc>
          <w:tcPr>
            <w:tcW w:w="204"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DCO July 6, 2026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Arial" w:hAnsi="Arial"/>
          <w:b/>
          <w:i/>
          <w:sz w:val="20"/>
          <w:bdr w:val="single" w:sz="2" w:space="1" w:color="000000"/>
        </w:rPr>
      </w:pPr>
      <w:r>
        <w:rPr>
          <w:rFonts w:ascii="Arial" w:hAnsi="Arial"/>
          <w:b/>
          <w:i/>
          <w:sz w:val="20"/>
          <w:bdr w:val="single" w:sz="2" w:space="1" w:color="000000"/>
        </w:rPr>
        <w:t xml:space="preserve">Additional AURORAS-1 Safety Data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following table summarizes all treatment-related adverse events occurring in 10% or more of patients in the AURORAS-1 trial as of the May 25, 2026 DCO date: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3710"/>
        <w:gridCol w:w="243"/>
        <w:gridCol w:w="101"/>
        <w:gridCol w:w="817"/>
        <w:gridCol w:w="60"/>
        <w:gridCol w:w="243"/>
        <w:gridCol w:w="101"/>
        <w:gridCol w:w="817"/>
        <w:gridCol w:w="60"/>
        <w:gridCol w:w="243"/>
        <w:gridCol w:w="127"/>
        <w:gridCol w:w="849"/>
        <w:gridCol w:w="178"/>
        <w:gridCol w:w="191"/>
        <w:gridCol w:w="260"/>
        <w:gridCol w:w="594"/>
        <w:gridCol w:w="60"/>
        <w:gridCol w:w="243"/>
        <w:gridCol w:w="101"/>
        <w:gridCol w:w="1044"/>
        <w:gridCol w:w="163"/>
      </w:tblGrid>
      <w:tr>
        <w:trPr/>
        <w:tc>
          <w:tcPr>
            <w:tcW w:w="371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21"/>
            <w:tcBorders>
              <w:top w:val="single" w:sz="16" w:space="0" w:color="000000"/>
            </w:tcBorders>
            <w:tcMar>
              <w:top w:w="28" w:type="dxa"/>
            </w:tcMar>
            <w:vAlign w:val="center"/>
          </w:tcPr>
          <w:p>
            <w:pPr>
              <w:pStyle w:val="TableContents"/>
              <w:bidi w:val="0"/>
              <w:spacing w:before="0" w:after="283"/>
              <w:jc w:val="left"/>
              <w:rPr/>
            </w:pPr>
            <w:r>
              <w:rPr/>
              <w:t> </w:t>
            </w:r>
          </w:p>
        </w:tc>
      </w:tr>
      <w:tr>
        <w:trPr/>
        <w:tc>
          <w:tcPr>
            <w:tcW w:w="10042" w:type="dxa"/>
            <w:gridSpan w:val="20"/>
            <w:tcBorders>
              <w:bottom w:val="single" w:sz="2" w:space="0" w:color="000000"/>
            </w:tcBorders>
            <w:tcMar>
              <w:bottom w:w="28" w:type="dxa"/>
            </w:tcMar>
            <w:vAlign w:val="bottom"/>
          </w:tcPr>
          <w:p>
            <w:pPr>
              <w:pStyle w:val="TableContents"/>
              <w:bidi w:val="0"/>
              <w:spacing w:before="0" w:after="283"/>
              <w:jc w:val="center"/>
              <w:rPr/>
            </w:pPr>
            <w:r>
              <w:rPr>
                <w:b/>
              </w:rPr>
              <w:t xml:space="preserve">Summary of TRAEs occurring in </w:t>
            </w:r>
            <w:r>
              <w:rPr/>
              <w:t>≥</w:t>
            </w:r>
            <w:r>
              <w:rPr>
                <w:b/>
              </w:rPr>
              <w:t>10% of patients</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042" w:type="dxa"/>
            <w:gridSpan w:val="20"/>
            <w:tcBorders>
              <w:bottom w:val="single" w:sz="2" w:space="0" w:color="000000"/>
            </w:tcBorders>
            <w:tcMar>
              <w:bottom w:w="28" w:type="dxa"/>
            </w:tcMar>
            <w:vAlign w:val="bottom"/>
          </w:tcPr>
          <w:p>
            <w:pPr>
              <w:pStyle w:val="TableContents"/>
              <w:bidi w:val="0"/>
              <w:spacing w:before="0" w:after="283"/>
              <w:jc w:val="center"/>
              <w:rPr>
                <w:b/>
              </w:rPr>
            </w:pPr>
            <w:r>
              <w:rPr>
                <w:b/>
              </w:rPr>
              <w:t>Patients with RASm NSCLC and PDAC Treated at PAD (16-32mg) ERAS-0015 (N=72)</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710" w:type="dxa"/>
            <w:tcBorders>
              <w:bottom w:val="single" w:sz="2" w:space="0" w:color="000000"/>
            </w:tcBorders>
            <w:tcMar>
              <w:bottom w:w="28" w:type="dxa"/>
            </w:tcMar>
            <w:vAlign w:val="bottom"/>
          </w:tcPr>
          <w:p>
            <w:pPr>
              <w:pStyle w:val="TableContents"/>
              <w:bidi w:val="0"/>
              <w:spacing w:before="0" w:after="283"/>
              <w:jc w:val="left"/>
              <w:rPr>
                <w:b/>
              </w:rPr>
            </w:pPr>
            <w:r>
              <w:rPr>
                <w:b/>
              </w:rPr>
              <w:t>TRAEs, n (%)</w:t>
            </w:r>
          </w:p>
        </w:tc>
        <w:tc>
          <w:tcPr>
            <w:tcW w:w="243" w:type="dxa"/>
            <w:tcBorders>
              <w:bottom w:val="single" w:sz="2" w:space="0" w:color="000000"/>
            </w:tcBorders>
            <w:tcMar>
              <w:bottom w:w="28" w:type="dxa"/>
            </w:tcMar>
            <w:vAlign w:val="bottom"/>
          </w:tcPr>
          <w:p>
            <w:pPr>
              <w:pStyle w:val="TableContents"/>
              <w:bidi w:val="0"/>
              <w:spacing w:before="0" w:after="283"/>
              <w:jc w:val="left"/>
              <w:rPr/>
            </w:pPr>
            <w:r>
              <w:rPr/>
              <w:t>  </w:t>
            </w:r>
          </w:p>
        </w:tc>
        <w:tc>
          <w:tcPr>
            <w:tcW w:w="918"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 w:type="dxa"/>
            <w:tcBorders>
              <w:bottom w:val="single" w:sz="2" w:space="0" w:color="000000"/>
            </w:tcBorders>
            <w:tcMar>
              <w:bottom w:w="28" w:type="dxa"/>
            </w:tcMar>
            <w:vAlign w:val="bottom"/>
          </w:tcPr>
          <w:p>
            <w:pPr>
              <w:pStyle w:val="TableContents"/>
              <w:bidi w:val="0"/>
              <w:spacing w:before="0" w:after="283"/>
              <w:jc w:val="left"/>
              <w:rPr/>
            </w:pPr>
            <w:r>
              <w:rPr/>
              <w:t>  </w:t>
            </w:r>
          </w:p>
        </w:tc>
        <w:tc>
          <w:tcPr>
            <w:tcW w:w="918"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 w:type="dxa"/>
            <w:tcBorders>
              <w:bottom w:val="single" w:sz="2" w:space="0" w:color="000000"/>
            </w:tcBorders>
            <w:tcMar>
              <w:bottom w:w="28" w:type="dxa"/>
            </w:tcMar>
            <w:vAlign w:val="bottom"/>
          </w:tcPr>
          <w:p>
            <w:pPr>
              <w:pStyle w:val="TableContents"/>
              <w:bidi w:val="0"/>
              <w:spacing w:before="0" w:after="283"/>
              <w:jc w:val="left"/>
              <w:rPr/>
            </w:pPr>
            <w:r>
              <w:rPr/>
              <w:t>  </w:t>
            </w:r>
          </w:p>
        </w:tc>
        <w:tc>
          <w:tcPr>
            <w:tcW w:w="976"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31</w:t>
            </w:r>
          </w:p>
        </w:tc>
        <w:tc>
          <w:tcPr>
            <w:tcW w:w="178"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854"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 w:type="dxa"/>
            <w:tcBorders>
              <w:bottom w:val="single" w:sz="2" w:space="0" w:color="000000"/>
            </w:tcBorders>
            <w:tcMar>
              <w:bottom w:w="28" w:type="dxa"/>
            </w:tcMar>
            <w:vAlign w:val="bottom"/>
          </w:tcPr>
          <w:p>
            <w:pPr>
              <w:pStyle w:val="TableContents"/>
              <w:bidi w:val="0"/>
              <w:spacing w:before="0" w:after="283"/>
              <w:jc w:val="left"/>
              <w:rPr/>
            </w:pPr>
            <w:r>
              <w:rPr/>
              <w:t>  </w:t>
            </w:r>
          </w:p>
        </w:tc>
        <w:tc>
          <w:tcPr>
            <w:tcW w:w="1145" w:type="dxa"/>
            <w:gridSpan w:val="2"/>
            <w:tcBorders>
              <w:bottom w:val="single" w:sz="2" w:space="0" w:color="000000"/>
            </w:tcBorders>
            <w:tcMar>
              <w:bottom w:w="28" w:type="dxa"/>
            </w:tcMar>
            <w:vAlign w:val="bottom"/>
          </w:tcPr>
          <w:p>
            <w:pPr>
              <w:pStyle w:val="TableContents"/>
              <w:bidi w:val="0"/>
              <w:spacing w:before="0" w:after="283"/>
              <w:jc w:val="right"/>
              <w:rPr>
                <w:b/>
              </w:rPr>
            </w:pPr>
            <w:r>
              <w:rPr>
                <w:b/>
              </w:rPr>
              <w:t>All Grades</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Arial" w:hAnsi="Arial"/>
                <w:b/>
                <w:sz w:val="20"/>
              </w:rPr>
            </w:pPr>
            <w:r>
              <w:rPr>
                <w:rFonts w:ascii="Arial" w:hAnsi="Arial"/>
                <w:b/>
                <w:sz w:val="20"/>
              </w:rPr>
              <w:t>Rash2, n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37 (51)</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13 (18)</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2 (3</w:t>
            </w:r>
          </w:p>
        </w:tc>
        <w:tc>
          <w:tcPr>
            <w:tcW w:w="17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52 (72</w:t>
            </w:r>
          </w:p>
        </w:tc>
        <w:tc>
          <w:tcPr>
            <w:tcW w:w="163" w:type="dxa"/>
            <w:tcBorders/>
            <w:shd w:fill="CCEEFF" w:val="clear"/>
            <w:vAlign w:val="bottom"/>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Arial" w:hAnsi="Arial"/>
                <w:b/>
                <w:sz w:val="20"/>
              </w:rPr>
            </w:pPr>
            <w:r>
              <w:rPr>
                <w:rFonts w:ascii="Arial" w:hAnsi="Arial"/>
                <w:b/>
                <w:sz w:val="20"/>
              </w:rPr>
              <w:t>Diarrhea, n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17 (24)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 (7)</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 (1</w:t>
            </w:r>
          </w:p>
        </w:tc>
        <w:tc>
          <w:tcPr>
            <w:tcW w:w="17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23 (32</w:t>
            </w:r>
          </w:p>
        </w:tc>
        <w:tc>
          <w:tcPr>
            <w:tcW w:w="163" w:type="dxa"/>
            <w:tcBorders/>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Arial" w:hAnsi="Arial"/>
                <w:b/>
                <w:sz w:val="20"/>
              </w:rPr>
            </w:pPr>
            <w:r>
              <w:rPr>
                <w:rFonts w:ascii="Arial" w:hAnsi="Arial"/>
                <w:b/>
                <w:sz w:val="20"/>
              </w:rPr>
              <w:t>Stomatitis, n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9 (13)</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 (4)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2 (3</w:t>
            </w:r>
          </w:p>
        </w:tc>
        <w:tc>
          <w:tcPr>
            <w:tcW w:w="17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14 (19</w:t>
            </w:r>
          </w:p>
        </w:tc>
        <w:tc>
          <w:tcPr>
            <w:tcW w:w="163" w:type="dxa"/>
            <w:tcBorders/>
            <w:shd w:fill="CCEEFF" w:val="clear"/>
            <w:vAlign w:val="bottom"/>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Arial" w:hAnsi="Arial"/>
                <w:b/>
                <w:sz w:val="20"/>
              </w:rPr>
            </w:pPr>
            <w:r>
              <w:rPr>
                <w:rFonts w:ascii="Arial" w:hAnsi="Arial"/>
                <w:b/>
                <w:sz w:val="20"/>
              </w:rPr>
              <w:t>Nausea, n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9 (13)</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 (1)</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0</w:t>
            </w:r>
          </w:p>
        </w:tc>
        <w:tc>
          <w:tcPr>
            <w:tcW w:w="17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10 (14</w:t>
            </w:r>
          </w:p>
        </w:tc>
        <w:tc>
          <w:tcPr>
            <w:tcW w:w="163" w:type="dxa"/>
            <w:tcBorders/>
            <w:vAlign w:val="bottom"/>
          </w:tcPr>
          <w:p>
            <w:pPr>
              <w:pStyle w:val="TableContents"/>
              <w:bidi w:val="0"/>
              <w:spacing w:before="0" w:after="283"/>
              <w:jc w:val="left"/>
              <w:rPr/>
            </w:pPr>
            <w:r>
              <w:rPr/>
              <w:t>) </w:t>
            </w:r>
          </w:p>
        </w:tc>
      </w:tr>
      <w:tr>
        <w:trPr/>
        <w:tc>
          <w:tcPr>
            <w:tcW w:w="8594" w:type="dxa"/>
            <w:gridSpan w:val="16"/>
            <w:tcBorders/>
            <w:shd w:fill="CCEEFF" w:val="clear"/>
          </w:tcPr>
          <w:p>
            <w:pPr>
              <w:pStyle w:val="TableContents"/>
              <w:bidi w:val="0"/>
              <w:spacing w:before="0" w:after="0"/>
              <w:jc w:val="left"/>
              <w:rPr>
                <w:rFonts w:ascii="Arial" w:hAnsi="Arial"/>
                <w:sz w:val="20"/>
              </w:rPr>
            </w:pPr>
            <w:r>
              <w:rPr>
                <w:rFonts w:ascii="Arial" w:hAnsi="Arial"/>
                <w:sz w:val="20"/>
              </w:rPr>
              <w:t>TRAEs leading to dose interruptions, n (%)</w:t>
            </w:r>
          </w:p>
        </w:tc>
        <w:tc>
          <w:tcPr>
            <w:tcW w:w="60" w:type="dxa"/>
            <w:tcBorders/>
            <w:shd w:fill="CCEEFF" w:val="clear"/>
          </w:tcPr>
          <w:p>
            <w:pPr>
              <w:pStyle w:val="TableContents"/>
              <w:bidi w:val="0"/>
              <w:spacing w:before="0" w:after="0"/>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9 (13</w:t>
            </w:r>
          </w:p>
        </w:tc>
        <w:tc>
          <w:tcPr>
            <w:tcW w:w="163" w:type="dxa"/>
            <w:tcBorders/>
            <w:shd w:fill="CCEEFF" w:val="clear"/>
            <w:vAlign w:val="bottom"/>
          </w:tcPr>
          <w:p>
            <w:pPr>
              <w:pStyle w:val="TableContents"/>
              <w:bidi w:val="0"/>
              <w:spacing w:before="0" w:after="283"/>
              <w:jc w:val="left"/>
              <w:rPr/>
            </w:pPr>
            <w:r>
              <w:rPr/>
              <w:t>) </w:t>
            </w:r>
          </w:p>
        </w:tc>
      </w:tr>
      <w:tr>
        <w:trPr/>
        <w:tc>
          <w:tcPr>
            <w:tcW w:w="8594" w:type="dxa"/>
            <w:gridSpan w:val="16"/>
            <w:tcBorders/>
          </w:tcPr>
          <w:p>
            <w:pPr>
              <w:pStyle w:val="TableContents"/>
              <w:bidi w:val="0"/>
              <w:spacing w:before="0" w:after="0"/>
              <w:jc w:val="left"/>
              <w:rPr>
                <w:rFonts w:ascii="Arial" w:hAnsi="Arial"/>
                <w:sz w:val="20"/>
              </w:rPr>
            </w:pPr>
            <w:r>
              <w:rPr>
                <w:rFonts w:ascii="Arial" w:hAnsi="Arial"/>
                <w:sz w:val="20"/>
              </w:rPr>
              <w:t>TRAEs leading to dose reductions, n (%)</w:t>
            </w:r>
          </w:p>
        </w:tc>
        <w:tc>
          <w:tcPr>
            <w:tcW w:w="60" w:type="dxa"/>
            <w:tcBorders/>
          </w:tcPr>
          <w:p>
            <w:pPr>
              <w:pStyle w:val="TableContents"/>
              <w:bidi w:val="0"/>
              <w:spacing w:before="0" w:after="0"/>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6 (8</w:t>
            </w:r>
          </w:p>
        </w:tc>
        <w:tc>
          <w:tcPr>
            <w:tcW w:w="163" w:type="dxa"/>
            <w:tcBorders/>
            <w:vAlign w:val="bottom"/>
          </w:tcPr>
          <w:p>
            <w:pPr>
              <w:pStyle w:val="TableContents"/>
              <w:bidi w:val="0"/>
              <w:spacing w:before="0" w:after="283"/>
              <w:jc w:val="left"/>
              <w:rPr/>
            </w:pPr>
            <w:r>
              <w:rPr/>
              <w:t>) </w:t>
            </w:r>
          </w:p>
        </w:tc>
      </w:tr>
      <w:tr>
        <w:trPr/>
        <w:tc>
          <w:tcPr>
            <w:tcW w:w="8594" w:type="dxa"/>
            <w:gridSpan w:val="16"/>
            <w:tcBorders/>
            <w:shd w:fill="CCEEFF" w:val="clear"/>
          </w:tcPr>
          <w:p>
            <w:pPr>
              <w:pStyle w:val="TableContents"/>
              <w:bidi w:val="0"/>
              <w:spacing w:before="0" w:after="0"/>
              <w:jc w:val="left"/>
              <w:rPr>
                <w:rFonts w:ascii="Arial" w:hAnsi="Arial"/>
                <w:sz w:val="20"/>
              </w:rPr>
            </w:pPr>
            <w:r>
              <w:rPr>
                <w:rFonts w:ascii="Arial" w:hAnsi="Arial"/>
                <w:sz w:val="20"/>
              </w:rPr>
              <w:t>TRAEs leading to dose discontinuations, n (%)</w:t>
            </w:r>
          </w:p>
        </w:tc>
        <w:tc>
          <w:tcPr>
            <w:tcW w:w="60" w:type="dxa"/>
            <w:tcBorders/>
            <w:shd w:fill="CCEEFF" w:val="clear"/>
          </w:tcPr>
          <w:p>
            <w:pPr>
              <w:pStyle w:val="TableContents"/>
              <w:bidi w:val="0"/>
              <w:spacing w:before="0" w:after="0"/>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0</w:t>
            </w:r>
          </w:p>
        </w:tc>
        <w:tc>
          <w:tcPr>
            <w:tcW w:w="16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1 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One Grade 3 TRAE of pneumonitis progressed to Grade 5 after withdrawal of supportive care per patient decision. The patient was a 66 year-old male with heavily pretreated metastatic pancreatic adenocarcinoma who received 24 mg of ERAS-0015. The patient had pulmonary metastases, a history of right lung cryoablation and no history of lung radiation. The patient presented to the ER approximately a month after starting ERAS-0015 with Grade 3 pneumonitis that was treated aggressively with immediate discontinuation of ERAS-0015, high dose steroids and infliximab. The patient requested withdrawal of supportive care and ultimately died of the event.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2 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Rash events are identified using following preferred term rash pustular, rash papular, rash maculo-papular, rash macular, rash, erythema and dermatitis acneiform (uncoded terms rash acneiform and rash, are also included).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Corporate information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were incorporated under the laws of the state of Delaware on July 2, 2018. Our principal executive offices are located at 3115 Merryfield Row, Suite 300, San Diego, California 92121, and our telephone number is (858) 465-6511. Our website address is www.erasca.com. The information on, or accessible through, our website is not part of, and is not incorporated into, this prospectus supplement or the accompanying prospectus and should not be considered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Arial" w:hAnsi="Arial"/>
          <w:b/>
          <w:sz w:val="32"/>
          <w:bdr w:val="single" w:sz="2" w:space="1" w:color="000000"/>
        </w:rPr>
      </w:pPr>
      <w:r>
        <w:rPr>
          <w:rFonts w:ascii="Arial" w:hAnsi="Arial"/>
          <w:b/>
          <w:sz w:val="32"/>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Common stock offered by us </w:t>
            </w:r>
          </w:p>
        </w:tc>
        <w:tc>
          <w:tcPr>
            <w:tcW w:w="7349" w:type="dxa"/>
            <w:tcBorders/>
          </w:tcPr>
          <w:p>
            <w:pPr>
              <w:pStyle w:val="TableContents"/>
              <w:bidi w:val="0"/>
              <w:spacing w:before="0" w:after="283"/>
              <w:jc w:val="left"/>
              <w:rPr/>
            </w:pPr>
            <w:r>
              <w:rPr/>
              <w:t xml:space="preserve">31,428,572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Option to purchase additional shares </w:t>
            </w:r>
          </w:p>
        </w:tc>
        <w:tc>
          <w:tcPr>
            <w:tcW w:w="7349" w:type="dxa"/>
            <w:tcBorders/>
          </w:tcPr>
          <w:p>
            <w:pPr>
              <w:pStyle w:val="TableContents"/>
              <w:bidi w:val="0"/>
              <w:spacing w:before="0" w:after="283"/>
              <w:jc w:val="left"/>
              <w:rPr/>
            </w:pPr>
            <w:r>
              <w:rPr/>
              <w:t xml:space="preserve">We have granted the underwriters an option exercisable for a period of 30 days after the date of this prospectus supplement to purchase up to an additional 4,714,285 shares of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7"/>
        <w:gridCol w:w="7348"/>
      </w:tblGrid>
      <w:tr>
        <w:trPr/>
        <w:tc>
          <w:tcPr>
            <w:tcW w:w="2857" w:type="dxa"/>
            <w:tcBorders/>
          </w:tcPr>
          <w:p>
            <w:pPr>
              <w:pStyle w:val="TableContents"/>
              <w:bidi w:val="0"/>
              <w:spacing w:before="0" w:after="20"/>
              <w:jc w:val="left"/>
              <w:rPr>
                <w:rFonts w:ascii="Arial" w:hAnsi="Arial"/>
                <w:b/>
                <w:sz w:val="20"/>
              </w:rPr>
            </w:pPr>
            <w:r>
              <w:rPr>
                <w:rFonts w:ascii="Arial" w:hAnsi="Arial"/>
                <w:b/>
                <w:sz w:val="20"/>
              </w:rPr>
              <w:t xml:space="preserve">Common stock to be outstanding immediately after this offering </w:t>
            </w:r>
          </w:p>
        </w:tc>
        <w:tc>
          <w:tcPr>
            <w:tcW w:w="7348" w:type="dxa"/>
            <w:tcBorders/>
          </w:tcPr>
          <w:p>
            <w:pPr>
              <w:pStyle w:val="TableContents"/>
              <w:bidi w:val="0"/>
              <w:spacing w:before="0" w:after="283"/>
              <w:jc w:val="left"/>
              <w:rPr/>
            </w:pPr>
            <w:r>
              <w:rPr/>
              <w:t xml:space="preserve">342,235,460 shares (or 346,949,745 shares if the underwriters exercise in full their option to purchase additional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Use of proceeds </w:t>
            </w:r>
          </w:p>
        </w:tc>
        <w:tc>
          <w:tcPr>
            <w:tcW w:w="7349" w:type="dxa"/>
            <w:tcBorders/>
          </w:tcPr>
          <w:p>
            <w:pPr>
              <w:pStyle w:val="TableContents"/>
              <w:bidi w:val="0"/>
              <w:spacing w:before="0" w:after="283"/>
              <w:jc w:val="left"/>
              <w:rPr/>
            </w:pPr>
            <w:r>
              <w:rPr/>
              <w:t xml:space="preserve">We intend to use the net proceeds from this offering, together with our existing cash, cash equivalents and marketable securities, to fund the research and development of our product candidates and other development programs and for working capital and other general corporate purposes. We may also use a portion of the remaining net proceeds and our existing cash, cash equivalents and marketable securities, to in-license, acquire, or invest in complementary business, technologies, products or assets; however, we have no current commitments or obligations to do so. See “Use of proceeds.”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Risk factors </w:t>
            </w:r>
          </w:p>
        </w:tc>
        <w:tc>
          <w:tcPr>
            <w:tcW w:w="7349" w:type="dxa"/>
            <w:tcBorders/>
          </w:tcPr>
          <w:p>
            <w:pPr>
              <w:pStyle w:val="TableContents"/>
              <w:bidi w:val="0"/>
              <w:spacing w:before="0" w:after="283"/>
              <w:jc w:val="left"/>
              <w:rPr/>
            </w:pPr>
            <w:r>
              <w:rPr/>
              <w:t xml:space="preserve">You should read the “Risk factors” section of this prospectus supplement and in the documents incorporated by reference in this prospectus supplement for a discussion of factors to consider before deciding to invest in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5"/>
        <w:gridCol w:w="7350"/>
      </w:tblGrid>
      <w:tr>
        <w:trPr/>
        <w:tc>
          <w:tcPr>
            <w:tcW w:w="2855" w:type="dxa"/>
            <w:tcBorders/>
          </w:tcPr>
          <w:p>
            <w:pPr>
              <w:pStyle w:val="TableContents"/>
              <w:bidi w:val="0"/>
              <w:spacing w:before="0" w:after="20"/>
              <w:jc w:val="left"/>
              <w:rPr>
                <w:rFonts w:ascii="Arial" w:hAnsi="Arial"/>
                <w:b/>
                <w:sz w:val="20"/>
              </w:rPr>
            </w:pPr>
            <w:r>
              <w:rPr>
                <w:rFonts w:ascii="Arial" w:hAnsi="Arial"/>
                <w:b/>
                <w:sz w:val="20"/>
              </w:rPr>
              <w:t xml:space="preserve">Nasdaq Global Select Market symbol </w:t>
            </w:r>
          </w:p>
        </w:tc>
        <w:tc>
          <w:tcPr>
            <w:tcW w:w="7350" w:type="dxa"/>
            <w:tcBorders/>
          </w:tcPr>
          <w:p>
            <w:pPr>
              <w:pStyle w:val="TableContents"/>
              <w:bidi w:val="0"/>
              <w:spacing w:before="0" w:after="283"/>
              <w:jc w:val="left"/>
              <w:rPr/>
            </w:pPr>
            <w:r>
              <w:rPr/>
              <w:t>“</w:t>
            </w:r>
            <w:r>
              <w:rPr/>
              <w:t xml:space="preserve">ERAS.”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number of shares of common stock to be outstanding immediately after this offering is based on 310,806,888 shares of our common stock outstanding as of March 31, 2026. The number of shares outstanding as of March 31, 2026 excludes: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58,411,166 shares of common stock issuable upon the exercise of options outstanding as of March 31, 2026, at a weighted average exercise price of $4.66 per share;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19,822,874 shares of common stock reserved for future issuance under our 2021 Incentive Award Plan and our 2021 Employee Stock Purchase Plan as of March 31, 2026.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Except as otherwise indicated, all information in this prospectus supplement assumes (i) no exercise of outstanding options and (ii) no exercise by the underwriters of their option to purchase up to an additional 4,714,285 shares of our common stock.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addition, the number of shares of our common stock to be outstanding immediately after this offering as shown above does not include the $200 million of shares of our common stock that remain available for sale at March 31, 2026 under the Amended and Restated Open Market Sale AgreementSM (the Sales Agreement), with Jefferies LLC, dated August 12, 2025. Between March 31, 2026 and the date of this prospectus supplement, we have not sold any shares of our common stock under the Sales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5" w:name="supptoc116467_3"/>
      <w:bookmarkEnd w:id="5"/>
      <w:r>
        <w:rPr>
          <w:rFonts w:ascii="Arial" w:hAnsi="Arial"/>
          <w:b/>
          <w:sz w:val="32"/>
        </w:rPr>
        <w:t xml:space="preserve">Risk factors </w:t>
      </w:r>
    </w:p>
    <w:p>
      <w:pPr>
        <w:pStyle w:val="TextBody"/>
        <w:bidi w:val="0"/>
        <w:spacing w:before="160" w:after="0"/>
        <w:jc w:val="left"/>
        <w:rPr>
          <w:rFonts w:ascii="Arial" w:hAnsi="Arial"/>
          <w:i/>
          <w:sz w:val="20"/>
        </w:rPr>
      </w:pPr>
      <w:r>
        <w:rPr>
          <w:rFonts w:ascii="Arial" w:hAnsi="Arial"/>
          <w:i/>
          <w:sz w:val="20"/>
        </w:rPr>
        <w:t xml:space="preserve">You should consider carefully the risks described below and discussed under the section captioned “Risk Factors” contained in our Annual Report on Form 10-K for the year ended December 31, 2025 as updated by our subsequent filings under the Securities Exchange Act of 1934, as amended (the Exchange Act), which are incorporated by reference in this prospectus supplement and the accompanying prospectus in their entirety, together with other information in this prospectus supplement,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before="320" w:after="0"/>
        <w:jc w:val="left"/>
        <w:rPr>
          <w:rFonts w:ascii="Arial" w:hAnsi="Arial"/>
          <w:b/>
          <w:sz w:val="24"/>
        </w:rPr>
      </w:pPr>
      <w:r>
        <w:rPr>
          <w:rFonts w:ascii="Arial" w:hAnsi="Arial"/>
          <w:b/>
          <w:sz w:val="24"/>
        </w:rPr>
        <w:t xml:space="preserve">Risks relating to this offering </w:t>
      </w:r>
    </w:p>
    <w:p>
      <w:pPr>
        <w:pStyle w:val="TextBody"/>
        <w:bidi w:val="0"/>
        <w:spacing w:before="160" w:after="0"/>
        <w:jc w:val="left"/>
        <w:rPr>
          <w:rFonts w:ascii="Arial" w:hAnsi="Arial"/>
          <w:b/>
          <w:i/>
          <w:sz w:val="20"/>
        </w:rPr>
      </w:pPr>
      <w:r>
        <w:rPr>
          <w:rFonts w:ascii="Arial" w:hAnsi="Arial"/>
          <w:b/>
          <w:i/>
          <w:sz w:val="20"/>
        </w:rPr>
        <w:t xml:space="preserve">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investors. </w:t>
      </w:r>
    </w:p>
    <w:p>
      <w:pPr>
        <w:pStyle w:val="TextBody"/>
        <w:bidi w:val="0"/>
        <w:spacing w:before="160" w:after="0"/>
        <w:jc w:val="left"/>
        <w:rPr>
          <w:rFonts w:ascii="Arial" w:hAnsi="Arial"/>
          <w:sz w:val="20"/>
        </w:rPr>
      </w:pPr>
      <w:r>
        <w:rPr>
          <w:rFonts w:ascii="Arial" w:hAnsi="Arial"/>
          <w:sz w:val="20"/>
        </w:rPr>
        <w:t xml:space="preserve">The offering price per share of common stock in this offering is considerably more than the net tangible book value per share of our outstanding common stock. As a result, investors purchasing shares of common stock in this offering will pay a price per share that substantially exceeds the value of our tangible assets after subtracting liabilities. Based upon the offering price of $17.50 per share, new investors will incur immediate dilution of $14.84 per share based on the net tangible book value as of March 31, 2026. For a more detailed discussion of the foregoing, see “Dilution.” To the extent outstanding stock options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160" w:after="0"/>
        <w:jc w:val="left"/>
        <w:rPr>
          <w:rFonts w:ascii="Arial" w:hAnsi="Arial"/>
          <w:sz w:val="20"/>
        </w:rPr>
      </w:pPr>
      <w:r>
        <w:rPr>
          <w:rFonts w:ascii="Arial" w:hAnsi="Arial"/>
          <w:sz w:val="20"/>
        </w:rPr>
        <w:t xml:space="preserve">In addition, pursuant to the Sales Agreement, we may issue and sell from time to time through Jefferies LLC shares of our common stock, in an aggregate amount not to exceed $200 million. As of the date of this prospectus supplement, $200 million of common stock remains available for sale under the Sales Agreement. To the extent that we sell additional shares of our common stock pursuant to the Sales Agreement subsequent to this offering, investors purchasing securities in this offering could experience further dilution. </w:t>
      </w:r>
    </w:p>
    <w:p>
      <w:pPr>
        <w:pStyle w:val="TextBody"/>
        <w:bidi w:val="0"/>
        <w:spacing w:before="160" w:after="0"/>
        <w:jc w:val="left"/>
        <w:rPr>
          <w:rFonts w:ascii="Arial" w:hAnsi="Arial"/>
          <w:b/>
          <w:i/>
          <w:sz w:val="20"/>
        </w:rPr>
      </w:pPr>
      <w:r>
        <w:rPr>
          <w:rFonts w:ascii="Arial" w:hAnsi="Arial"/>
          <w:b/>
          <w:i/>
          <w:sz w:val="20"/>
        </w:rPr>
        <w:t xml:space="preserve">We have broad discretion in the use of the net proceeds from this offering and may not use them effectively. </w:t>
      </w:r>
    </w:p>
    <w:p>
      <w:pPr>
        <w:pStyle w:val="TextBody"/>
        <w:bidi w:val="0"/>
        <w:spacing w:before="160" w:after="0"/>
        <w:jc w:val="left"/>
        <w:rPr>
          <w:rFonts w:ascii="Arial" w:hAnsi="Arial"/>
          <w:sz w:val="20"/>
        </w:rPr>
      </w:pPr>
      <w:r>
        <w:rPr>
          <w:rFonts w:ascii="Arial" w:hAnsi="Arial"/>
          <w:sz w:val="20"/>
        </w:rPr>
        <w:t xml:space="preserve">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together with our existing cash, cash equivalents and marketable securities, to fund the research and development of our product candidates and other development programs and for working capital and general corporate purposes. We may also use a portion of the remaining net proceeds and our existing cash, cash equivalents and marketable securities, to in-license, acquire, or invest in complementary businesses,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technologies, products or assets; however, we have no current commitments or obligations to do so. The failure by our management to apply these funds effectively could harm our business. Pending their use, we may invest the net proceeds from this offering in short- and intermediate-term,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6" w:name="supptoc116467_4"/>
      <w:bookmarkEnd w:id="6"/>
      <w:r>
        <w:rPr>
          <w:rFonts w:ascii="Arial" w:hAnsi="Arial"/>
          <w:b/>
          <w:sz w:val="32"/>
        </w:rPr>
        <w:t xml:space="preserve">Cautionary note regarding forward-looking statements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27A of the Securities Act of 1933, as amended (the Securities Act), and Section 21E of the Exchange Act. All statements other than statements of historical facts contained in this prospectus supplement, the accompanying prospectus and the documents incorporated by reference herein and therein are forward-looking statements,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and the anticipated use of proceeds from this offering,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and therein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160" w:after="0"/>
        <w:jc w:val="left"/>
        <w:rPr>
          <w:rFonts w:ascii="Arial" w:hAnsi="Arial"/>
          <w:sz w:val="20"/>
        </w:rPr>
      </w:pPr>
      <w:r>
        <w:rPr>
          <w:rFonts w:ascii="Arial" w:hAnsi="Arial"/>
          <w:sz w:val="20"/>
        </w:rPr>
        <w:t xml:space="preserve">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and therein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supplement, the accompanying prospectus or the documents incorporated by reference herein and therein,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7" w:name="supptoc116467_5"/>
      <w:bookmarkEnd w:id="7"/>
      <w:r>
        <w:rPr>
          <w:rFonts w:ascii="Arial" w:hAnsi="Arial"/>
          <w:b/>
          <w:sz w:val="32"/>
        </w:rPr>
        <w:t xml:space="preserve">Use of proceeds </w:t>
      </w:r>
    </w:p>
    <w:p>
      <w:pPr>
        <w:pStyle w:val="TextBody"/>
        <w:bidi w:val="0"/>
        <w:spacing w:before="160" w:after="0"/>
        <w:jc w:val="left"/>
        <w:rPr>
          <w:rFonts w:ascii="Arial" w:hAnsi="Arial"/>
          <w:sz w:val="20"/>
        </w:rPr>
      </w:pPr>
      <w:r>
        <w:rPr>
          <w:rFonts w:ascii="Arial" w:hAnsi="Arial"/>
          <w:sz w:val="20"/>
        </w:rPr>
        <w:t xml:space="preserve">We estimate that we will receive net proceeds of approximately $516.0 million from the sale of 31,428,572 shares of common stock offered by us in this offering, or approximately $593.5 million if the underwriters exercise in full their option to purchase up to an additional 4,714,285 shares of common stock, after deducting the underwriting discounts and commissions and estimated offering expenses payable by us. </w:t>
      </w:r>
    </w:p>
    <w:p>
      <w:pPr>
        <w:pStyle w:val="TextBody"/>
        <w:bidi w:val="0"/>
        <w:spacing w:before="160" w:after="0"/>
        <w:jc w:val="left"/>
        <w:rPr>
          <w:rFonts w:ascii="Arial" w:hAnsi="Arial"/>
          <w:sz w:val="20"/>
        </w:rPr>
      </w:pPr>
      <w:r>
        <w:rPr>
          <w:rFonts w:ascii="Arial" w:hAnsi="Arial"/>
          <w:sz w:val="20"/>
        </w:rPr>
        <w:t xml:space="preserve">We intend to use the net proceeds from this offering, together with our existing cash, cash equivalents and marketable securities, to fund the research and development of our product candidates and other development programs and for working capital and other general corporate purposes. We may also use a portion of the remaining net proceeds, together with our existing cash, cash equivalents and marketable securities, to in-license, acquire, or invest in complementary businesses, technologies, products or assets; however, we have no current commitments or obligations to do so. </w:t>
      </w:r>
    </w:p>
    <w:p>
      <w:pPr>
        <w:pStyle w:val="TextBody"/>
        <w:bidi w:val="0"/>
        <w:spacing w:before="160" w:after="0"/>
        <w:jc w:val="left"/>
        <w:rPr>
          <w:rFonts w:ascii="Arial" w:hAnsi="Arial"/>
          <w:sz w:val="20"/>
        </w:rPr>
      </w:pPr>
      <w:r>
        <w:rPr>
          <w:rFonts w:ascii="Arial" w:hAnsi="Arial"/>
          <w:sz w:val="20"/>
        </w:rPr>
        <w:t xml:space="preserve">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w:t>
      </w:r>
    </w:p>
    <w:p>
      <w:pPr>
        <w:pStyle w:val="TextBody"/>
        <w:bidi w:val="0"/>
        <w:spacing w:before="160" w:after="0"/>
        <w:jc w:val="left"/>
        <w:rPr>
          <w:rFonts w:ascii="Arial" w:hAnsi="Arial"/>
          <w:sz w:val="20"/>
        </w:rPr>
      </w:pPr>
      <w:r>
        <w:rPr>
          <w:rFonts w:ascii="Arial" w:hAnsi="Arial"/>
          <w:sz w:val="20"/>
        </w:rPr>
        <w:t xml:space="preserve">Pending the uses described above, we plan to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8" w:name="supptoc116467_6"/>
      <w:bookmarkEnd w:id="8"/>
      <w:r>
        <w:rPr>
          <w:rFonts w:ascii="Arial" w:hAnsi="Arial"/>
          <w:b/>
          <w:sz w:val="32"/>
        </w:rPr>
        <w:t xml:space="preserve">Dilution </w:t>
      </w:r>
    </w:p>
    <w:p>
      <w:pPr>
        <w:pStyle w:val="TextBody"/>
        <w:bidi w:val="0"/>
        <w:spacing w:before="160" w:after="0"/>
        <w:jc w:val="left"/>
        <w:rPr>
          <w:rFonts w:ascii="Arial" w:hAnsi="Arial"/>
          <w:sz w:val="20"/>
        </w:rPr>
      </w:pPr>
      <w:r>
        <w:rPr>
          <w:rFonts w:ascii="Arial" w:hAnsi="Arial"/>
          <w:sz w:val="20"/>
        </w:rPr>
        <w:t xml:space="preserve">If you invest in our common stock in this offering, your interest will be diluted to the extent of the difference between the offering price per share and the as adjusted net tangible book value per share of our common stock immediately after this offering. </w:t>
      </w:r>
    </w:p>
    <w:p>
      <w:pPr>
        <w:pStyle w:val="TextBody"/>
        <w:bidi w:val="0"/>
        <w:spacing w:before="160" w:after="0"/>
        <w:jc w:val="left"/>
        <w:rPr>
          <w:rFonts w:ascii="Arial" w:hAnsi="Arial"/>
          <w:sz w:val="20"/>
        </w:rPr>
      </w:pPr>
      <w:r>
        <w:rPr>
          <w:rFonts w:ascii="Arial" w:hAnsi="Arial"/>
          <w:sz w:val="20"/>
        </w:rPr>
        <w:t xml:space="preserve">As of March 31, 2026, our net tangible book value was approximately $393.5 million, or approximately $1.27 per share of common stock, based on 310,806,888 shares of our common stock outstanding. Our net tangible book value per share is equal to our total tangible assets, less our total liabilities, divided by the total number of shares of our common stock outstanding as of March 31, 2026. </w:t>
      </w:r>
    </w:p>
    <w:p>
      <w:pPr>
        <w:pStyle w:val="TextBody"/>
        <w:bidi w:val="0"/>
        <w:spacing w:before="160" w:after="0"/>
        <w:jc w:val="left"/>
        <w:rPr>
          <w:rFonts w:ascii="Arial" w:hAnsi="Arial"/>
          <w:sz w:val="20"/>
        </w:rPr>
      </w:pPr>
      <w:r>
        <w:rPr>
          <w:rFonts w:ascii="Arial" w:hAnsi="Arial"/>
          <w:sz w:val="20"/>
        </w:rPr>
        <w:t xml:space="preserve">After giving effect to our sale in this offering of 31,428,572 shares of our common stock at the offering price of $17.50 per share and after deducting the underwriting discounts and commissions and estimated offering expenses payable by us, our as adjusted net tangible book value as of March 31, 2026 would have been approximately $909.5 million, or approximately $2.66 per share of our common stock. This represents an immediate increase in net tangible book value of approximately $1.39 per share to our existing stockholders and an immediate dilution of $14.84 per share to new investors purchasing our common stock in this offering. The following table illustrates this per share dilution to the new investors purchasing shares of our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23"/>
        <w:gridCol w:w="162"/>
        <w:gridCol w:w="140"/>
        <w:gridCol w:w="449"/>
        <w:gridCol w:w="213"/>
        <w:gridCol w:w="302"/>
        <w:gridCol w:w="140"/>
        <w:gridCol w:w="612"/>
        <w:gridCol w:w="64"/>
      </w:tblGrid>
      <w:tr>
        <w:trPr/>
        <w:tc>
          <w:tcPr>
            <w:tcW w:w="8123"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123" w:type="dxa"/>
            <w:tcBorders>
              <w:top w:val="single" w:sz="16" w:space="0" w:color="000000"/>
            </w:tcBorders>
            <w:shd w:fill="CCEEFF" w:val="clear"/>
            <w:tcMar>
              <w:top w:w="28" w:type="dxa"/>
            </w:tcMar>
          </w:tcPr>
          <w:p>
            <w:pPr>
              <w:pStyle w:val="TableContents"/>
              <w:bidi w:val="0"/>
              <w:spacing w:before="0" w:after="0"/>
              <w:jc w:val="left"/>
              <w:rPr>
                <w:rFonts w:ascii="Arial" w:hAnsi="Arial"/>
                <w:sz w:val="20"/>
              </w:rPr>
            </w:pPr>
            <w:r>
              <w:rPr>
                <w:rFonts w:ascii="Arial" w:hAnsi="Arial"/>
                <w:sz w:val="20"/>
              </w:rPr>
              <w:t>Public offering price per share</w:t>
            </w:r>
          </w:p>
        </w:tc>
        <w:tc>
          <w:tcPr>
            <w:tcW w:w="162"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449"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213"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302"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bottom"/>
          </w:tcPr>
          <w:p>
            <w:pPr>
              <w:pStyle w:val="TableContents"/>
              <w:bidi w:val="0"/>
              <w:spacing w:before="0" w:after="283"/>
              <w:jc w:val="left"/>
              <w:rPr/>
            </w:pPr>
            <w:r>
              <w:rPr/>
              <w:t>$</w:t>
            </w:r>
          </w:p>
        </w:tc>
        <w:tc>
          <w:tcPr>
            <w:tcW w:w="612" w:type="dxa"/>
            <w:tcBorders>
              <w:top w:val="single" w:sz="16" w:space="0" w:color="000000"/>
            </w:tcBorders>
            <w:shd w:fill="CCEEFF" w:val="clear"/>
            <w:tcMar>
              <w:top w:w="28" w:type="dxa"/>
            </w:tcMar>
            <w:vAlign w:val="bottom"/>
          </w:tcPr>
          <w:p>
            <w:pPr>
              <w:pStyle w:val="TableContents"/>
              <w:bidi w:val="0"/>
              <w:spacing w:before="0" w:after="283"/>
              <w:jc w:val="right"/>
              <w:rPr/>
            </w:pPr>
            <w:r>
              <w:rPr/>
              <w:t>17.50</w:t>
            </w:r>
          </w:p>
        </w:tc>
        <w:tc>
          <w:tcPr>
            <w:tcW w:w="64"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r>
      <w:tr>
        <w:trPr/>
        <w:tc>
          <w:tcPr>
            <w:tcW w:w="8123" w:type="dxa"/>
            <w:tcBorders/>
          </w:tcPr>
          <w:p>
            <w:pPr>
              <w:pStyle w:val="TableContents"/>
              <w:bidi w:val="0"/>
              <w:spacing w:before="0" w:after="0"/>
              <w:jc w:val="left"/>
              <w:rPr>
                <w:rFonts w:ascii="Arial" w:hAnsi="Arial"/>
                <w:sz w:val="20"/>
              </w:rPr>
            </w:pPr>
            <w:r>
              <w:rPr>
                <w:rFonts w:ascii="Arial" w:hAnsi="Arial"/>
                <w:sz w:val="20"/>
              </w:rPr>
              <w:t>Net tangible book value per share as of March 31, 2026</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1.27</w:t>
            </w:r>
          </w:p>
        </w:tc>
        <w:tc>
          <w:tcPr>
            <w:tcW w:w="21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8123" w:type="dxa"/>
            <w:tcBorders/>
            <w:shd w:fill="CCEEFF" w:val="clear"/>
          </w:tcPr>
          <w:p>
            <w:pPr>
              <w:pStyle w:val="TableContents"/>
              <w:bidi w:val="0"/>
              <w:spacing w:before="0" w:after="0"/>
              <w:jc w:val="left"/>
              <w:rPr>
                <w:rFonts w:ascii="Arial" w:hAnsi="Arial"/>
                <w:sz w:val="20"/>
              </w:rPr>
            </w:pPr>
            <w:r>
              <w:rPr>
                <w:rFonts w:ascii="Arial" w:hAnsi="Arial"/>
                <w:sz w:val="20"/>
              </w:rPr>
              <w:t>Increase in net tangible book value per share attributable to this offering</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1.39</w:t>
            </w:r>
          </w:p>
        </w:tc>
        <w:tc>
          <w:tcPr>
            <w:tcW w:w="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1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812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21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8123" w:type="dxa"/>
            <w:tcBorders/>
          </w:tcPr>
          <w:p>
            <w:pPr>
              <w:pStyle w:val="TableContents"/>
              <w:bidi w:val="0"/>
              <w:spacing w:before="0" w:after="0"/>
              <w:jc w:val="left"/>
              <w:rPr>
                <w:rFonts w:ascii="Arial" w:hAnsi="Arial"/>
                <w:sz w:val="20"/>
              </w:rPr>
            </w:pPr>
            <w:r>
              <w:rPr>
                <w:rFonts w:ascii="Arial" w:hAnsi="Arial"/>
                <w:sz w:val="20"/>
              </w:rPr>
              <w:t>As adjusted net tangible book value per share, after giving effect to this offering</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2" w:type="dxa"/>
            <w:tcBorders/>
            <w:vAlign w:val="bottom"/>
          </w:tcPr>
          <w:p>
            <w:pPr>
              <w:pStyle w:val="TableContents"/>
              <w:bidi w:val="0"/>
              <w:spacing w:before="0" w:after="283"/>
              <w:jc w:val="right"/>
              <w:rPr/>
            </w:pPr>
            <w:r>
              <w:rPr/>
              <w:t>2.66</w:t>
            </w:r>
          </w:p>
        </w:tc>
        <w:tc>
          <w:tcPr>
            <w:tcW w:w="64" w:type="dxa"/>
            <w:tcBorders/>
            <w:vAlign w:val="bottom"/>
          </w:tcPr>
          <w:p>
            <w:pPr>
              <w:pStyle w:val="TableContents"/>
              <w:bidi w:val="0"/>
              <w:spacing w:before="0" w:after="283"/>
              <w:jc w:val="left"/>
              <w:rPr/>
            </w:pPr>
            <w:r>
              <w:rPr/>
              <w:t> </w:t>
            </w:r>
          </w:p>
        </w:tc>
      </w:tr>
      <w:tr>
        <w:trPr/>
        <w:tc>
          <w:tcPr>
            <w:tcW w:w="812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123" w:type="dxa"/>
            <w:tcBorders/>
            <w:shd w:fill="CCEEFF" w:val="clear"/>
          </w:tcPr>
          <w:p>
            <w:pPr>
              <w:pStyle w:val="TableContents"/>
              <w:bidi w:val="0"/>
              <w:spacing w:before="0" w:after="0"/>
              <w:jc w:val="left"/>
              <w:rPr>
                <w:rFonts w:ascii="Arial" w:hAnsi="Arial"/>
                <w:sz w:val="20"/>
              </w:rPr>
            </w:pPr>
            <w:r>
              <w:rPr>
                <w:rFonts w:ascii="Arial" w:hAnsi="Arial"/>
                <w:sz w:val="20"/>
              </w:rPr>
              <w:t>Dilution in net tangible book value per share to new investors in this offering</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2" w:type="dxa"/>
            <w:tcBorders/>
            <w:shd w:fill="CCEEFF" w:val="clear"/>
            <w:vAlign w:val="bottom"/>
          </w:tcPr>
          <w:p>
            <w:pPr>
              <w:pStyle w:val="TableContents"/>
              <w:bidi w:val="0"/>
              <w:spacing w:before="0" w:after="283"/>
              <w:jc w:val="right"/>
              <w:rPr/>
            </w:pPr>
            <w:r>
              <w:rPr/>
              <w:t>14.84</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If the underwriters exercise their option in full to purchase up to an additional 4,714,285 shares of our common stock at the public offering price of $17.50 per share, after deducting the underwriting discounts and commissions and estimated offering expenses payable by us, our as adjusted net tangible book value after this offering would be approximately $2.85 per share, representing an immediate increase in net tangible book value of approximately $1.58 per share to our existing stockholders and immediate dilution of approximately $14.65 per share to new investors purchasing common stock in this offering. </w:t>
      </w:r>
    </w:p>
    <w:p>
      <w:pPr>
        <w:pStyle w:val="TextBody"/>
        <w:bidi w:val="0"/>
        <w:spacing w:before="160" w:after="0"/>
        <w:jc w:val="left"/>
        <w:rPr>
          <w:rFonts w:ascii="Arial" w:hAnsi="Arial"/>
          <w:sz w:val="20"/>
        </w:rPr>
      </w:pPr>
      <w:r>
        <w:rPr>
          <w:rFonts w:ascii="Arial" w:hAnsi="Arial"/>
          <w:sz w:val="20"/>
        </w:rPr>
        <w:t xml:space="preserve">The foregoing table and calculations (other than net tangible book value calculations) are based on 310,806,888 shares of our common stock outstanding as of March 31, 2026. The number of shares outstanding as of March 31, 2026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58,411,166 shares of common stock issuable upon the exercise of options outstanding as of March 31, 2026, at a weighted average exercise price of $4.66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19,822,874 shares of common stock reserved for future issuance under our 2021 Incentive Award Plan and our 2021 Employee Stock Purchase Plan as of March 31, 2026. </w:t>
            </w:r>
          </w:p>
        </w:tc>
      </w:tr>
    </w:tbl>
    <w:p>
      <w:pPr>
        <w:pStyle w:val="TextBody"/>
        <w:bidi w:val="0"/>
        <w:spacing w:before="160" w:after="0"/>
        <w:jc w:val="left"/>
        <w:rPr>
          <w:rFonts w:ascii="Arial" w:hAnsi="Arial"/>
          <w:sz w:val="20"/>
        </w:rPr>
      </w:pPr>
      <w:r>
        <w:rPr>
          <w:rFonts w:ascii="Arial" w:hAnsi="Arial"/>
          <w:sz w:val="20"/>
        </w:rPr>
        <w:t xml:space="preserve">Except as otherwise indicated, all information in this prospectus supplement assumes (i) no exercise of outstanding options and (ii) no exercise by the underwriters of their option to purchase up to an additional 4,714,285 shares of our common stock. </w:t>
      </w:r>
    </w:p>
    <w:p>
      <w:pPr>
        <w:pStyle w:val="TextBody"/>
        <w:bidi w:val="0"/>
        <w:spacing w:before="160" w:after="0"/>
        <w:jc w:val="left"/>
        <w:rPr>
          <w:rFonts w:ascii="Arial" w:hAnsi="Arial"/>
          <w:sz w:val="20"/>
        </w:rPr>
      </w:pPr>
      <w:r>
        <w:rPr>
          <w:rFonts w:ascii="Arial" w:hAnsi="Arial"/>
          <w:sz w:val="20"/>
        </w:rPr>
        <w:t xml:space="preserve">To the extent that outstanding options are exercised,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addition, the number of shares of our common stock to be outstanding immediately after this offering as shown above does not include the $200 million of shares of our common stock that remain available for sale at March 31, 2026 under the Sales Agreement. Between March 31, 2026 and the date of this prospectus supplement, we have not sold any shares of our common stock under the Sales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9" w:name="supptoc116467_6a"/>
      <w:bookmarkEnd w:id="9"/>
      <w:r>
        <w:rPr>
          <w:rFonts w:ascii="Arial" w:hAnsi="Arial"/>
          <w:b/>
          <w:sz w:val="32"/>
        </w:rPr>
        <w:t xml:space="preserve">Material U.S. federal income tax consequences to non-U.S. holders </w:t>
      </w:r>
    </w:p>
    <w:p>
      <w:pPr>
        <w:pStyle w:val="TextBody"/>
        <w:bidi w:val="0"/>
        <w:spacing w:before="160" w:after="0"/>
        <w:jc w:val="left"/>
        <w:rPr>
          <w:rFonts w:ascii="Arial" w:hAnsi="Arial"/>
          <w:sz w:val="20"/>
        </w:rPr>
      </w:pPr>
      <w:r>
        <w:rPr>
          <w:rFonts w:ascii="Arial" w:hAnsi="Arial"/>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160" w:after="0"/>
        <w:jc w:val="left"/>
        <w:rPr>
          <w:rFonts w:ascii="Arial" w:hAnsi="Arial"/>
          <w:sz w:val="20"/>
        </w:rPr>
      </w:pPr>
      <w:r>
        <w:rPr>
          <w:rFonts w:ascii="Arial" w:hAnsi="Arial"/>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brokers, dealers, or traders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t>“</w:t>
            </w:r>
            <w:r>
              <w:rPr>
                <w:rFonts w:ascii="Arial" w:hAnsi="Arial"/>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w:t>
            </w:r>
            <w:r>
              <w:rPr>
                <w:rFonts w:ascii="Arial" w:hAnsi="Arial"/>
                <w:sz w:val="20"/>
              </w:rPr>
              <w:t xml:space="preserve">qualified foreign pension funds” as defined in Section 897(l)(2) of the Code and entities all of the interests of which are held by qualified foreign pension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subject to special tax accounting rules as a result of any item of gross income with respect to the stock being taken into account in an applicable financial statement. </w:t>
            </w:r>
          </w:p>
        </w:tc>
      </w:tr>
    </w:tbl>
    <w:p>
      <w:pPr>
        <w:pStyle w:val="TextBody"/>
        <w:bidi w:val="0"/>
        <w:spacing w:before="160" w:after="0"/>
        <w:jc w:val="left"/>
        <w:rPr>
          <w:rFonts w:ascii="Arial" w:hAnsi="Arial"/>
          <w:sz w:val="20"/>
        </w:rPr>
      </w:pPr>
      <w:r>
        <w:rPr>
          <w:rFonts w:ascii="Arial" w:hAnsi="Arial"/>
          <w:sz w:val="20"/>
        </w:rPr>
        <w:t xml:space="preserve">If an entity or arrangement treated as a partnership for U.S. federal income tax purposes holds our common stock, the tax treatment of a partner in the partnership will depend on the status of the partner, the activities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320" w:after="0"/>
        <w:jc w:val="left"/>
        <w:rPr>
          <w:rFonts w:ascii="Arial" w:hAnsi="Arial"/>
          <w:b/>
          <w:sz w:val="20"/>
        </w:rPr>
      </w:pPr>
      <w:r>
        <w:rPr>
          <w:rFonts w:ascii="Arial" w:hAnsi="Arial"/>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160" w:after="0"/>
        <w:jc w:val="left"/>
        <w:rPr>
          <w:rFonts w:ascii="Arial" w:hAnsi="Arial"/>
          <w:b/>
          <w:i/>
          <w:sz w:val="20"/>
        </w:rPr>
      </w:pPr>
      <w:r>
        <w:rPr>
          <w:rFonts w:ascii="Arial" w:hAnsi="Arial"/>
          <w:b/>
          <w:i/>
          <w:sz w:val="20"/>
        </w:rPr>
        <w:t xml:space="preserve">Definition of a non-U.S. holder </w:t>
      </w:r>
    </w:p>
    <w:p>
      <w:pPr>
        <w:pStyle w:val="TextBody"/>
        <w:bidi w:val="0"/>
        <w:spacing w:before="160" w:after="0"/>
        <w:jc w:val="left"/>
        <w:rPr>
          <w:rFonts w:ascii="Arial" w:hAnsi="Arial"/>
          <w:sz w:val="20"/>
        </w:rPr>
      </w:pPr>
      <w:r>
        <w:rPr>
          <w:rFonts w:ascii="Arial" w:hAnsi="Arial"/>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160" w:after="0"/>
        <w:jc w:val="left"/>
        <w:rPr>
          <w:rFonts w:ascii="Arial" w:hAnsi="Arial"/>
          <w:b/>
          <w:i/>
          <w:sz w:val="20"/>
        </w:rPr>
      </w:pPr>
      <w:r>
        <w:rPr>
          <w:rFonts w:ascii="Arial" w:hAnsi="Arial"/>
          <w:b/>
          <w:i/>
          <w:sz w:val="20"/>
        </w:rPr>
        <w:t xml:space="preserve">Distributions </w:t>
      </w:r>
    </w:p>
    <w:p>
      <w:pPr>
        <w:pStyle w:val="TextBody"/>
        <w:bidi w:val="0"/>
        <w:spacing w:before="160" w:after="0"/>
        <w:jc w:val="left"/>
        <w:rPr>
          <w:rFonts w:ascii="Arial" w:hAnsi="Arial"/>
          <w:sz w:val="20"/>
        </w:rPr>
      </w:pPr>
      <w:r>
        <w:rPr>
          <w:rFonts w:ascii="Arial" w:hAnsi="Arial"/>
          <w:sz w:val="20"/>
        </w:rPr>
        <w:t xml:space="preserve">We do not intend to pay cash dividends to our stockholders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w:t>
      </w:r>
    </w:p>
    <w:p>
      <w:pPr>
        <w:pStyle w:val="TextBody"/>
        <w:bidi w:val="0"/>
        <w:spacing w:before="160" w:after="0"/>
        <w:jc w:val="left"/>
        <w:rPr>
          <w:rFonts w:ascii="Arial" w:hAnsi="Arial"/>
          <w:sz w:val="20"/>
        </w:rPr>
      </w:pPr>
      <w:r>
        <w:rPr>
          <w:rFonts w:ascii="Arial" w:hAnsi="Arial"/>
          <w:sz w:val="20"/>
        </w:rPr>
        <w:t xml:space="preserve">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w:t>
      </w:r>
    </w:p>
    <w:p>
      <w:pPr>
        <w:pStyle w:val="TextBody"/>
        <w:bidi w:val="0"/>
        <w:spacing w:before="160" w:after="0"/>
        <w:jc w:val="left"/>
        <w:rPr>
          <w:rFonts w:ascii="Arial" w:hAnsi="Arial"/>
          <w:sz w:val="20"/>
        </w:rPr>
      </w:pPr>
      <w:r>
        <w:rPr>
          <w:rFonts w:ascii="Arial" w:hAnsi="Arial"/>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160" w:after="0"/>
        <w:jc w:val="left"/>
        <w:rPr>
          <w:rFonts w:ascii="Arial" w:hAnsi="Arial"/>
          <w:sz w:val="20"/>
        </w:rPr>
      </w:pPr>
      <w:r>
        <w:rPr>
          <w:rFonts w:ascii="Arial" w:hAnsi="Arial"/>
          <w:sz w:val="20"/>
        </w:rPr>
        <w:t xml:space="preserve">If dividends paid to a Non-U.S. Holder are effectively connected with the Non-U.S. Holder’s conduct of a trade or business within the United States (and, if required by an applicable income tax treaty, the Non-U.S. 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160" w:after="0"/>
        <w:jc w:val="left"/>
        <w:rPr>
          <w:rFonts w:ascii="Arial" w:hAnsi="Arial"/>
          <w:b/>
          <w:i/>
          <w:sz w:val="20"/>
        </w:rPr>
      </w:pPr>
      <w:r>
        <w:rPr>
          <w:rFonts w:ascii="Arial" w:hAnsi="Arial"/>
          <w:b/>
          <w:i/>
          <w:sz w:val="20"/>
        </w:rPr>
        <w:t xml:space="preserve">Sale or other taxable disposition </w:t>
      </w:r>
    </w:p>
    <w:p>
      <w:pPr>
        <w:pStyle w:val="TextBody"/>
        <w:bidi w:val="0"/>
        <w:spacing w:before="160" w:after="0"/>
        <w:jc w:val="left"/>
        <w:rPr>
          <w:rFonts w:ascii="Arial" w:hAnsi="Arial"/>
          <w:sz w:val="20"/>
        </w:rPr>
      </w:pPr>
      <w:r>
        <w:rPr>
          <w:rFonts w:ascii="Arial" w:hAnsi="Arial"/>
          <w:sz w:val="20"/>
        </w:rPr>
        <w:t xml:space="preserve">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common stock constitutes a U.S. real property interest, or USRPI, by reason of our status as a U.S. real property holding corporation, or USRPHC, for U.S. federal income tax purposes. </w:t>
            </w:r>
          </w:p>
        </w:tc>
      </w:tr>
    </w:tbl>
    <w:p>
      <w:pPr>
        <w:pStyle w:val="TextBody"/>
        <w:bidi w:val="0"/>
        <w:spacing w:before="160" w:after="0"/>
        <w:jc w:val="left"/>
        <w:rPr>
          <w:rFonts w:ascii="Arial" w:hAnsi="Arial"/>
          <w:sz w:val="20"/>
        </w:rPr>
      </w:pPr>
      <w:r>
        <w:rPr>
          <w:rFonts w:ascii="Arial" w:hAnsi="Arial"/>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160" w:after="0"/>
        <w:jc w:val="left"/>
        <w:rPr>
          <w:rFonts w:ascii="Arial" w:hAnsi="Arial"/>
          <w:sz w:val="20"/>
        </w:rPr>
      </w:pPr>
      <w:r>
        <w:rPr>
          <w:rFonts w:ascii="Arial" w:hAnsi="Arial"/>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160" w:after="0"/>
        <w:jc w:val="left"/>
        <w:rPr>
          <w:rFonts w:ascii="Arial" w:hAnsi="Arial"/>
          <w:sz w:val="20"/>
        </w:rPr>
      </w:pPr>
      <w:r>
        <w:rPr>
          <w:rFonts w:ascii="Arial" w:hAnsi="Arial"/>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160" w:after="0"/>
        <w:jc w:val="left"/>
        <w:rPr>
          <w:rFonts w:ascii="Arial" w:hAnsi="Arial"/>
          <w:sz w:val="20"/>
        </w:rPr>
      </w:pPr>
      <w:r>
        <w:rPr>
          <w:rFonts w:ascii="Arial" w:hAnsi="Arial"/>
          <w:sz w:val="20"/>
        </w:rPr>
        <w:t xml:space="preserve">Non-U.S. Holders should consult their tax advisors regarding potentially applicable income tax treaties that may provide for different rules. </w:t>
      </w:r>
    </w:p>
    <w:p>
      <w:pPr>
        <w:pStyle w:val="TextBody"/>
        <w:bidi w:val="0"/>
        <w:spacing w:before="160" w:after="0"/>
        <w:jc w:val="left"/>
        <w:rPr>
          <w:rFonts w:ascii="Arial" w:hAnsi="Arial"/>
          <w:b/>
          <w:i/>
          <w:sz w:val="20"/>
        </w:rPr>
      </w:pPr>
      <w:r>
        <w:rPr>
          <w:rFonts w:ascii="Arial" w:hAnsi="Arial"/>
          <w:b/>
          <w:i/>
          <w:sz w:val="20"/>
        </w:rPr>
        <w:t xml:space="preserve">Information reporting and backup withholding </w:t>
      </w:r>
    </w:p>
    <w:p>
      <w:pPr>
        <w:pStyle w:val="TextBody"/>
        <w:bidi w:val="0"/>
        <w:spacing w:before="160" w:after="0"/>
        <w:jc w:val="left"/>
        <w:rPr>
          <w:rFonts w:ascii="Arial" w:hAnsi="Arial"/>
          <w:sz w:val="20"/>
        </w:rPr>
      </w:pPr>
      <w:r>
        <w:rPr>
          <w:rFonts w:ascii="Arial" w:hAnsi="Arial"/>
          <w:sz w:val="20"/>
        </w:rPr>
        <w:t xml:space="preserve">Payments of dividends on our common stock will not be subject to backup withholding, provided the applicable withholding agent does not have actual knowledge or reason to know the holder is a United States person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 </w:t>
      </w:r>
    </w:p>
    <w:p>
      <w:pPr>
        <w:pStyle w:val="TextBody"/>
        <w:bidi w:val="0"/>
        <w:spacing w:before="160" w:after="0"/>
        <w:jc w:val="left"/>
        <w:rPr>
          <w:rFonts w:ascii="Arial" w:hAnsi="Arial"/>
          <w:sz w:val="20"/>
        </w:rPr>
      </w:pPr>
      <w:r>
        <w:rPr>
          <w:rFonts w:ascii="Arial" w:hAnsi="Arial"/>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160" w:after="0"/>
        <w:jc w:val="left"/>
        <w:rPr>
          <w:rFonts w:ascii="Arial" w:hAnsi="Arial"/>
          <w:sz w:val="20"/>
        </w:rPr>
      </w:pPr>
      <w:r>
        <w:rPr>
          <w:rFonts w:ascii="Arial" w:hAnsi="Arial"/>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160" w:after="0"/>
        <w:jc w:val="left"/>
        <w:rPr>
          <w:rFonts w:ascii="Arial" w:hAnsi="Arial"/>
          <w:b/>
          <w:i/>
          <w:sz w:val="20"/>
        </w:rPr>
      </w:pPr>
      <w:r>
        <w:rPr>
          <w:rFonts w:ascii="Arial" w:hAnsi="Arial"/>
          <w:b/>
          <w:i/>
          <w:sz w:val="20"/>
        </w:rPr>
        <w:t xml:space="preserve">Additional withholding tax on payments made to foreign accounts </w:t>
      </w:r>
    </w:p>
    <w:p>
      <w:pPr>
        <w:pStyle w:val="TextBody"/>
        <w:bidi w:val="0"/>
        <w:spacing w:before="160" w:after="0"/>
        <w:jc w:val="left"/>
        <w:rPr>
          <w:rFonts w:ascii="Arial" w:hAnsi="Arial"/>
          <w:sz w:val="20"/>
        </w:rPr>
      </w:pPr>
      <w:r>
        <w:rPr>
          <w:rFonts w:ascii="Arial" w:hAnsi="Arial"/>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160" w:after="0"/>
        <w:jc w:val="left"/>
        <w:rPr>
          <w:rFonts w:ascii="Arial" w:hAnsi="Arial"/>
          <w:sz w:val="20"/>
        </w:rPr>
      </w:pPr>
      <w:r>
        <w:rPr>
          <w:rFonts w:ascii="Arial" w:hAnsi="Arial"/>
          <w:sz w:val="20"/>
        </w:rPr>
        <w:t xml:space="preserve">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160" w:after="0"/>
        <w:jc w:val="left"/>
        <w:rPr>
          <w:rFonts w:ascii="Arial" w:hAnsi="Arial"/>
          <w:sz w:val="20"/>
        </w:rPr>
      </w:pPr>
      <w:r>
        <w:rPr>
          <w:rFonts w:ascii="Arial" w:hAnsi="Arial"/>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0" w:name="supptoc116467_7"/>
      <w:bookmarkEnd w:id="10"/>
      <w:r>
        <w:rPr>
          <w:rFonts w:ascii="Arial" w:hAnsi="Arial"/>
          <w:b/>
          <w:sz w:val="32"/>
        </w:rPr>
        <w:t xml:space="preserve">Underwriting </w:t>
      </w:r>
    </w:p>
    <w:p>
      <w:pPr>
        <w:pStyle w:val="TextBody"/>
        <w:bidi w:val="0"/>
        <w:spacing w:before="160" w:after="0"/>
        <w:jc w:val="left"/>
        <w:rPr>
          <w:rFonts w:ascii="Arial" w:hAnsi="Arial"/>
          <w:sz w:val="20"/>
        </w:rPr>
      </w:pPr>
      <w:r>
        <w:rPr>
          <w:rFonts w:ascii="Arial" w:hAnsi="Arial"/>
          <w:sz w:val="20"/>
        </w:rPr>
        <w:t xml:space="preserve">We are offering the shares of common stock described in this prospectus supplement through a number of underwriters. J.P. Morgan Securities LLC, Morgan Stanley &amp; Co. LLC, Jefferies LLC and Evercore Group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60"/>
        <w:gridCol w:w="121"/>
        <w:gridCol w:w="60"/>
        <w:gridCol w:w="1102"/>
        <w:gridCol w:w="62"/>
      </w:tblGrid>
      <w:tr>
        <w:trPr/>
        <w:tc>
          <w:tcPr>
            <w:tcW w:w="88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860" w:type="dxa"/>
            <w:tcBorders>
              <w:top w:val="single" w:sz="16" w:space="0" w:color="000000"/>
            </w:tcBorders>
            <w:tcMar>
              <w:top w:w="28" w:type="dxa"/>
            </w:tcMar>
            <w:vAlign w:val="center"/>
          </w:tcPr>
          <w:p>
            <w:pPr>
              <w:pStyle w:val="TableContents"/>
              <w:bidi w:val="0"/>
              <w:spacing w:before="0" w:after="283"/>
              <w:jc w:val="left"/>
              <w:rPr/>
            </w:pPr>
            <w:r>
              <w:rPr/>
              <w:t> </w:t>
            </w:r>
          </w:p>
        </w:tc>
        <w:tc>
          <w:tcPr>
            <w:tcW w:w="134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860"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2"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860" w:type="dxa"/>
            <w:tcBorders/>
            <w:shd w:fill="CCEEFF" w:val="clear"/>
          </w:tcPr>
          <w:p>
            <w:pPr>
              <w:pStyle w:val="TableContents"/>
              <w:bidi w:val="0"/>
              <w:spacing w:before="0" w:after="0"/>
              <w:jc w:val="left"/>
              <w:rPr>
                <w:rFonts w:ascii="Arial" w:hAnsi="Arial"/>
                <w:sz w:val="20"/>
              </w:rPr>
            </w:pPr>
            <w:r>
              <w:rPr>
                <w:rFonts w:ascii="Arial" w:hAnsi="Arial"/>
                <w:sz w:val="20"/>
              </w:rPr>
              <w:t>J.P. Morgan Securities LLC</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10,825,398</w:t>
            </w:r>
          </w:p>
        </w:tc>
        <w:tc>
          <w:tcPr>
            <w:tcW w:w="62" w:type="dxa"/>
            <w:tcBorders/>
            <w:shd w:fill="CCEEFF" w:val="clear"/>
            <w:vAlign w:val="bottom"/>
          </w:tcPr>
          <w:p>
            <w:pPr>
              <w:pStyle w:val="TableContents"/>
              <w:bidi w:val="0"/>
              <w:spacing w:before="0" w:after="283"/>
              <w:jc w:val="left"/>
              <w:rPr/>
            </w:pPr>
            <w:r>
              <w:rPr/>
              <w:t> </w:t>
            </w:r>
          </w:p>
        </w:tc>
      </w:tr>
      <w:tr>
        <w:trPr/>
        <w:tc>
          <w:tcPr>
            <w:tcW w:w="8860" w:type="dxa"/>
            <w:tcBorders/>
          </w:tcPr>
          <w:p>
            <w:pPr>
              <w:pStyle w:val="TableContents"/>
              <w:bidi w:val="0"/>
              <w:spacing w:before="0" w:after="0"/>
              <w:jc w:val="left"/>
              <w:rPr>
                <w:rFonts w:ascii="Arial" w:hAnsi="Arial"/>
                <w:sz w:val="20"/>
              </w:rPr>
            </w:pPr>
            <w:r>
              <w:rPr>
                <w:rFonts w:ascii="Arial" w:hAnsi="Arial"/>
                <w:sz w:val="20"/>
              </w:rPr>
              <w:t>Morgan Stanley &amp; Co. LLC</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9,777,778</w:t>
            </w:r>
          </w:p>
        </w:tc>
        <w:tc>
          <w:tcPr>
            <w:tcW w:w="62" w:type="dxa"/>
            <w:tcBorders/>
            <w:vAlign w:val="bottom"/>
          </w:tcPr>
          <w:p>
            <w:pPr>
              <w:pStyle w:val="TableContents"/>
              <w:bidi w:val="0"/>
              <w:spacing w:before="0" w:after="283"/>
              <w:jc w:val="left"/>
              <w:rPr/>
            </w:pPr>
            <w:r>
              <w:rPr/>
              <w:t> </w:t>
            </w:r>
          </w:p>
        </w:tc>
      </w:tr>
      <w:tr>
        <w:trPr/>
        <w:tc>
          <w:tcPr>
            <w:tcW w:w="8860" w:type="dxa"/>
            <w:tcBorders/>
            <w:shd w:fill="CCEEFF" w:val="clear"/>
          </w:tcPr>
          <w:p>
            <w:pPr>
              <w:pStyle w:val="TableContents"/>
              <w:bidi w:val="0"/>
              <w:spacing w:before="0" w:after="0"/>
              <w:jc w:val="left"/>
              <w:rPr>
                <w:rFonts w:ascii="Arial" w:hAnsi="Arial"/>
                <w:sz w:val="20"/>
              </w:rPr>
            </w:pPr>
            <w:r>
              <w:rPr>
                <w:rFonts w:ascii="Arial" w:hAnsi="Arial"/>
                <w:sz w:val="20"/>
              </w:rPr>
              <w:t>Jefferies LLC</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6,285,714</w:t>
            </w:r>
          </w:p>
        </w:tc>
        <w:tc>
          <w:tcPr>
            <w:tcW w:w="62" w:type="dxa"/>
            <w:tcBorders/>
            <w:shd w:fill="CCEEFF" w:val="clear"/>
            <w:vAlign w:val="bottom"/>
          </w:tcPr>
          <w:p>
            <w:pPr>
              <w:pStyle w:val="TableContents"/>
              <w:bidi w:val="0"/>
              <w:spacing w:before="0" w:after="283"/>
              <w:jc w:val="left"/>
              <w:rPr/>
            </w:pPr>
            <w:r>
              <w:rPr/>
              <w:t> </w:t>
            </w:r>
          </w:p>
        </w:tc>
      </w:tr>
      <w:tr>
        <w:trPr/>
        <w:tc>
          <w:tcPr>
            <w:tcW w:w="8860" w:type="dxa"/>
            <w:tcBorders/>
          </w:tcPr>
          <w:p>
            <w:pPr>
              <w:pStyle w:val="TableContents"/>
              <w:bidi w:val="0"/>
              <w:spacing w:before="0" w:after="0"/>
              <w:jc w:val="left"/>
              <w:rPr>
                <w:rFonts w:ascii="Arial" w:hAnsi="Arial"/>
                <w:sz w:val="20"/>
              </w:rPr>
            </w:pPr>
            <w:r>
              <w:rPr>
                <w:rFonts w:ascii="Arial" w:hAnsi="Arial"/>
                <w:sz w:val="20"/>
              </w:rPr>
              <w:t>Evercore Group L.L.C.</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4,539,682</w:t>
            </w:r>
          </w:p>
        </w:tc>
        <w:tc>
          <w:tcPr>
            <w:tcW w:w="62" w:type="dxa"/>
            <w:tcBorders/>
            <w:vAlign w:val="bottom"/>
          </w:tcPr>
          <w:p>
            <w:pPr>
              <w:pStyle w:val="TableContents"/>
              <w:bidi w:val="0"/>
              <w:spacing w:before="0" w:after="283"/>
              <w:jc w:val="left"/>
              <w:rPr/>
            </w:pPr>
            <w:r>
              <w:rPr/>
              <w:t> </w:t>
            </w:r>
          </w:p>
        </w:tc>
      </w:tr>
      <w:tr>
        <w:trPr/>
        <w:tc>
          <w:tcPr>
            <w:tcW w:w="88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860"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31,428,572</w:t>
            </w:r>
          </w:p>
        </w:tc>
        <w:tc>
          <w:tcPr>
            <w:tcW w:w="62" w:type="dxa"/>
            <w:tcBorders/>
            <w:shd w:fill="CCEEFF" w:val="clear"/>
            <w:vAlign w:val="bottom"/>
          </w:tcPr>
          <w:p>
            <w:pPr>
              <w:pStyle w:val="TableContents"/>
              <w:bidi w:val="0"/>
              <w:spacing w:before="0" w:after="283"/>
              <w:jc w:val="left"/>
              <w:rPr/>
            </w:pPr>
            <w:r>
              <w:rPr/>
              <w:t> </w:t>
            </w:r>
          </w:p>
        </w:tc>
      </w:tr>
      <w:tr>
        <w:trPr/>
        <w:tc>
          <w:tcPr>
            <w:tcW w:w="10143" w:type="dxa"/>
            <w:gridSpan w:val="4"/>
            <w:tcBorders/>
          </w:tcPr>
          <w:p>
            <w:pPr>
              <w:pStyle w:val="TableContents"/>
              <w:pBdr>
                <w:bottom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left"/>
        <w:rPr>
          <w:rFonts w:ascii="Arial" w:hAnsi="Arial"/>
          <w:sz w:val="20"/>
        </w:rPr>
      </w:pPr>
      <w:r>
        <w:rPr>
          <w:rFonts w:ascii="Arial" w:hAnsi="Arial"/>
          <w:sz w:val="20"/>
        </w:rPr>
        <w:t xml:space="preserve">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160" w:after="0"/>
        <w:jc w:val="left"/>
        <w:rPr>
          <w:rFonts w:ascii="Arial" w:hAnsi="Arial"/>
          <w:sz w:val="20"/>
        </w:rPr>
      </w:pPr>
      <w:r>
        <w:rPr>
          <w:rFonts w:ascii="Arial" w:hAnsi="Arial"/>
          <w:sz w:val="20"/>
        </w:rPr>
        <w:t xml:space="preserve">The underwriters propose to offer the shares of common stock directly to the public at the initial public offering price set forth on the cover page of this prospectus supplement and to certain dealers at that price less a concession not in excess of $0.63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 </w:t>
      </w:r>
    </w:p>
    <w:p>
      <w:pPr>
        <w:pStyle w:val="TextBody"/>
        <w:bidi w:val="0"/>
        <w:spacing w:before="160" w:after="0"/>
        <w:jc w:val="left"/>
        <w:rPr>
          <w:rFonts w:ascii="Arial" w:hAnsi="Arial"/>
          <w:sz w:val="20"/>
        </w:rPr>
      </w:pPr>
      <w:r>
        <w:rPr>
          <w:rFonts w:ascii="Arial" w:hAnsi="Arial"/>
          <w:sz w:val="20"/>
        </w:rPr>
        <w:t xml:space="preserve">The underwriters have an option to buy up to 4,714,285 additional shares of common stock from us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160" w:after="0"/>
        <w:jc w:val="left"/>
        <w:rPr>
          <w:rFonts w:ascii="Arial" w:hAnsi="Arial"/>
          <w:sz w:val="20"/>
        </w:rPr>
      </w:pPr>
      <w:r>
        <w:rPr>
          <w:rFonts w:ascii="Arial" w:hAnsi="Arial"/>
          <w:sz w:val="20"/>
        </w:rPr>
        <w:t xml:space="preserve">The underwriting fee is equal to the public offering price per share of common stock less the amount paid by the underwriters to us per share of common stock. The underwriting fee is $1.05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31"/>
        <w:gridCol w:w="222"/>
        <w:gridCol w:w="147"/>
        <w:gridCol w:w="1643"/>
        <w:gridCol w:w="60"/>
        <w:gridCol w:w="222"/>
        <w:gridCol w:w="149"/>
        <w:gridCol w:w="1667"/>
        <w:gridCol w:w="64"/>
      </w:tblGrid>
      <w:tr>
        <w:trPr/>
        <w:tc>
          <w:tcPr>
            <w:tcW w:w="6031"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031" w:type="dxa"/>
            <w:tcBorders>
              <w:top w:val="single" w:sz="16" w:space="0" w:color="000000"/>
            </w:tcBorders>
            <w:tcMar>
              <w:top w:w="28" w:type="dxa"/>
            </w:tcMar>
            <w:vAlign w:val="center"/>
          </w:tcPr>
          <w:p>
            <w:pPr>
              <w:pStyle w:val="TableContents"/>
              <w:bidi w:val="0"/>
              <w:spacing w:before="0" w:after="283"/>
              <w:jc w:val="left"/>
              <w:rPr/>
            </w:pPr>
            <w:r>
              <w:rPr/>
              <w:t> </w:t>
            </w:r>
          </w:p>
        </w:tc>
        <w:tc>
          <w:tcPr>
            <w:tcW w:w="207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102"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031" w:type="dxa"/>
            <w:tcBorders>
              <w:bottom w:val="single" w:sz="2" w:space="0" w:color="000000"/>
            </w:tcBorders>
            <w:tcMar>
              <w:bottom w:w="28" w:type="dxa"/>
            </w:tcMar>
            <w:vAlign w:val="bottom"/>
          </w:tcPr>
          <w:p>
            <w:pPr>
              <w:pStyle w:val="TableContents"/>
              <w:bidi w:val="0"/>
              <w:spacing w:before="0" w:after="283"/>
              <w:jc w:val="left"/>
              <w:rPr/>
            </w:pPr>
            <w:r>
              <w:rPr/>
              <w:t>  </w:t>
            </w:r>
          </w:p>
        </w:tc>
        <w:tc>
          <w:tcPr>
            <w:tcW w:w="222" w:type="dxa"/>
            <w:tcBorders>
              <w:bottom w:val="single" w:sz="2" w:space="0" w:color="000000"/>
            </w:tcBorders>
            <w:tcMar>
              <w:bottom w:w="28" w:type="dxa"/>
            </w:tcMar>
            <w:vAlign w:val="bottom"/>
          </w:tcPr>
          <w:p>
            <w:pPr>
              <w:pStyle w:val="TableContents"/>
              <w:bidi w:val="0"/>
              <w:spacing w:before="0" w:after="283"/>
              <w:jc w:val="left"/>
              <w:rPr/>
            </w:pPr>
            <w:r>
              <w:rPr/>
              <w:t>  </w:t>
            </w:r>
          </w:p>
        </w:tc>
        <w:tc>
          <w:tcPr>
            <w:tcW w:w="1790" w:type="dxa"/>
            <w:gridSpan w:val="2"/>
            <w:tcBorders>
              <w:bottom w:val="single" w:sz="2" w:space="0" w:color="000000"/>
            </w:tcBorders>
            <w:tcMar>
              <w:bottom w:w="28" w:type="dxa"/>
            </w:tcMar>
            <w:vAlign w:val="bottom"/>
          </w:tcPr>
          <w:p>
            <w:pPr>
              <w:pStyle w:val="TableContents"/>
              <w:bidi w:val="0"/>
              <w:spacing w:before="0" w:after="283"/>
              <w:jc w:val="right"/>
              <w:rPr>
                <w:b/>
              </w:rPr>
            </w:pPr>
            <w:r>
              <w:rPr>
                <w:b/>
              </w:rPr>
              <w:t>Without option</w:t>
              <w:br/>
              <w:t>to purchase</w:t>
              <w:br/>
              <w:t>additional</w:t>
              <w:br/>
              <w:t>shares exercise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2" w:type="dxa"/>
            <w:tcBorders>
              <w:bottom w:val="single" w:sz="2" w:space="0" w:color="000000"/>
            </w:tcBorders>
            <w:tcMar>
              <w:bottom w:w="28" w:type="dxa"/>
            </w:tcMar>
            <w:vAlign w:val="bottom"/>
          </w:tcPr>
          <w:p>
            <w:pPr>
              <w:pStyle w:val="TableContents"/>
              <w:bidi w:val="0"/>
              <w:spacing w:before="0" w:after="283"/>
              <w:jc w:val="left"/>
              <w:rPr/>
            </w:pPr>
            <w:r>
              <w:rPr/>
              <w:t>  </w:t>
            </w:r>
          </w:p>
        </w:tc>
        <w:tc>
          <w:tcPr>
            <w:tcW w:w="1816" w:type="dxa"/>
            <w:gridSpan w:val="2"/>
            <w:tcBorders>
              <w:bottom w:val="single" w:sz="2" w:space="0" w:color="000000"/>
            </w:tcBorders>
            <w:tcMar>
              <w:bottom w:w="28" w:type="dxa"/>
            </w:tcMar>
            <w:vAlign w:val="bottom"/>
          </w:tcPr>
          <w:p>
            <w:pPr>
              <w:pStyle w:val="TableContents"/>
              <w:bidi w:val="0"/>
              <w:spacing w:before="0" w:after="283"/>
              <w:jc w:val="right"/>
              <w:rPr>
                <w:b/>
              </w:rPr>
            </w:pPr>
            <w:r>
              <w:rPr>
                <w:b/>
              </w:rPr>
              <w:t>With full option</w:t>
              <w:br/>
              <w:t>to purchase</w:t>
              <w:br/>
              <w:t>additional</w:t>
              <w:br/>
              <w:t>shares exercise</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031"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22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643"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667" w:type="dxa"/>
            <w:tcBorders/>
            <w:shd w:fill="CCEEFF" w:val="clear"/>
            <w:vAlign w:val="bottom"/>
          </w:tcPr>
          <w:p>
            <w:pPr>
              <w:pStyle w:val="TableContents"/>
              <w:bidi w:val="0"/>
              <w:spacing w:before="0" w:after="283"/>
              <w:jc w:val="right"/>
              <w:rPr/>
            </w:pPr>
            <w:r>
              <w:rPr/>
              <w:t>1.05</w:t>
            </w:r>
          </w:p>
        </w:tc>
        <w:tc>
          <w:tcPr>
            <w:tcW w:w="64" w:type="dxa"/>
            <w:tcBorders/>
            <w:shd w:fill="CCEEFF" w:val="clear"/>
            <w:vAlign w:val="bottom"/>
          </w:tcPr>
          <w:p>
            <w:pPr>
              <w:pStyle w:val="TableContents"/>
              <w:bidi w:val="0"/>
              <w:spacing w:before="0" w:after="283"/>
              <w:jc w:val="left"/>
              <w:rPr/>
            </w:pPr>
            <w:r>
              <w:rPr/>
              <w:t> </w:t>
            </w:r>
          </w:p>
        </w:tc>
      </w:tr>
      <w:tr>
        <w:trPr/>
        <w:tc>
          <w:tcPr>
            <w:tcW w:w="6031" w:type="dxa"/>
            <w:tcBorders/>
          </w:tcPr>
          <w:p>
            <w:pPr>
              <w:pStyle w:val="TableContents"/>
              <w:bidi w:val="0"/>
              <w:spacing w:before="0" w:after="0"/>
              <w:jc w:val="left"/>
              <w:rPr>
                <w:rFonts w:ascii="Arial" w:hAnsi="Arial"/>
                <w:sz w:val="20"/>
              </w:rPr>
            </w:pPr>
            <w:r>
              <w:rPr>
                <w:rFonts w:ascii="Arial" w:hAnsi="Arial"/>
                <w:sz w:val="20"/>
              </w:rPr>
              <w:t>Total</w:t>
            </w:r>
          </w:p>
        </w:tc>
        <w:tc>
          <w:tcPr>
            <w:tcW w:w="22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33,000,000.60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667" w:type="dxa"/>
            <w:tcBorders/>
            <w:vAlign w:val="bottom"/>
          </w:tcPr>
          <w:p>
            <w:pPr>
              <w:pStyle w:val="TableContents"/>
              <w:bidi w:val="0"/>
              <w:spacing w:before="0" w:after="283"/>
              <w:jc w:val="right"/>
              <w:rPr/>
            </w:pPr>
            <w:r>
              <w:rPr/>
              <w:t>37,949,999.85</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We estimate that the total expenses of this offering, including registration, filing and listing fees, printing fees and legal and accounting expenses, but excluding the underwriting discounts and commissions, will be approximately $1,000,000. We have agreed to reimburse the underwriters for expenses relating to the clearance of this offering with the Financial Industry Regulatory Authority, Inc. in an amount up to $25,000. The underwriters have agreed to reimburse us for certain of our expenses incurred by us in connection with this offering. </w:t>
      </w:r>
    </w:p>
    <w:p>
      <w:pPr>
        <w:pStyle w:val="TextBody"/>
        <w:bidi w:val="0"/>
        <w:spacing w:before="160" w:after="0"/>
        <w:jc w:val="left"/>
        <w:rPr>
          <w:rFonts w:ascii="Arial" w:hAnsi="Arial"/>
          <w:sz w:val="20"/>
        </w:rPr>
      </w:pPr>
      <w:r>
        <w:rPr>
          <w:rFonts w:ascii="Arial" w:hAnsi="Arial"/>
          <w:sz w:val="20"/>
        </w:rPr>
        <w:t xml:space="preserve">A prospectus supplement and the accompanying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160" w:after="0"/>
        <w:jc w:val="left"/>
        <w:rPr>
          <w:rFonts w:ascii="Arial" w:hAnsi="Arial"/>
          <w:sz w:val="20"/>
        </w:rPr>
      </w:pPr>
      <w:r>
        <w:rPr>
          <w:rFonts w:ascii="Arial" w:hAnsi="Arial"/>
          <w:sz w:val="20"/>
        </w:rPr>
        <w:t xml:space="preserve">We have agreed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 SEC a registration statement under the Securities Act relating to, any shares of our common stock or any securities convertible into or exercisable or exchangeable for any shares of our common stock, or (ii) enter into any swap, hedging, or other agreement that transfers, in whole or in part, any of the economic consequences of ownership of any shares of common stock or any such other securities, or publicly disclose the intention to undertake any of the foregoing in clause (i) or (ii), (regardless of whether any of these transactions are to be settled by the delivery of shares of common stock or such other securities, in cash or otherwise), in each case without the prior written consent of J.P. Morgan Securities LLC for a period of 60 days after the date of this prospectus supplement, other than the shares of our common stock to be sold in this offering. </w:t>
      </w:r>
    </w:p>
    <w:p>
      <w:pPr>
        <w:pStyle w:val="TextBody"/>
        <w:bidi w:val="0"/>
        <w:spacing w:before="160" w:after="0"/>
        <w:jc w:val="left"/>
        <w:rPr>
          <w:rFonts w:ascii="Arial" w:hAnsi="Arial"/>
          <w:sz w:val="20"/>
        </w:rPr>
      </w:pPr>
      <w:r>
        <w:rPr>
          <w:rFonts w:ascii="Arial" w:hAnsi="Arial"/>
          <w:sz w:val="20"/>
        </w:rPr>
        <w:t xml:space="preserve">The restrictions on our actions, as described above, do not apply to certain transactions, including (i) the issuance of shares of common stock or securities convertible into or exercisable for shares of our common stock pursuant to the exercise of warrants or options (including net exercise) or the settlement of restricted stock units (RSUs) (including net settlement), in each case outstanding on the date of the underwriting agreement and described in this prospectus supplement, </w:t>
      </w:r>
      <w:r>
        <w:rPr>
          <w:rFonts w:ascii="Arial" w:hAnsi="Arial"/>
          <w:sz w:val="20"/>
          <w:u w:val="single"/>
        </w:rPr>
        <w:t>provided</w:t>
      </w:r>
      <w:r>
        <w:rPr>
          <w:rFonts w:ascii="Arial" w:hAnsi="Arial"/>
          <w:sz w:val="20"/>
        </w:rPr>
        <w:t xml:space="preserve"> that such recipients enter into a lock-up agreement with the underwriters; (ii) grants of stock options, stock awards, restricted stock, RSUs, or other equity awards and the issuance of shares of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supplement, including our 2021 Employee Stock Purchase Plan, </w:t>
      </w:r>
      <w:r>
        <w:rPr>
          <w:rFonts w:ascii="Arial" w:hAnsi="Arial"/>
          <w:sz w:val="20"/>
          <w:u w:val="single"/>
        </w:rPr>
        <w:t>provided</w:t>
      </w:r>
      <w:r>
        <w:rPr>
          <w:rFonts w:ascii="Arial" w:hAnsi="Arial"/>
          <w:sz w:val="20"/>
        </w:rPr>
        <w:t xml:space="preserve"> that a newly appointed director or executive officer that is such a recipient enter into a lock-up agreement with the underwriters; (iii) the issuance of up to 5% of the outstanding shares of common stock, or securities convertible into, exercisable for, or which are otherwise exchangeable for, common stock, immediately following the closing date of this offering, in acquisitions or other similar strategic transactions, </w:t>
      </w:r>
      <w:r>
        <w:rPr>
          <w:rFonts w:ascii="Arial" w:hAnsi="Arial"/>
          <w:sz w:val="20"/>
          <w:u w:val="single"/>
        </w:rPr>
        <w:t>provided</w:t>
      </w:r>
      <w:r>
        <w:rPr>
          <w:rFonts w:ascii="Arial" w:hAnsi="Arial"/>
          <w:sz w:val="20"/>
        </w:rPr>
        <w:t xml:space="preserve"> that such recipients enter into a lock-up agreement with the underwriters; (iv) the filing of any registration statement on Form S-8 relating to securities granted or to be granted pursuant to any plan in effect on the date of the underwriting agreement and described in this prospectus supplement or any assumed benefit plan pursuant to an acquisition or similar strategic transaction; and (v) the issuance by us of shares of common stock in connection with sales under an “at-the-market” equity offering program pursuant to the Sales Agreement, provided no sales shall be made under the Sales Agreement until the earlier of (a) the representatives exercising their option to purchase additional shares in full or (b) 30 days after the date of this prospectus supplement.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Our directors and executive officers, and certain of our securityholders (such persons, the lock-up parties) have entered into lock-up agreements with the underwriters prior to the commencement of this offering pursuant to which each lock-up party, with limited exceptions, for a period of 60 days after the date of this prospectus supplement (such period, the restricted period), may not and may not cause any of their direct or indirect affiliates to,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lock-up securities, or (iv) publicly disclose the intention to do any of the foregoing. </w:t>
      </w:r>
    </w:p>
    <w:p>
      <w:pPr>
        <w:pStyle w:val="TextBody"/>
        <w:bidi w:val="0"/>
        <w:spacing w:before="160" w:after="0"/>
        <w:jc w:val="left"/>
        <w:rPr>
          <w:rFonts w:ascii="Arial" w:hAnsi="Arial"/>
          <w:sz w:val="20"/>
        </w:rPr>
      </w:pPr>
      <w:r>
        <w:rPr>
          <w:rFonts w:ascii="Arial" w:hAnsi="Arial"/>
          <w:sz w:val="20"/>
        </w:rPr>
        <w:t xml:space="preserve">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w:t>
      </w:r>
      <w:r>
        <w:rPr>
          <w:rFonts w:ascii="Arial" w:hAnsi="Arial"/>
          <w:sz w:val="20"/>
          <w:u w:val="single"/>
        </w:rPr>
        <w:t>provided</w:t>
      </w:r>
      <w:r>
        <w:rPr>
          <w:rFonts w:ascii="Arial" w:hAnsi="Arial"/>
          <w:sz w:val="20"/>
        </w:rPr>
        <w:t xml:space="preserve"> for thereunder) would be settled by delivery of lock-up securities, in cash or otherwise. Such persons or entities further confirm that they have furnished the representatives with the details of any transaction such persons or entities, or any of their respective affiliates, is a party to as of the date hereof, which transaction would have been restricted by the lock-up agreements if it had been entered into by such persons or entities during the restricted period. </w:t>
      </w:r>
    </w:p>
    <w:p>
      <w:pPr>
        <w:pStyle w:val="TextBody"/>
        <w:bidi w:val="0"/>
        <w:spacing w:before="160" w:after="0"/>
        <w:jc w:val="left"/>
        <w:rPr>
          <w:rFonts w:ascii="Arial" w:hAnsi="Arial"/>
          <w:sz w:val="20"/>
        </w:rPr>
      </w:pPr>
      <w:r>
        <w:rPr>
          <w:rFonts w:ascii="Arial" w:hAnsi="Arial"/>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transfers of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as a bona fide gift or gifts, including without limitation to a charitable organization or educational institution, or for bona fide estate planning purposes,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by will, other testamentary document or intestacy, </w:t>
            </w:r>
            <w:r>
              <w:rPr>
                <w:rFonts w:ascii="Arial" w:hAnsi="Arial"/>
                <w:sz w:val="20"/>
                <w:u w:val="single"/>
              </w:rPr>
              <w:t>provided</w:t>
            </w:r>
            <w:r>
              <w:rPr>
                <w:rFonts w:ascii="Arial" w:hAnsi="Arial"/>
                <w:sz w:val="20"/>
              </w:rPr>
              <w:t xml:space="preserve"> that, such transfer shall not involve a disposition for value and each donee, devisee, transferee or distributee shall execute and deliver to the representatives a lock-up letter in the form of the lock-up agreements,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no filing by any party (donor, donee, devisee, transferor, transferee, distributer or distributee) under the Exchange Act, or other public announcement shall be required or shall be made voluntarily in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Arial" w:hAnsi="Arial"/>
                <w:sz w:val="20"/>
              </w:rPr>
            </w:pPr>
            <w:r>
              <w:rPr>
                <w:rFonts w:ascii="Arial" w:hAnsi="Arial"/>
                <w:sz w:val="20"/>
              </w:rPr>
              <w:t xml:space="preserve">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 any member of the lock-up party’s immediate family or to any trust for the direct or indirect benefit of the lock-up party or the immediate family of the lock-up party, or if the lock-up party is a trust, to a trustor or beneficiary of the trust or to the estate of a beneficiary of such trust (for purposes of the lock-up agreement, “immediate family” shall mean any relationship by blood, current or former marriage, domestic partnership or adoption, not more remote than first cousin),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 a partnership, limited liability company or other entity of which the lock-up party and the immediate family of the lock-up party are the legal and beneficial owner of all of the outstanding equity securities or similar interests,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 a nominee or custodian of a person or entity to whom a disposition or transfer would be permissible under clauses (1) through (4),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as amended)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or shareholders of the lock-up party,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by operation of law, such as pursuant to a qualified domestic order, divorce settlement, divorce decree or separation agreement,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(8)</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to us from an employee upon death, disability or termination of employment, in each case, of such employee, </w:t>
            </w:r>
            <w:r>
              <w:rPr>
                <w:u w:val="single"/>
              </w:rPr>
              <w:t>provided</w:t>
            </w:r>
            <w:r>
              <w:rPr/>
              <w:t xml:space="preserve">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(9)</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as part of a sale of lock-up securities acquired in this offering or in open market transactions after the closing date of this offering, </w:t>
            </w:r>
            <w:r>
              <w:rPr>
                <w:u w:val="single"/>
              </w:rPr>
              <w:t>provided</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(10)</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to us in connection with the vesting, settlement, or exercise of RSUs, options, warrants or other rights to purchase shares of common stock (including, in each case, by way of “net” or “cashless” exercise), including for the payment of exercise price and tax and remittance payments due as a result of the vesting, settlement, or exercise of such RSUs, options, warrants or rights, </w:t>
            </w:r>
            <w:r>
              <w:rPr>
                <w:u w:val="single"/>
              </w:rPr>
              <w:t>provided</w:t>
            </w:r>
            <w:r>
              <w:rPr/>
              <w:t xml:space="preserve"> that any such shares of common stock received upon such exercise, vesting or settlement shall be subject to the terms of the lock-up agreement, </w:t>
            </w:r>
            <w:r>
              <w:rPr>
                <w:u w:val="single"/>
              </w:rPr>
              <w:t>provided</w:t>
            </w:r>
            <w:r>
              <w:rPr/>
              <w:t xml:space="preserve"> </w:t>
            </w:r>
            <w:r>
              <w:rPr>
                <w:u w:val="single"/>
              </w:rPr>
              <w:t>further</w:t>
            </w:r>
            <w:r>
              <w:rPr/>
              <w:t xml:space="preserve"> that any such RSUs, options, warrants or rights are held by the lock-up party pursuant to an agreement or equity awards granted under a stock incentive plan or other equity award plan, each such agreement or plan which is described in this prospectus supplement, </w:t>
            </w:r>
            <w:r>
              <w:rPr>
                <w:u w:val="single"/>
              </w:rPr>
              <w:t>provided</w:t>
            </w:r>
            <w:r>
              <w:rPr/>
              <w:t xml:space="preserve"> </w:t>
            </w:r>
            <w:r>
              <w:rPr>
                <w:u w:val="single"/>
              </w:rPr>
              <w:t>further</w:t>
            </w:r>
            <w:r>
              <w:rPr/>
              <w:t xml:space="preserve"> that no public filing, report or announcement reporting a reduction in beneficial ownership of shares of common stock shall be voluntarily made during the restricted period, and if the lock-up party is required to file a report reporting a reduction in beneficial ownership of shares of common stock during the restricted period, the lock-up party shall clearly indicate in the footnotes thereto that the filing relates to the circumstances described in this clause and that the shares of common stock received upon exercise of the stock option or warrant or RSU or other right or vesting event are subject to the lock-up agreement, and no public filing, report or announcement shall be voluntarily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(11)</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transfer or dispose shares of common stock or any security convertible into or exercisable or exchangeable for common stock to us pursuant to any contractual arrangement in effect on the date of the lock-up agreement and disclosed in this prospectus supplement that provides for the repurchase of shares of common stock in connection with the termination of the lock-up party’s employment with or service to us, </w:t>
            </w:r>
            <w:r>
              <w:rPr>
                <w:rFonts w:ascii="Arial" w:hAnsi="Arial"/>
                <w:sz w:val="20"/>
                <w:u w:val="single"/>
              </w:rPr>
              <w:t>provided</w:t>
            </w:r>
            <w:r>
              <w:rPr>
                <w:rFonts w:ascii="Arial" w:hAnsi="Arial"/>
                <w:sz w:val="20"/>
              </w:rPr>
              <w:t xml:space="preserve"> that no public filing, report or announcement reporting a reduction in beneficial ownership of shares of common stock shall be voluntarily made during the restricted period, and if the lock-up party is required to file a report reporting a reduction in beneficial ownership of shares of common stock during the restricted period, such report or filing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shall clearly indicate in the footnotes thereto that the filing relates to the circumstances described in this clause and no public filing, report or announcement shall be voluntarily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(12)</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pursuant to a bona fide third-party tender offer, merger, consolidation or other similar transaction that is approved by our board of directors and made to all holders of our capital stock involving a change of control (as defined in the lock-up agreement) of us, </w:t>
            </w:r>
            <w:r>
              <w:rPr>
                <w:u w:val="single"/>
              </w:rPr>
              <w:t>provided</w:t>
            </w:r>
            <w:r>
              <w:rPr/>
              <w:t xml:space="preserve"> that in the event that such tender offer, merger, consolidation or other similar transaction is not completed, the lock-up securities shall remain subject to the provisions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(13)</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pursuant to a trading plan under Rule 10b5-1 under the Exchange Act that is existing on the date of this prospectus supplement which has been provided to the underwriters or its legal counsel; </w:t>
            </w:r>
            <w:r>
              <w:rPr>
                <w:u w:val="single"/>
              </w:rPr>
              <w:t>provided</w:t>
            </w:r>
            <w:r>
              <w:rPr/>
              <w:t xml:space="preserve"> that (1) to the extent a public announcement or filing under the Exchange Act, if any, is required by or on behalf of the lock-up party or us regarding such transfer during the restricted period, such announcement or filing shall include the date that the trading plan was entered into and a statement that such transfer is in accordance with an established trading plan, and (2) the existing trading plan may not be amended during the restricted period to allow for an increase in the number of lock-up securities that may be sold pursuant to such existing trading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exercise outstanding options, settle RSUs or other equity awards or exercise warrants pursuant to plans described in this prospectus supplement; </w:t>
            </w:r>
            <w:r>
              <w:rPr>
                <w:u w:val="single"/>
              </w:rPr>
              <w:t>provided</w:t>
            </w:r>
            <w:r>
              <w:rPr/>
              <w:t xml:space="preserve"> that any lock-up securities received upon such exercise, vesting or settlement shall be subject to the terms of the lock-up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(iii)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establishment by lock-up parties of trading plans under Rule 10b5-1 under the Exchange Act for the transfer of the lock-up securities, </w:t>
            </w:r>
            <w:r>
              <w:rPr>
                <w:u w:val="single"/>
              </w:rPr>
              <w:t>provided</w:t>
            </w:r>
            <w:r>
              <w:rPr/>
              <w:t xml:space="preserve"> that (1) such plan does not provide for the transfer of lock-up securities during the restricted period and (2) no filing by any party under the Exchange Act or other public announcement shall be made voluntarily in connection with such trading plan during the restricted period and if any filing under Section 16(a) of the Exchange Act, or other public filing, report or announcement shall be legally required during the restricted period, such filing, report or announcement shall clearly indicate in the footnotes thereto and the nature and conditions of such establishment. </w:t>
            </w:r>
          </w:p>
        </w:tc>
      </w:tr>
    </w:tbl>
    <w:p>
      <w:pPr>
        <w:pStyle w:val="TextBody"/>
        <w:bidi w:val="0"/>
        <w:spacing w:before="160" w:after="0"/>
        <w:jc w:val="left"/>
        <w:rPr>
          <w:rFonts w:ascii="Arial" w:hAnsi="Arial"/>
          <w:sz w:val="20"/>
        </w:rPr>
      </w:pPr>
      <w:r>
        <w:rPr>
          <w:rFonts w:ascii="Arial" w:hAnsi="Arial"/>
          <w:sz w:val="20"/>
        </w:rPr>
        <w:t xml:space="preserve">J.P. Morgan Securities LLC, in its sole discretion, may release the securities subject to any of the lock-up agreements with the underwriters described above, in whole or in part at any time. </w:t>
      </w:r>
    </w:p>
    <w:p>
      <w:pPr>
        <w:pStyle w:val="TextBody"/>
        <w:bidi w:val="0"/>
        <w:spacing w:before="160" w:after="0"/>
        <w:jc w:val="left"/>
        <w:rPr>
          <w:rFonts w:ascii="Arial" w:hAnsi="Arial"/>
          <w:sz w:val="20"/>
        </w:rPr>
      </w:pPr>
      <w:r>
        <w:rPr>
          <w:rFonts w:ascii="Arial" w:hAnsi="Arial"/>
          <w:sz w:val="20"/>
        </w:rPr>
        <w:t xml:space="preserve">We have agreed to indemnify the underwriters against certain liabilities, including liabilities under the Securities Act. </w:t>
      </w:r>
    </w:p>
    <w:p>
      <w:pPr>
        <w:pStyle w:val="TextBody"/>
        <w:bidi w:val="0"/>
        <w:spacing w:before="160" w:after="0"/>
        <w:jc w:val="left"/>
        <w:rPr>
          <w:rFonts w:ascii="Arial" w:hAnsi="Arial"/>
          <w:sz w:val="20"/>
        </w:rPr>
      </w:pPr>
      <w:r>
        <w:rPr>
          <w:rFonts w:ascii="Arial" w:hAnsi="Arial"/>
          <w:sz w:val="20"/>
        </w:rPr>
        <w:t xml:space="preserve">Our common stock is listed on the Nasdaq Global Select Market under the symbol “ERAS.” </w:t>
      </w:r>
    </w:p>
    <w:p>
      <w:pPr>
        <w:pStyle w:val="TextBody"/>
        <w:bidi w:val="0"/>
        <w:spacing w:before="160" w:after="0"/>
        <w:jc w:val="left"/>
        <w:rPr>
          <w:rFonts w:ascii="Arial" w:hAnsi="Arial"/>
          <w:sz w:val="20"/>
        </w:rPr>
      </w:pPr>
      <w:r>
        <w:rPr>
          <w:rFonts w:ascii="Arial" w:hAnsi="Arial"/>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160" w:after="0"/>
        <w:jc w:val="left"/>
        <w:rPr>
          <w:rFonts w:ascii="Arial" w:hAnsi="Arial"/>
          <w:sz w:val="20"/>
        </w:rPr>
      </w:pPr>
      <w:r>
        <w:rPr>
          <w:rFonts w:ascii="Arial" w:hAnsi="Arial"/>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160" w:after="0"/>
        <w:jc w:val="left"/>
        <w:rPr>
          <w:rFonts w:ascii="Arial" w:hAnsi="Arial"/>
          <w:sz w:val="20"/>
        </w:rPr>
      </w:pPr>
      <w:r>
        <w:rPr>
          <w:rFonts w:ascii="Arial" w:hAnsi="Arial"/>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 </w:t>
      </w:r>
    </w:p>
    <w:p>
      <w:pPr>
        <w:pStyle w:val="TextBody"/>
        <w:bidi w:val="0"/>
        <w:spacing w:before="320" w:after="0"/>
        <w:jc w:val="left"/>
        <w:rPr>
          <w:rFonts w:ascii="Arial" w:hAnsi="Arial"/>
          <w:b/>
          <w:sz w:val="24"/>
        </w:rPr>
      </w:pPr>
      <w:r>
        <w:rPr>
          <w:rFonts w:ascii="Arial" w:hAnsi="Arial"/>
          <w:b/>
          <w:sz w:val="24"/>
        </w:rPr>
        <w:t xml:space="preserve">Other relationships </w:t>
      </w:r>
    </w:p>
    <w:p>
      <w:pPr>
        <w:pStyle w:val="TextBody"/>
        <w:bidi w:val="0"/>
        <w:spacing w:before="160" w:after="0"/>
        <w:jc w:val="left"/>
        <w:rPr>
          <w:rFonts w:ascii="Arial" w:hAnsi="Arial"/>
          <w:sz w:val="20"/>
        </w:rPr>
      </w:pPr>
      <w:r>
        <w:rPr>
          <w:rFonts w:ascii="Arial" w:hAnsi="Arial"/>
          <w:sz w:val="20"/>
        </w:rPr>
        <w:t xml:space="preserve">Certain of the underwriters and their affiliates have </w:t>
      </w:r>
      <w:r>
        <w:rPr>
          <w:rFonts w:ascii="Arial" w:hAnsi="Arial"/>
          <w:sz w:val="20"/>
          <w:u w:val="single"/>
        </w:rPr>
        <w:t>provided</w:t>
      </w:r>
      <w:r>
        <w:rPr>
          <w:rFonts w:ascii="Arial" w:hAnsi="Arial"/>
          <w:sz w:val="20"/>
        </w:rPr>
        <w:t xml:space="preserve">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For example, we entered into the Sales Agreement with Jefferies LLC as the sales agent, as amended from time to time, and pursuant to which we may offer and sell shares of our common stock through Jefferies LLC in an “at the market offering” as defined in Rule 415(a)(4) promulgated under the Securities Act.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For example, certain of the underwriters also served as underwriters in our public offerings in 2024 and January 2026. </w:t>
      </w:r>
    </w:p>
    <w:p>
      <w:pPr>
        <w:pStyle w:val="TextBody"/>
        <w:bidi w:val="0"/>
        <w:spacing w:before="320" w:after="0"/>
        <w:jc w:val="left"/>
        <w:rPr>
          <w:rFonts w:ascii="Arial" w:hAnsi="Arial"/>
          <w:b/>
          <w:sz w:val="24"/>
        </w:rPr>
      </w:pPr>
      <w:r>
        <w:rPr>
          <w:rFonts w:ascii="Arial" w:hAnsi="Arial"/>
          <w:b/>
          <w:sz w:val="24"/>
        </w:rPr>
        <w:t xml:space="preserve">Selling restrictions </w:t>
      </w:r>
    </w:p>
    <w:p>
      <w:pPr>
        <w:pStyle w:val="TextBody"/>
        <w:bidi w:val="0"/>
        <w:spacing w:before="160" w:after="0"/>
        <w:jc w:val="left"/>
        <w:rPr>
          <w:rFonts w:ascii="Arial" w:hAnsi="Arial"/>
          <w:sz w:val="20"/>
        </w:rPr>
      </w:pPr>
      <w:r>
        <w:rPr>
          <w:rFonts w:ascii="Arial" w:hAnsi="Arial"/>
          <w:sz w:val="20"/>
        </w:rPr>
        <w:t xml:space="preserve">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this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 </w:t>
      </w:r>
    </w:p>
    <w:p>
      <w:pPr>
        <w:pStyle w:val="TextBody"/>
        <w:bidi w:val="0"/>
        <w:spacing w:before="160" w:after="0"/>
        <w:jc w:val="left"/>
        <w:rPr>
          <w:rFonts w:ascii="Arial" w:hAnsi="Arial"/>
          <w:b/>
          <w:i/>
          <w:sz w:val="20"/>
        </w:rPr>
      </w:pPr>
      <w:r>
        <w:rPr>
          <w:rFonts w:ascii="Arial" w:hAnsi="Arial"/>
          <w:b/>
          <w:i/>
          <w:sz w:val="20"/>
        </w:rPr>
        <w:t xml:space="preserve">Notice to prospective investors in the European Economic Area </w:t>
      </w:r>
    </w:p>
    <w:p>
      <w:pPr>
        <w:pStyle w:val="TextBody"/>
        <w:bidi w:val="0"/>
        <w:spacing w:before="160" w:after="0"/>
        <w:jc w:val="left"/>
        <w:rPr>
          <w:rFonts w:ascii="Arial" w:hAnsi="Arial"/>
          <w:sz w:val="20"/>
        </w:rPr>
      </w:pPr>
      <w:r>
        <w:rPr>
          <w:rFonts w:ascii="Arial" w:hAnsi="Arial"/>
          <w:sz w:val="20"/>
        </w:rPr>
        <w:t xml:space="preserve">In relation to each Member State of the European Economic Area, each a Relevant State, no shares of common stock have been offered or will be offered pursuant to this offering to the public in that Relevant State prior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 </w:t>
      </w:r>
    </w:p>
    <w:p>
      <w:pPr>
        <w:pStyle w:val="TextBody"/>
        <w:bidi w:val="0"/>
        <w:spacing w:before="160" w:after="0"/>
        <w:jc w:val="left"/>
        <w:rPr>
          <w:rFonts w:ascii="Arial" w:hAnsi="Arial"/>
          <w:sz w:val="20"/>
        </w:rPr>
      </w:pPr>
      <w:r>
        <w:rPr>
          <w:rFonts w:ascii="Arial" w:hAnsi="Arial"/>
          <w:sz w:val="20"/>
        </w:rPr>
        <w:t xml:space="preserve">(a) to any legal entity which is a qualified investor as defined under Article 2 of the Prospectus Regulation; (b) to fewer than 150 natural or legal persons (other than qualified investors as defined under Article 2 of the Prospectus Regulation), subject to obtaining the prior consent of the underwriters; or (c) in any other circumstances falling within Article 1(4) of the Prospectus Regulation, </w:t>
      </w:r>
    </w:p>
    <w:p>
      <w:pPr>
        <w:pStyle w:val="TextBody"/>
        <w:bidi w:val="0"/>
        <w:spacing w:before="160" w:after="0"/>
        <w:jc w:val="left"/>
        <w:rPr>
          <w:rFonts w:ascii="Arial" w:hAnsi="Arial"/>
          <w:sz w:val="20"/>
        </w:rPr>
      </w:pPr>
      <w:r>
        <w:rPr>
          <w:rFonts w:ascii="Arial" w:hAnsi="Arial"/>
          <w:sz w:val="20"/>
        </w:rPr>
        <w:t xml:space="preserve">provided that no such offer of shares of common stock shall require us or any underwriter to publish a prospectus pursuant to Article 3 of the Prospectus Regulation or supplement a prospectus pursuant to Article 23 of the Prospectus Regulation, and each person who initially acquires any shares of common stock or to whom any offer is made will be deemed to have represented, acknowledged and agreed to and with each of the underwriters and us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 </w:t>
      </w:r>
    </w:p>
    <w:p>
      <w:pPr>
        <w:pStyle w:val="TextBody"/>
        <w:bidi w:val="0"/>
        <w:spacing w:before="160" w:after="0"/>
        <w:jc w:val="left"/>
        <w:rPr>
          <w:rFonts w:ascii="Arial" w:hAnsi="Arial"/>
          <w:b/>
          <w:i/>
          <w:sz w:val="20"/>
        </w:rPr>
      </w:pPr>
      <w:r>
        <w:rPr>
          <w:rFonts w:ascii="Arial" w:hAnsi="Arial"/>
          <w:b/>
          <w:i/>
          <w:sz w:val="20"/>
        </w:rPr>
        <w:t xml:space="preserve">Notice to prospective investors in the United Kingdom </w:t>
      </w:r>
    </w:p>
    <w:p>
      <w:pPr>
        <w:pStyle w:val="TextBody"/>
        <w:bidi w:val="0"/>
        <w:spacing w:before="160" w:after="0"/>
        <w:jc w:val="left"/>
        <w:rPr>
          <w:rFonts w:ascii="Arial" w:hAnsi="Arial"/>
          <w:sz w:val="20"/>
        </w:rPr>
      </w:pPr>
      <w:r>
        <w:rPr>
          <w:rFonts w:ascii="Arial" w:hAnsi="Arial"/>
          <w:sz w:val="20"/>
        </w:rPr>
        <w:t xml:space="preserve">No shares of our common stock have been offered or will be offered pursuant to this offering to the public in the United Kingdom prior to the publication of a prospectus in relation to the shares of our common stock which has been approved by the Financial Conduct Authority, except that the shares of our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(ii)</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(iv)</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(iii) to fewer than 150 persons (other than qualified investors as defined in paragraph 15 of Schedule 1 of the POATR), subject to obtaining the prior consent of the underwriters for any such offer; or in any other circumstances falling within Part 1 of Schedule 1 of the POATR. </w:t>
            </w:r>
          </w:p>
        </w:tc>
      </w:tr>
    </w:tbl>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buy or subscribe for the securities and the expression “POATR” means the Public Offers and Admissions to Trading Regulations 2024. </w:t>
      </w:r>
    </w:p>
    <w:p>
      <w:pPr>
        <w:pStyle w:val="TextBody"/>
        <w:bidi w:val="0"/>
        <w:spacing w:before="160" w:after="0"/>
        <w:jc w:val="left"/>
        <w:rPr>
          <w:rFonts w:ascii="Arial" w:hAnsi="Arial"/>
          <w:sz w:val="20"/>
        </w:rPr>
      </w:pPr>
      <w:r>
        <w:rPr>
          <w:rFonts w:ascii="Arial" w:hAnsi="Arial"/>
          <w:sz w:val="20"/>
        </w:rPr>
        <w:t xml:space="preserve">This prospectus supplement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falling within (1)–(3) together being referred to as “relevant persons”). The securities are only available to, and any invitation, offer or agreement to subscribe, purchase or otherwise acquire the securities will be engaged in only with, relevant persons. Any person who is not a relevant person should not act or rely on this prospectus supplement or any of its contents. </w:t>
      </w:r>
    </w:p>
    <w:p>
      <w:pPr>
        <w:pStyle w:val="TextBody"/>
        <w:bidi w:val="0"/>
        <w:spacing w:before="160" w:after="0"/>
        <w:jc w:val="left"/>
        <w:rPr>
          <w:rFonts w:ascii="Arial" w:hAnsi="Arial"/>
          <w:b/>
          <w:i/>
          <w:sz w:val="20"/>
        </w:rPr>
      </w:pPr>
      <w:r>
        <w:rPr>
          <w:rFonts w:ascii="Arial" w:hAnsi="Arial"/>
          <w:b/>
          <w:i/>
          <w:sz w:val="20"/>
        </w:rPr>
        <w:t xml:space="preserve">Notice to prospective investors in Canada </w:t>
      </w:r>
    </w:p>
    <w:p>
      <w:pPr>
        <w:pStyle w:val="TextBody"/>
        <w:bidi w:val="0"/>
        <w:spacing w:before="160" w:after="0"/>
        <w:jc w:val="left"/>
        <w:rPr>
          <w:rFonts w:ascii="Arial" w:hAnsi="Arial"/>
          <w:sz w:val="20"/>
        </w:rPr>
      </w:pPr>
      <w:r>
        <w:rPr>
          <w:rFonts w:ascii="Arial" w:hAnsi="Arial"/>
          <w:sz w:val="20"/>
        </w:rPr>
        <w:t xml:space="preserve">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 </w:t>
      </w:r>
    </w:p>
    <w:p>
      <w:pPr>
        <w:pStyle w:val="TextBody"/>
        <w:bidi w:val="0"/>
        <w:spacing w:before="16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16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160" w:after="0"/>
        <w:jc w:val="left"/>
        <w:rPr>
          <w:rFonts w:ascii="Arial" w:hAnsi="Arial"/>
          <w:b/>
          <w:i/>
          <w:sz w:val="20"/>
        </w:rPr>
      </w:pPr>
      <w:r>
        <w:rPr>
          <w:rFonts w:ascii="Arial" w:hAnsi="Arial"/>
          <w:b/>
          <w:i/>
          <w:sz w:val="20"/>
        </w:rPr>
        <w:t xml:space="preserve">Notice to prospective investors in Switzerland </w:t>
      </w:r>
    </w:p>
    <w:p>
      <w:pPr>
        <w:pStyle w:val="TextBody"/>
        <w:bidi w:val="0"/>
        <w:spacing w:before="160" w:after="0"/>
        <w:jc w:val="left"/>
        <w:rPr>
          <w:rFonts w:ascii="Arial" w:hAnsi="Arial"/>
          <w:sz w:val="20"/>
        </w:rPr>
      </w:pPr>
      <w:r>
        <w:rPr>
          <w:rFonts w:ascii="Arial" w:hAnsi="Arial"/>
          <w:sz w:val="20"/>
        </w:rPr>
        <w:t xml:space="preserve">This prospectus supplement does not constitute an offer to the public or a solicitation to purchase or invest in any shares of our common stock. No shares of our common stock have been offered or will be offered to the public in Switzerland, except that offers of shares of our common stock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fewer than 500 persons (other than professional clients as defined under the FinSA), subject to obtaining the prior consent of the representatives of the underwriters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Article 36 FinSA in connection with Article 44 of the Swiss Financial Services Ordinance, </w:t>
            </w:r>
          </w:p>
        </w:tc>
      </w:tr>
    </w:tbl>
    <w:p>
      <w:pPr>
        <w:pStyle w:val="TextBody"/>
        <w:bidi w:val="0"/>
        <w:spacing w:before="160" w:after="0"/>
        <w:jc w:val="left"/>
        <w:rPr>
          <w:rFonts w:ascii="Arial" w:hAnsi="Arial"/>
          <w:sz w:val="20"/>
        </w:rPr>
      </w:pPr>
      <w:r>
        <w:rPr>
          <w:rFonts w:ascii="Arial" w:hAnsi="Arial"/>
          <w:i/>
          <w:sz w:val="20"/>
        </w:rPr>
        <w:t>provided that</w:t>
      </w:r>
      <w:r>
        <w:rPr>
          <w:rFonts w:ascii="Arial" w:hAnsi="Arial"/>
          <w:sz w:val="20"/>
        </w:rPr>
        <w:t xml:space="preserve"> no such offer of shares of our common stock shall require us or any investment bank to publish a prospectus pursuant to Article 35 FinSA.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listed or admitted to trading on a trading venue in Switzerland.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Neither this prospectus supplement nor any other offering or marketing material relating to the shares of our common stock constitutes a prospectus as such term is understood pursuant to the FinSA and neither this prospectus supplement nor any other offering or marketing material relating to the shares of our common stock may be publicly distributed or otherwise made publicly available in Switzerland. </w:t>
      </w:r>
    </w:p>
    <w:p>
      <w:pPr>
        <w:pStyle w:val="TextBody"/>
        <w:bidi w:val="0"/>
        <w:spacing w:before="160" w:after="0"/>
        <w:jc w:val="left"/>
        <w:rPr>
          <w:rFonts w:ascii="Arial" w:hAnsi="Arial"/>
          <w:b/>
          <w:i/>
          <w:sz w:val="20"/>
        </w:rPr>
      </w:pPr>
      <w:r>
        <w:rPr>
          <w:rFonts w:ascii="Arial" w:hAnsi="Arial"/>
          <w:b/>
          <w:i/>
          <w:sz w:val="20"/>
        </w:rPr>
        <w:t xml:space="preserve">Notice to prospective investors in the Dubai International Financial Centre </w:t>
      </w:r>
    </w:p>
    <w:p>
      <w:pPr>
        <w:pStyle w:val="TextBody"/>
        <w:bidi w:val="0"/>
        <w:spacing w:before="160" w:after="0"/>
        <w:jc w:val="left"/>
        <w:rPr>
          <w:rFonts w:ascii="Arial" w:hAnsi="Arial"/>
          <w:sz w:val="20"/>
        </w:rPr>
      </w:pPr>
      <w:r>
        <w:rPr>
          <w:rFonts w:ascii="Arial" w:hAnsi="Arial"/>
          <w:sz w:val="20"/>
        </w:rPr>
        <w:t xml:space="preserve">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160" w:after="0"/>
        <w:jc w:val="left"/>
        <w:rPr>
          <w:rFonts w:ascii="Arial" w:hAnsi="Arial"/>
          <w:sz w:val="20"/>
        </w:rPr>
      </w:pPr>
      <w:r>
        <w:rPr>
          <w:rFonts w:ascii="Arial" w:hAnsi="Arial"/>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160" w:after="0"/>
        <w:jc w:val="left"/>
        <w:rPr>
          <w:rFonts w:ascii="Arial" w:hAnsi="Arial"/>
          <w:b/>
          <w:i/>
          <w:sz w:val="20"/>
        </w:rPr>
      </w:pPr>
      <w:r>
        <w:rPr>
          <w:rFonts w:ascii="Arial" w:hAnsi="Arial"/>
          <w:b/>
          <w:i/>
          <w:sz w:val="20"/>
        </w:rPr>
        <w:t xml:space="preserve">Notice to prospective investors in the United Arab Emirates </w:t>
      </w:r>
    </w:p>
    <w:p>
      <w:pPr>
        <w:pStyle w:val="TextBody"/>
        <w:bidi w:val="0"/>
        <w:spacing w:before="160" w:after="0"/>
        <w:jc w:val="left"/>
        <w:rPr>
          <w:rFonts w:ascii="Arial" w:hAnsi="Arial"/>
          <w:sz w:val="20"/>
        </w:rPr>
      </w:pPr>
      <w:r>
        <w:rPr>
          <w:rFonts w:ascii="Arial" w:hAnsi="Arial"/>
          <w:sz w:val="20"/>
        </w:rPr>
        <w:t xml:space="preserve">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or the DFSA. </w:t>
      </w:r>
    </w:p>
    <w:p>
      <w:pPr>
        <w:pStyle w:val="TextBody"/>
        <w:bidi w:val="0"/>
        <w:spacing w:before="320" w:after="0"/>
        <w:jc w:val="left"/>
        <w:rPr>
          <w:rFonts w:ascii="Arial" w:hAnsi="Arial"/>
          <w:b/>
          <w:i/>
          <w:sz w:val="20"/>
        </w:rPr>
      </w:pPr>
      <w:r>
        <w:rPr>
          <w:rFonts w:ascii="Arial" w:hAnsi="Arial"/>
          <w:b/>
          <w:i/>
          <w:sz w:val="20"/>
        </w:rPr>
        <w:t xml:space="preserve">Notice to prospective investors in Australia </w:t>
      </w:r>
    </w:p>
    <w:p>
      <w:pPr>
        <w:pStyle w:val="TextBody"/>
        <w:bidi w:val="0"/>
        <w:spacing w:before="160" w:after="0"/>
        <w:jc w:val="left"/>
        <w:rPr>
          <w:rFonts w:ascii="Arial" w:hAnsi="Arial"/>
          <w:sz w:val="20"/>
        </w:rPr>
      </w:pPr>
      <w:r>
        <w:rPr>
          <w:rFonts w:ascii="Arial" w:hAnsi="Arial"/>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does not constitute a disclosure document or a prospectus under Chapter 6D.2 of the Corporations Act 2001 (Cth), or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may only be provided in Australia to select investors who are able to demonstrate that they fall within one or more of the categories of investors, available under section 708 of the Corporations Act, the “Exempt Investors. </w:t>
            </w:r>
          </w:p>
        </w:tc>
      </w:tr>
    </w:tbl>
    <w:p>
      <w:pPr>
        <w:pStyle w:val="TextBody"/>
        <w:bidi w:val="0"/>
        <w:spacing w:before="160" w:after="0"/>
        <w:jc w:val="left"/>
        <w:rPr>
          <w:rFonts w:ascii="Arial" w:hAnsi="Arial"/>
          <w:sz w:val="20"/>
        </w:rPr>
      </w:pPr>
      <w:r>
        <w:rPr>
          <w:rFonts w:ascii="Arial" w:hAnsi="Arial"/>
          <w:sz w:val="20"/>
        </w:rPr>
        <w:t xml:space="preserve">The shares of our common stock may not be directly or indirectly offered for subscription or purchased or sold, and no invitations to subscribe for or buy the shares of our common stock may be issued, and no draft or definitive offering memorandum, advertisement or other offering material relating to any shares of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common stock may be distributed in Australia, except where disclosure to investors is not required under Chapter 6D of the Corporations Act or is otherwise in compliance with all applicable Australian laws and regulations. By submitting an application for the shares of our common stock, you represent and warrant to us that you are an Exempt Investor. </w:t>
      </w:r>
    </w:p>
    <w:p>
      <w:pPr>
        <w:pStyle w:val="TextBody"/>
        <w:bidi w:val="0"/>
        <w:spacing w:before="160" w:after="0"/>
        <w:jc w:val="left"/>
        <w:rPr>
          <w:rFonts w:ascii="Arial" w:hAnsi="Arial"/>
          <w:sz w:val="20"/>
        </w:rPr>
      </w:pPr>
      <w:r>
        <w:rPr>
          <w:rFonts w:ascii="Arial" w:hAnsi="Arial"/>
          <w:sz w:val="20"/>
        </w:rPr>
        <w:t xml:space="preserve">As any offer of shares of our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you undertake to us that you will not, for a period of 12 months from the date of issue of the shares, offer, transfer, assign or otherwise alienate those shares of our common stock to investors in Australia except in circumstances where disclosure to investors is not required under Chapter 6D.2 of the Corporations Act or where a compliant disclosure document is prepared and lodged with ASIC. </w:t>
      </w:r>
    </w:p>
    <w:p>
      <w:pPr>
        <w:pStyle w:val="TextBody"/>
        <w:bidi w:val="0"/>
        <w:spacing w:before="160" w:after="0"/>
        <w:jc w:val="left"/>
        <w:rPr>
          <w:rFonts w:ascii="Arial" w:hAnsi="Arial"/>
          <w:b/>
          <w:i/>
          <w:sz w:val="20"/>
        </w:rPr>
      </w:pPr>
      <w:r>
        <w:rPr>
          <w:rFonts w:ascii="Arial" w:hAnsi="Arial"/>
          <w:b/>
          <w:i/>
          <w:sz w:val="20"/>
        </w:rPr>
        <w:t xml:space="preserve">Notice to prospective investors in Japan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pursuant to Article 4, Paragraph 1 of the Financial Instruments and Exchange Act. Accordingly, none of the shares of our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160" w:after="0"/>
        <w:jc w:val="left"/>
        <w:rPr>
          <w:rFonts w:ascii="Arial" w:hAnsi="Arial"/>
          <w:b/>
          <w:i/>
          <w:sz w:val="20"/>
        </w:rPr>
      </w:pPr>
      <w:r>
        <w:rPr>
          <w:rFonts w:ascii="Arial" w:hAnsi="Arial"/>
          <w:b/>
          <w:i/>
          <w:sz w:val="20"/>
        </w:rPr>
        <w:t xml:space="preserve">Notice to prospective investors in Hong Kong </w:t>
      </w:r>
    </w:p>
    <w:p>
      <w:pPr>
        <w:pStyle w:val="TextBody"/>
        <w:bidi w:val="0"/>
        <w:spacing w:before="160" w:after="0"/>
        <w:jc w:val="left"/>
        <w:rPr>
          <w:rFonts w:ascii="Arial" w:hAnsi="Arial"/>
          <w:sz w:val="20"/>
        </w:rPr>
      </w:pPr>
      <w:r>
        <w:rPr>
          <w:rFonts w:ascii="Arial" w:hAnsi="Arial"/>
          <w:sz w:val="20"/>
        </w:rPr>
        <w:t xml:space="preserve">The shares of our common stock have not been offered or sold and will not be offered or sold in Hong Kong, by means of any document, other than (a) to “professional investors” as defined in the Securities and Futures Ordinance (Cap. 571 of the Laws of Hong Kong)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of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of our common stock which are or are intended to be disposed of only to persons outside Hong Kong or only to “professional investors” as defined in the SFO and any rules made thereunder. </w:t>
      </w:r>
    </w:p>
    <w:p>
      <w:pPr>
        <w:pStyle w:val="TextBody"/>
        <w:bidi w:val="0"/>
        <w:spacing w:before="160" w:after="0"/>
        <w:jc w:val="left"/>
        <w:rPr>
          <w:rFonts w:ascii="Arial" w:hAnsi="Arial"/>
          <w:b/>
          <w:i/>
          <w:sz w:val="20"/>
        </w:rPr>
      </w:pPr>
      <w:r>
        <w:rPr>
          <w:rFonts w:ascii="Arial" w:hAnsi="Arial"/>
          <w:b/>
          <w:i/>
          <w:sz w:val="20"/>
        </w:rPr>
        <w:t xml:space="preserve">Notice to prospective investors in Singapore </w:t>
      </w:r>
    </w:p>
    <w:p>
      <w:pPr>
        <w:pStyle w:val="TextBody"/>
        <w:bidi w:val="0"/>
        <w:spacing w:before="160" w:after="0"/>
        <w:jc w:val="left"/>
        <w:rPr>
          <w:rFonts w:ascii="Arial" w:hAnsi="Arial"/>
          <w:sz w:val="20"/>
        </w:rPr>
      </w:pPr>
      <w:r>
        <w:rPr>
          <w:rFonts w:ascii="Arial" w:hAnsi="Arial"/>
          <w:sz w:val="20"/>
        </w:rPr>
        <w:t xml:space="preserve">This prospectus supplement has not been registered as a prospectus with the Monetary Authority of Singapore. Accordingly, no shares of common stock have been or will be offered or sold and no shares of common stock have been or will be made the subject of an invitation for subscription or purchase, and no prospectus supplement or any other document or material in connection with the offer or sale, or invitation for subscription or purchase, of the shares of common stock, has been or will be circulated or distributed,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(i)</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 institutional investor (as defined in Section 4A of the Securities and Futures Act (Chapter 289) of Singapore, as modified or amended from time to time (SFA)) pursuant to Section 274 of the SFA;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(iii)</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otherwise pursuant to, and in accordance with the conditions of, any other applicable provision of the SFA. </w:t>
            </w:r>
          </w:p>
        </w:tc>
      </w:tr>
    </w:tbl>
    <w:p>
      <w:pPr>
        <w:pStyle w:val="TextBody"/>
        <w:bidi w:val="0"/>
        <w:spacing w:before="160" w:after="0"/>
        <w:jc w:val="left"/>
        <w:rPr>
          <w:rFonts w:ascii="Arial" w:hAnsi="Arial"/>
          <w:sz w:val="20"/>
        </w:rPr>
      </w:pPr>
      <w:r>
        <w:rPr>
          <w:rFonts w:ascii="Arial" w:hAnsi="Arial"/>
          <w:sz w:val="20"/>
        </w:rPr>
        <w:t xml:space="preserve">Singapore SFA Product Classification—In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160" w:after="0"/>
        <w:jc w:val="left"/>
        <w:rPr>
          <w:rFonts w:ascii="Arial" w:hAnsi="Arial"/>
          <w:b/>
          <w:i/>
          <w:sz w:val="20"/>
        </w:rPr>
      </w:pPr>
      <w:r>
        <w:rPr>
          <w:rFonts w:ascii="Arial" w:hAnsi="Arial"/>
          <w:b/>
          <w:i/>
          <w:sz w:val="20"/>
        </w:rPr>
        <w:t xml:space="preserve">Notice to prospective investors in Bermuda </w:t>
      </w:r>
    </w:p>
    <w:p>
      <w:pPr>
        <w:pStyle w:val="TextBody"/>
        <w:bidi w:val="0"/>
        <w:spacing w:before="160" w:after="0"/>
        <w:jc w:val="left"/>
        <w:rPr>
          <w:rFonts w:ascii="Arial" w:hAnsi="Arial"/>
          <w:sz w:val="20"/>
        </w:rPr>
      </w:pPr>
      <w:r>
        <w:rPr>
          <w:rFonts w:ascii="Arial" w:hAnsi="Arial"/>
          <w:sz w:val="20"/>
        </w:rPr>
        <w:t xml:space="preserve">Shares of our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160" w:after="0"/>
        <w:jc w:val="left"/>
        <w:rPr>
          <w:rFonts w:ascii="Arial" w:hAnsi="Arial"/>
          <w:b/>
          <w:i/>
          <w:sz w:val="20"/>
        </w:rPr>
      </w:pPr>
      <w:r>
        <w:rPr>
          <w:rFonts w:ascii="Arial" w:hAnsi="Arial"/>
          <w:b/>
          <w:i/>
          <w:sz w:val="20"/>
        </w:rPr>
        <w:t xml:space="preserve">Notice to prospective investors in Saudi Arabia </w:t>
      </w:r>
    </w:p>
    <w:p>
      <w:pPr>
        <w:pStyle w:val="TextBody"/>
        <w:bidi w:val="0"/>
        <w:spacing w:before="160" w:after="0"/>
        <w:jc w:val="left"/>
        <w:rPr>
          <w:rFonts w:ascii="Arial" w:hAnsi="Arial"/>
          <w:sz w:val="20"/>
        </w:rPr>
      </w:pPr>
      <w:r>
        <w:rPr>
          <w:rFonts w:ascii="Arial" w:hAnsi="Arial"/>
          <w:sz w:val="20"/>
        </w:rPr>
        <w:t xml:space="preserve">This prospectus supplement may not be distributed in the Kingdom of Saudi Arabia except to such persons as are permitted under the Rules on the Offer of Securities Regulations as issued by the board of the Saudi Arabian Capital Market Authority (CMA), pursuant to resolution number 3-123-2017 dated December 27, 2017,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relating to the securities. If you do not understand the contents of this prospectus supplement, you should consult an authorized financial adviser. </w:t>
      </w:r>
    </w:p>
    <w:p>
      <w:pPr>
        <w:pStyle w:val="TextBody"/>
        <w:bidi w:val="0"/>
        <w:spacing w:before="160" w:after="0"/>
        <w:jc w:val="left"/>
        <w:rPr>
          <w:rFonts w:ascii="Arial" w:hAnsi="Arial"/>
          <w:b/>
          <w:i/>
          <w:sz w:val="20"/>
        </w:rPr>
      </w:pPr>
      <w:r>
        <w:rPr>
          <w:rFonts w:ascii="Arial" w:hAnsi="Arial"/>
          <w:b/>
          <w:i/>
          <w:sz w:val="20"/>
        </w:rPr>
        <w:t xml:space="preserve">Notice to prospective investors in the British Virgin Islands </w:t>
      </w:r>
    </w:p>
    <w:p>
      <w:pPr>
        <w:pStyle w:val="TextBody"/>
        <w:bidi w:val="0"/>
        <w:spacing w:before="160" w:after="0"/>
        <w:jc w:val="left"/>
        <w:rPr>
          <w:rFonts w:ascii="Arial" w:hAnsi="Arial"/>
          <w:sz w:val="20"/>
        </w:rPr>
      </w:pPr>
      <w:r>
        <w:rPr>
          <w:rFonts w:ascii="Arial" w:hAnsi="Arial"/>
          <w:sz w:val="20"/>
        </w:rPr>
        <w:t xml:space="preserve">The shares are not being, and may not be offered to the public or to any person in the British Virgin Islands for purchase or subscription by or on behalf of our company. The shares of our common stock may be offered to companies incorporated under the BVI Business Companies Act, 2004 (British Virgin Islands) (BVI Companies), but only where the offer will be made to, and received by, the relevant BVI Company entirely outside of the British Virgin Islands. </w:t>
      </w:r>
    </w:p>
    <w:p>
      <w:pPr>
        <w:pStyle w:val="TextBody"/>
        <w:bidi w:val="0"/>
        <w:spacing w:before="160" w:after="0"/>
        <w:jc w:val="left"/>
        <w:rPr>
          <w:rFonts w:ascii="Arial" w:hAnsi="Arial"/>
          <w:b/>
          <w:i/>
          <w:sz w:val="20"/>
        </w:rPr>
      </w:pPr>
      <w:r>
        <w:rPr>
          <w:rFonts w:ascii="Arial" w:hAnsi="Arial"/>
          <w:b/>
          <w:i/>
          <w:sz w:val="20"/>
        </w:rPr>
        <w:t xml:space="preserve">Notice to prospective investors in China </w:t>
      </w:r>
    </w:p>
    <w:p>
      <w:pPr>
        <w:pStyle w:val="TextBody"/>
        <w:bidi w:val="0"/>
        <w:spacing w:before="160" w:after="0"/>
        <w:jc w:val="left"/>
        <w:rPr>
          <w:rFonts w:ascii="Arial" w:hAnsi="Arial"/>
          <w:sz w:val="20"/>
        </w:rPr>
      </w:pPr>
      <w:r>
        <w:rPr>
          <w:rFonts w:ascii="Arial" w:hAnsi="Arial"/>
          <w:sz w:val="20"/>
        </w:rPr>
        <w:t xml:space="preserve">This prospectus supplement will not be circulated or distributed in the PRC and the shares of our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 </w:t>
      </w:r>
    </w:p>
    <w:p>
      <w:pPr>
        <w:pStyle w:val="TextBody"/>
        <w:bidi w:val="0"/>
        <w:spacing w:before="160" w:after="0"/>
        <w:jc w:val="left"/>
        <w:rPr>
          <w:rFonts w:ascii="Arial" w:hAnsi="Arial"/>
          <w:b/>
          <w:i/>
          <w:sz w:val="20"/>
        </w:rPr>
      </w:pPr>
      <w:r>
        <w:rPr>
          <w:rFonts w:ascii="Arial" w:hAnsi="Arial"/>
          <w:b/>
          <w:i/>
          <w:sz w:val="20"/>
        </w:rPr>
        <w:t xml:space="preserve">Notice to prospective investors in Korea </w:t>
      </w:r>
    </w:p>
    <w:p>
      <w:pPr>
        <w:pStyle w:val="TextBody"/>
        <w:bidi w:val="0"/>
        <w:spacing w:before="160" w:after="0"/>
        <w:jc w:val="left"/>
        <w:rPr>
          <w:rFonts w:ascii="Arial" w:hAnsi="Arial"/>
          <w:sz w:val="20"/>
        </w:rPr>
      </w:pPr>
      <w:r>
        <w:rPr>
          <w:rFonts w:ascii="Arial" w:hAnsi="Arial"/>
          <w:sz w:val="20"/>
        </w:rPr>
        <w:t xml:space="preserve">The shares have not been and will not be registered under the Financial Investments Services and Capital Markets Act of Korea and the decrees and regulations thereunder (FSCMA), and the shares have been and will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The shares have not been listed on any of securities exchanges in the world including, without limitation, the Korea Exchange in Korea. Furthermore, the purchaser of the shares of our common stock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 </w:t>
      </w:r>
    </w:p>
    <w:p>
      <w:pPr>
        <w:pStyle w:val="TextBody"/>
        <w:bidi w:val="0"/>
        <w:spacing w:before="160" w:after="0"/>
        <w:jc w:val="left"/>
        <w:rPr>
          <w:rFonts w:ascii="Arial" w:hAnsi="Arial"/>
          <w:b/>
          <w:i/>
          <w:sz w:val="20"/>
        </w:rPr>
      </w:pPr>
      <w:r>
        <w:rPr>
          <w:rFonts w:ascii="Arial" w:hAnsi="Arial"/>
          <w:b/>
          <w:i/>
          <w:sz w:val="20"/>
        </w:rPr>
        <w:t xml:space="preserve">Notice to prospective investors in Malaysia </w:t>
      </w:r>
    </w:p>
    <w:p>
      <w:pPr>
        <w:pStyle w:val="TextBody"/>
        <w:bidi w:val="0"/>
        <w:spacing w:before="160" w:after="0"/>
        <w:jc w:val="left"/>
        <w:rPr>
          <w:rFonts w:ascii="Arial" w:hAnsi="Arial"/>
          <w:sz w:val="20"/>
        </w:rPr>
      </w:pPr>
      <w:r>
        <w:rPr>
          <w:rFonts w:ascii="Arial" w:hAnsi="Arial"/>
          <w:sz w:val="20"/>
        </w:rPr>
        <w:t xml:space="preserve">No prospectus or other offering material or document in connection with the offer and sale of the shares has been or will be registered with the Securities Commission of Malaysia (the Malaysian Commission), for the Malaysian Commission’s approval pursuant to the Capital Markets and Services Act 2007.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Malaysian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Malaysian Commission; provided that, in the each of the preceding categories (i) to (xi), the distribution of the shares is made by a 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Malaysian Commission under the Capital Markets and Services Act 2007. </w:t>
      </w:r>
    </w:p>
    <w:p>
      <w:pPr>
        <w:pStyle w:val="TextBody"/>
        <w:bidi w:val="0"/>
        <w:spacing w:before="160" w:after="0"/>
        <w:jc w:val="left"/>
        <w:rPr>
          <w:rFonts w:ascii="Arial" w:hAnsi="Arial"/>
          <w:b/>
          <w:i/>
          <w:sz w:val="20"/>
        </w:rPr>
      </w:pPr>
      <w:r>
        <w:rPr>
          <w:rFonts w:ascii="Arial" w:hAnsi="Arial"/>
          <w:b/>
          <w:i/>
          <w:sz w:val="20"/>
        </w:rPr>
        <w:t xml:space="preserve">Notice to prospective investors in Taiwan </w:t>
      </w:r>
    </w:p>
    <w:p>
      <w:pPr>
        <w:pStyle w:val="TextBody"/>
        <w:bidi w:val="0"/>
        <w:spacing w:before="160" w:after="0"/>
        <w:jc w:val="left"/>
        <w:rPr>
          <w:rFonts w:ascii="Arial" w:hAnsi="Arial"/>
          <w:sz w:val="20"/>
        </w:rPr>
      </w:pPr>
      <w:r>
        <w:rPr>
          <w:rFonts w:ascii="Arial" w:hAnsi="Arial"/>
          <w:sz w:val="20"/>
        </w:rPr>
        <w:t xml:space="preserve">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20"/>
        </w:rPr>
      </w:pPr>
      <w:r>
        <w:rPr>
          <w:rFonts w:ascii="Arial" w:hAnsi="Arial"/>
          <w:b/>
          <w:i/>
          <w:sz w:val="20"/>
        </w:rPr>
        <w:t xml:space="preserve">Notice to prospective investors in South Africa </w:t>
      </w:r>
    </w:p>
    <w:p>
      <w:pPr>
        <w:pStyle w:val="TextBody"/>
        <w:bidi w:val="0"/>
        <w:spacing w:before="160" w:after="0"/>
        <w:jc w:val="left"/>
        <w:rPr>
          <w:rFonts w:ascii="Arial" w:hAnsi="Arial"/>
          <w:sz w:val="20"/>
        </w:rPr>
      </w:pPr>
      <w:r>
        <w:rPr>
          <w:rFonts w:ascii="Arial" w:hAnsi="Arial"/>
          <w:sz w:val="20"/>
        </w:rPr>
        <w:t>Due to restrictions under the securities laws of South Africa, no “</w:t>
      </w:r>
      <w:r>
        <w:rPr>
          <w:rFonts w:ascii="Arial" w:hAnsi="Arial"/>
          <w:i/>
          <w:sz w:val="20"/>
        </w:rPr>
        <w:t>offer to the public</w:t>
      </w:r>
      <w:r>
        <w:rPr>
          <w:rFonts w:ascii="Arial" w:hAnsi="Arial"/>
          <w:sz w:val="20"/>
        </w:rPr>
        <w:t>” (as such term is defined in the South African Companies Act, No. 71 of 2008 (as amended or re-enacted)), or the South African Companies Act, is being made in connection with the issue of the shares in South Africa. Accordingly, this prospectus supplement does not, nor is it intended to, constitute a “</w:t>
      </w:r>
      <w:r>
        <w:rPr>
          <w:rFonts w:ascii="Arial" w:hAnsi="Arial"/>
          <w:i/>
          <w:sz w:val="20"/>
        </w:rPr>
        <w:t>registered prospectus</w:t>
      </w:r>
      <w:r>
        <w:rPr>
          <w:rFonts w:ascii="Arial" w:hAnsi="Arial"/>
          <w:sz w:val="20"/>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0"/>
        <w:gridCol w:w="210"/>
        <w:gridCol w:w="8345"/>
      </w:tblGrid>
      <w:tr>
        <w:trPr/>
        <w:tc>
          <w:tcPr>
            <w:tcW w:w="165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345" w:type="dxa"/>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Section 96 (1) (a)</w:t>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283"/>
              <w:jc w:val="left"/>
              <w:rPr/>
            </w:pPr>
            <w:r>
              <w:rPr/>
              <w:t>the offer, transfer, sale, renunciation or delivery is to:</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(i)   persons whose ordinary business, or part of whose ordinary business, is to deal in securities, as principal or agent;</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(ii)    the South African Public Investment Corporation;</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(iii)   persons or entities regulated by the Reserve Bank of South Africa;</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(iv)   authorised financial service providers under South African law;</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(v)    financial institutions recognised as such under South African law;</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(vi)   a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(vii)   any combination of the person in (i) to (vi); or</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Section 96 (1) (b)</w:t>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283"/>
              <w:jc w:val="left"/>
              <w:rPr/>
            </w:pPr>
            <w:r>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tc>
      </w:tr>
    </w:tbl>
    <w:p>
      <w:pPr>
        <w:pStyle w:val="TextBody"/>
        <w:bidi w:val="0"/>
        <w:spacing w:before="160" w:after="0"/>
        <w:jc w:val="left"/>
        <w:rPr>
          <w:rFonts w:ascii="Arial" w:hAnsi="Arial"/>
          <w:sz w:val="20"/>
        </w:rPr>
      </w:pPr>
      <w:r>
        <w:rPr>
          <w:rFonts w:ascii="Arial" w:hAnsi="Arial"/>
          <w:sz w:val="20"/>
        </w:rPr>
        <w:t xml:space="preserve">Information made available in this prospectus supplement should not be considered as “advice” as defined in the South African Financial Advisory and Intermediary Services Act, 2002. </w:t>
      </w:r>
    </w:p>
    <w:p>
      <w:pPr>
        <w:pStyle w:val="TextBody"/>
        <w:bidi w:val="0"/>
        <w:spacing w:before="160" w:after="0"/>
        <w:jc w:val="left"/>
        <w:rPr>
          <w:rFonts w:ascii="Arial" w:hAnsi="Arial"/>
          <w:b/>
          <w:i/>
          <w:sz w:val="20"/>
        </w:rPr>
      </w:pPr>
      <w:r>
        <w:rPr>
          <w:rFonts w:ascii="Arial" w:hAnsi="Arial"/>
          <w:b/>
          <w:i/>
          <w:sz w:val="20"/>
        </w:rPr>
        <w:t xml:space="preserve">Notice to prospective investors in Israel </w:t>
      </w:r>
    </w:p>
    <w:p>
      <w:pPr>
        <w:pStyle w:val="TextBody"/>
        <w:bidi w:val="0"/>
        <w:spacing w:before="160" w:after="0"/>
        <w:jc w:val="left"/>
        <w:rPr>
          <w:rFonts w:ascii="Arial" w:hAnsi="Arial"/>
          <w:sz w:val="20"/>
        </w:rPr>
      </w:pPr>
      <w:r>
        <w:rPr>
          <w:rFonts w:ascii="Arial" w:hAnsi="Arial"/>
          <w:sz w:val="20"/>
        </w:rPr>
        <w:t xml:space="preserve">In the State of Israel this prospectus supplement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5728—1968. We have not and will not distribute this prospectus supplement or make, distribute or direct an offer to subscribe for our shares of common stock to any person within the State of Israel, other than to Qualified Investors and up to 35 Addressed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Investors. Qualified Investors may have to submit written evidence that they meet the definitions set out in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1" w:name="supptoc116467_8"/>
      <w:bookmarkEnd w:id="11"/>
      <w:r>
        <w:rPr>
          <w:rFonts w:ascii="Arial" w:hAnsi="Arial"/>
          <w:b/>
          <w:sz w:val="32"/>
        </w:rPr>
        <w:t xml:space="preserve">Legal matters </w:t>
      </w:r>
    </w:p>
    <w:p>
      <w:pPr>
        <w:pStyle w:val="TextBody"/>
        <w:bidi w:val="0"/>
        <w:spacing w:before="160" w:after="0"/>
        <w:jc w:val="left"/>
        <w:rPr>
          <w:rFonts w:ascii="Arial" w:hAnsi="Arial"/>
          <w:sz w:val="20"/>
        </w:rPr>
      </w:pPr>
      <w:r>
        <w:rPr>
          <w:rFonts w:ascii="Arial" w:hAnsi="Arial"/>
          <w:sz w:val="20"/>
        </w:rPr>
        <w:t xml:space="preserve">Latham &amp; Watkins LLP, San Diego, California, will pass upon certain legal matters relating to the issuance and sale of the securities offered hereby on behalf of Erasca, Inc. Latham &amp; Watkins LLP and certain attorneys in the firm who have rendered, and will continue to render, legal services to us, own shares of our common stock representing in the aggregate less than one percent of the shares of our common stock outstanding. The underwriters are being represented in connection with this offering by Cooley LLP, San Diego, California. </w:t>
      </w:r>
    </w:p>
    <w:p>
      <w:pPr>
        <w:pStyle w:val="TextBody"/>
        <w:bidi w:val="0"/>
        <w:spacing w:before="160" w:after="0"/>
        <w:jc w:val="left"/>
        <w:rPr>
          <w:rFonts w:ascii="Arial" w:hAnsi="Arial"/>
          <w:b/>
          <w:sz w:val="32"/>
        </w:rPr>
      </w:pPr>
      <w:bookmarkStart w:id="12" w:name="supptoc116467_9"/>
      <w:bookmarkEnd w:id="12"/>
      <w:r>
        <w:rPr>
          <w:rFonts w:ascii="Arial" w:hAnsi="Arial"/>
          <w:b/>
          <w:sz w:val="32"/>
        </w:rPr>
        <w:t xml:space="preserve">Experts </w:t>
      </w:r>
    </w:p>
    <w:p>
      <w:pPr>
        <w:pStyle w:val="TextBody"/>
        <w:bidi w:val="0"/>
        <w:spacing w:before="160" w:after="0"/>
        <w:jc w:val="left"/>
        <w:rPr>
          <w:rFonts w:ascii="Arial" w:hAnsi="Arial"/>
          <w:sz w:val="20"/>
        </w:rPr>
      </w:pPr>
      <w:r>
        <w:rPr>
          <w:rFonts w:ascii="Arial" w:hAnsi="Arial"/>
          <w:sz w:val="20"/>
        </w:rPr>
        <w:t xml:space="preserve">The consolidated financial statements of Erasca, Inc. as of December 31, 2025 and 2024,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3" w:name="supptoc116467_10"/>
      <w:bookmarkEnd w:id="13"/>
      <w:r>
        <w:rPr>
          <w:rFonts w:ascii="Arial" w:hAnsi="Arial"/>
          <w:b/>
          <w:sz w:val="32"/>
        </w:rPr>
        <w:t xml:space="preserve">Where you can find more information; incorporation by reference </w:t>
      </w:r>
    </w:p>
    <w:p>
      <w:pPr>
        <w:pStyle w:val="TextBody"/>
        <w:bidi w:val="0"/>
        <w:spacing w:before="160" w:after="0"/>
        <w:jc w:val="left"/>
        <w:rPr>
          <w:rFonts w:ascii="Arial" w:hAnsi="Arial"/>
          <w:b/>
          <w:sz w:val="24"/>
        </w:rPr>
      </w:pPr>
      <w:r>
        <w:rPr>
          <w:rFonts w:ascii="Arial" w:hAnsi="Arial"/>
          <w:b/>
          <w:sz w:val="24"/>
        </w:rPr>
        <w:t xml:space="preserve">Available information </w:t>
      </w:r>
    </w:p>
    <w:p>
      <w:pPr>
        <w:pStyle w:val="TextBody"/>
        <w:bidi w:val="0"/>
        <w:spacing w:before="160" w:after="0"/>
        <w:jc w:val="left"/>
        <w:rPr>
          <w:rFonts w:ascii="Arial" w:hAnsi="Arial"/>
          <w:sz w:val="20"/>
        </w:rPr>
      </w:pPr>
      <w:r>
        <w:rPr>
          <w:rFonts w:ascii="Arial" w:hAnsi="Arial"/>
          <w:sz w:val="20"/>
        </w:rPr>
        <w:t xml:space="preserve">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 </w:t>
      </w:r>
    </w:p>
    <w:p>
      <w:pPr>
        <w:pStyle w:val="TextBody"/>
        <w:bidi w:val="0"/>
        <w:spacing w:before="160" w:after="0"/>
        <w:jc w:val="left"/>
        <w:rPr>
          <w:rFonts w:ascii="Arial" w:hAnsi="Arial"/>
          <w:sz w:val="20"/>
        </w:rPr>
      </w:pPr>
      <w:r>
        <w:rPr>
          <w:rFonts w:ascii="Arial" w:hAnsi="Arial"/>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before="160" w:after="0"/>
        <w:jc w:val="left"/>
        <w:rPr>
          <w:rFonts w:ascii="Arial" w:hAnsi="Arial"/>
          <w:sz w:val="20"/>
        </w:rPr>
      </w:pPr>
      <w:r>
        <w:rPr>
          <w:rFonts w:ascii="Arial" w:hAnsi="Arial"/>
          <w:sz w:val="20"/>
        </w:rPr>
        <w:t xml:space="preserve">Our website address is www.erasca.com. The information on, or accessible through, our website is not part of, and is not incorporated into, this prospectus supplement or the accompanying prospectus and should not be considered part of this prospectus supplement or the accompanying prospectus. </w:t>
      </w:r>
    </w:p>
    <w:p>
      <w:pPr>
        <w:pStyle w:val="TextBody"/>
        <w:bidi w:val="0"/>
        <w:spacing w:before="320" w:after="0"/>
        <w:jc w:val="left"/>
        <w:rPr>
          <w:rFonts w:ascii="Arial" w:hAnsi="Arial"/>
          <w:b/>
          <w:sz w:val="24"/>
        </w:rPr>
      </w:pPr>
      <w:r>
        <w:rPr>
          <w:rFonts w:ascii="Arial" w:hAnsi="Arial"/>
          <w:b/>
          <w:sz w:val="24"/>
        </w:rPr>
        <w:t xml:space="preserve">Incorporation by reference </w:t>
      </w:r>
    </w:p>
    <w:p>
      <w:pPr>
        <w:pStyle w:val="TextBody"/>
        <w:bidi w:val="0"/>
        <w:spacing w:before="160" w:after="0"/>
        <w:jc w:val="left"/>
        <w:rPr>
          <w:rFonts w:ascii="Arial" w:hAnsi="Arial"/>
          <w:sz w:val="20"/>
        </w:rPr>
      </w:pPr>
      <w:r>
        <w:rPr>
          <w:rFonts w:ascii="Arial" w:hAnsi="Arial"/>
          <w:sz w:val="20"/>
        </w:rPr>
        <w:t xml:space="preserve">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and the accompanying prospectus to the extent that a statement contained in this prospectus supplement, the accompanying prospectus, or a subsequently filed document incorporated by reference modifies or replaces that statement.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rFonts w:ascii="Arial" w:hAnsi="Arial"/>
                <w:sz w:val="20"/>
              </w:rPr>
              <w:t xml:space="preserve">our Annual Report on </w:t>
            </w:r>
            <w:hyperlink r:id="rId3">
              <w:r>
                <w:rPr>
                  <w:rStyle w:val="InternetLink"/>
                  <w:rFonts w:ascii="Arial" w:hAnsi="Arial"/>
                  <w:sz w:val="20"/>
                </w:rPr>
                <w:t>Form 10-K</w:t>
              </w:r>
            </w:hyperlink>
            <w:r>
              <w:rPr>
                <w:rFonts w:ascii="Arial" w:hAnsi="Arial"/>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rFonts w:ascii="Arial" w:hAnsi="Arial"/>
                <w:sz w:val="20"/>
              </w:rPr>
              <w:t xml:space="preserve">the information specifically incorporated by reference into our Annual Report on Form 10-K from our Definitive Proxy Statement on </w:t>
            </w:r>
            <w:hyperlink r:id="rId4">
              <w:r>
                <w:rPr>
                  <w:rStyle w:val="InternetLink"/>
                  <w:rFonts w:ascii="Arial" w:hAnsi="Arial"/>
                  <w:sz w:val="20"/>
                </w:rPr>
                <w:t>Schedule 14A</w:t>
              </w:r>
            </w:hyperlink>
            <w:r>
              <w:rPr>
                <w:rFonts w:ascii="Arial" w:hAnsi="Arial"/>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rFonts w:ascii="Arial" w:hAnsi="Arial"/>
                <w:sz w:val="20"/>
              </w:rPr>
              <w:t xml:space="preserve">our Quarterly Report on </w:t>
            </w:r>
            <w:hyperlink r:id="rId5">
              <w:r>
                <w:rPr>
                  <w:rStyle w:val="InternetLink"/>
                  <w:rFonts w:ascii="Arial" w:hAnsi="Arial"/>
                  <w:sz w:val="20"/>
                </w:rPr>
                <w:t>Form 10-Q</w:t>
              </w:r>
            </w:hyperlink>
            <w:r>
              <w:rPr>
                <w:rFonts w:ascii="Arial" w:hAnsi="Arial"/>
                <w:sz w:val="20"/>
              </w:rPr>
              <w:t xml:space="preserve"> for the quarter ended March 31, 2026, filed with the SEC on May 11,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rFonts w:ascii="Arial" w:hAnsi="Arial"/>
                <w:sz w:val="20"/>
              </w:rPr>
              <w:t xml:space="preserve">our Current Reports on Form 8-K, filed with the SEC on </w:t>
            </w:r>
            <w:hyperlink r:id="rId6">
              <w:r>
                <w:rPr>
                  <w:rStyle w:val="InternetLink"/>
                  <w:rFonts w:ascii="Arial" w:hAnsi="Arial"/>
                  <w:sz w:val="20"/>
                </w:rPr>
                <w:t>January 12, 2026</w:t>
              </w:r>
            </w:hyperlink>
            <w:r>
              <w:rPr>
                <w:rFonts w:ascii="Arial" w:hAnsi="Arial"/>
                <w:sz w:val="20"/>
              </w:rPr>
              <w:t xml:space="preserve">, </w:t>
            </w:r>
            <w:hyperlink r:id="rId7">
              <w:r>
                <w:rPr>
                  <w:rStyle w:val="InternetLink"/>
                  <w:rFonts w:ascii="Arial" w:hAnsi="Arial"/>
                  <w:sz w:val="20"/>
                </w:rPr>
                <w:t>January  22, 2026</w:t>
              </w:r>
            </w:hyperlink>
            <w:r>
              <w:rPr>
                <w:rFonts w:ascii="Arial" w:hAnsi="Arial"/>
                <w:sz w:val="20"/>
              </w:rPr>
              <w:t xml:space="preserve">, </w:t>
            </w:r>
            <w:hyperlink r:id="rId8">
              <w:r>
                <w:rPr>
                  <w:rStyle w:val="InternetLink"/>
                  <w:rFonts w:ascii="Arial" w:hAnsi="Arial"/>
                  <w:sz w:val="20"/>
                </w:rPr>
                <w:t>January  29, 2026</w:t>
              </w:r>
            </w:hyperlink>
            <w:r>
              <w:rPr>
                <w:rFonts w:ascii="Arial" w:hAnsi="Arial"/>
                <w:sz w:val="20"/>
              </w:rPr>
              <w:t xml:space="preserve">, </w:t>
            </w:r>
            <w:hyperlink r:id="rId9">
              <w:r>
                <w:rPr>
                  <w:rStyle w:val="InternetLink"/>
                  <w:rFonts w:ascii="Arial" w:hAnsi="Arial"/>
                  <w:sz w:val="20"/>
                </w:rPr>
                <w:t>April  21, 2026</w:t>
              </w:r>
            </w:hyperlink>
            <w:r>
              <w:rPr>
                <w:rFonts w:ascii="Arial" w:hAnsi="Arial"/>
                <w:sz w:val="20"/>
              </w:rPr>
              <w:t xml:space="preserve">, </w:t>
            </w:r>
            <w:hyperlink r:id="rId10">
              <w:r>
                <w:rPr>
                  <w:rStyle w:val="InternetLink"/>
                  <w:rFonts w:ascii="Arial" w:hAnsi="Arial"/>
                  <w:sz w:val="20"/>
                </w:rPr>
                <w:t>April 27, 2026</w:t>
              </w:r>
            </w:hyperlink>
            <w:r>
              <w:rPr>
                <w:rFonts w:ascii="Arial" w:hAnsi="Arial"/>
                <w:sz w:val="20"/>
              </w:rPr>
              <w:t xml:space="preserve">, </w:t>
            </w:r>
            <w:hyperlink r:id="rId11">
              <w:r>
                <w:rPr>
                  <w:rStyle w:val="InternetLink"/>
                  <w:rFonts w:ascii="Arial" w:hAnsi="Arial"/>
                  <w:sz w:val="20"/>
                </w:rPr>
                <w:t>April 27, 2026</w:t>
              </w:r>
            </w:hyperlink>
            <w:r>
              <w:rPr>
                <w:rFonts w:ascii="Arial" w:hAnsi="Arial"/>
                <w:sz w:val="20"/>
              </w:rPr>
              <w:t xml:space="preserve">, </w:t>
            </w:r>
            <w:hyperlink r:id="rId12">
              <w:r>
                <w:rPr>
                  <w:rStyle w:val="InternetLink"/>
                  <w:rFonts w:ascii="Arial" w:hAnsi="Arial"/>
                  <w:sz w:val="20"/>
                </w:rPr>
                <w:t>July  1, 2026</w:t>
              </w:r>
            </w:hyperlink>
            <w:r>
              <w:rPr>
                <w:rFonts w:ascii="Arial" w:hAnsi="Arial"/>
                <w:sz w:val="20"/>
              </w:rPr>
              <w:t xml:space="preserve"> and </w:t>
            </w:r>
            <w:hyperlink r:id="rId13">
              <w:r>
                <w:rPr>
                  <w:rStyle w:val="InternetLink"/>
                  <w:rFonts w:ascii="Arial" w:hAnsi="Arial"/>
                  <w:sz w:val="20"/>
                </w:rPr>
                <w:t>July 13, 2026</w:t>
              </w:r>
            </w:hyperlink>
            <w:r>
              <w:rPr>
                <w:rFonts w:ascii="Arial" w:hAnsi="Arial"/>
                <w:sz w:val="20"/>
              </w:rPr>
              <w:t xml:space="preserve"> (in each case, to the extent information therein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rFonts w:ascii="Arial" w:hAnsi="Arial"/>
                <w:sz w:val="20"/>
              </w:rPr>
              <w:t xml:space="preserve">the description of our common stock contained in the registration statement on </w:t>
            </w:r>
            <w:hyperlink r:id="rId14">
              <w:r>
                <w:rPr>
                  <w:rStyle w:val="InternetLink"/>
                  <w:rFonts w:ascii="Arial" w:hAnsi="Arial"/>
                  <w:sz w:val="20"/>
                </w:rPr>
                <w:t>Form 8-A</w:t>
              </w:r>
            </w:hyperlink>
            <w:r>
              <w:rPr>
                <w:rFonts w:ascii="Arial" w:hAnsi="Arial"/>
                <w:sz w:val="20"/>
              </w:rPr>
              <w:t xml:space="preserve">, filed with the SEC on July 13, 2021, and any amendment or report filed with the SEC for the purpose of updating the description. </w:t>
            </w:r>
          </w:p>
        </w:tc>
      </w:tr>
    </w:tbl>
    <w:p>
      <w:pPr>
        <w:pStyle w:val="TextBody"/>
        <w:bidi w:val="0"/>
        <w:spacing w:before="160" w:after="0"/>
        <w:jc w:val="left"/>
        <w:rPr>
          <w:rFonts w:ascii="Arial" w:hAnsi="Arial"/>
          <w:sz w:val="20"/>
        </w:rPr>
      </w:pPr>
      <w:r>
        <w:rPr>
          <w:rFonts w:ascii="Arial" w:hAnsi="Arial"/>
          <w:sz w:val="20"/>
        </w:rPr>
        <w:t xml:space="preserve">All reports and other documents we subsequently file pursuant to Section 13(a), 13(c), 14 or 15(d) of the Exchange Act prior to the termination of this offering, excluding any information furnished to, rather than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filed with, the SEC, will also be incorporated by reference into this prospectus supplement and the accompanying prospectus and deemed to be part of this prospectus supplement and the accompanying prospectus from the date of the filing of such reports and documents. </w:t>
      </w:r>
    </w:p>
    <w:p>
      <w:pPr>
        <w:pStyle w:val="TextBody"/>
        <w:bidi w:val="0"/>
        <w:spacing w:before="160" w:after="0"/>
        <w:jc w:val="left"/>
        <w:rPr>
          <w:rFonts w:ascii="Arial" w:hAnsi="Arial"/>
          <w:sz w:val="20"/>
        </w:rPr>
      </w:pPr>
      <w:r>
        <w:rPr>
          <w:rFonts w:ascii="Arial" w:hAnsi="Arial"/>
          <w:sz w:val="20"/>
        </w:rPr>
        <w:t xml:space="preserve">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 </w:t>
      </w:r>
    </w:p>
    <w:p>
      <w:pPr>
        <w:pStyle w:val="TextBody"/>
        <w:bidi w:val="0"/>
        <w:spacing w:before="160" w:after="0"/>
        <w:jc w:val="center"/>
        <w:rPr>
          <w:rFonts w:ascii="Arial" w:hAnsi="Arial"/>
          <w:sz w:val="20"/>
        </w:rPr>
      </w:pPr>
      <w:r>
        <w:rPr>
          <w:rFonts w:ascii="Arial" w:hAnsi="Arial"/>
          <w:sz w:val="20"/>
        </w:rPr>
        <w:t xml:space="preserve">Erasca, Inc. </w:t>
      </w:r>
    </w:p>
    <w:p>
      <w:pPr>
        <w:pStyle w:val="TextBody"/>
        <w:bidi w:val="0"/>
        <w:spacing w:before="0" w:after="0"/>
        <w:jc w:val="center"/>
        <w:rPr>
          <w:rFonts w:ascii="Arial" w:hAnsi="Arial"/>
          <w:sz w:val="20"/>
        </w:rPr>
      </w:pPr>
      <w:r>
        <w:rPr>
          <w:rFonts w:ascii="Arial" w:hAnsi="Arial"/>
          <w:sz w:val="20"/>
        </w:rPr>
        <w:t xml:space="preserve">Attention: Corporate Secretary </w:t>
      </w:r>
    </w:p>
    <w:p>
      <w:pPr>
        <w:pStyle w:val="TextBody"/>
        <w:bidi w:val="0"/>
        <w:spacing w:before="0" w:after="0"/>
        <w:jc w:val="center"/>
        <w:rPr>
          <w:rFonts w:ascii="Arial" w:hAnsi="Arial"/>
          <w:sz w:val="20"/>
        </w:rPr>
      </w:pPr>
      <w:r>
        <w:rPr>
          <w:rFonts w:ascii="Arial" w:hAnsi="Arial"/>
          <w:sz w:val="20"/>
        </w:rPr>
        <w:t xml:space="preserve">3115 Merryfield Row, Suite 300 </w:t>
      </w:r>
    </w:p>
    <w:p>
      <w:pPr>
        <w:pStyle w:val="TextBody"/>
        <w:bidi w:val="0"/>
        <w:spacing w:before="0" w:after="0"/>
        <w:jc w:val="center"/>
        <w:rPr>
          <w:rFonts w:ascii="Arial" w:hAnsi="Arial"/>
          <w:sz w:val="20"/>
        </w:rPr>
      </w:pPr>
      <w:r>
        <w:rPr>
          <w:rFonts w:ascii="Arial" w:hAnsi="Arial"/>
          <w:sz w:val="20"/>
        </w:rPr>
        <w:t xml:space="preserve">San Diego, California 92121 </w:t>
      </w:r>
    </w:p>
    <w:p>
      <w:pPr>
        <w:pStyle w:val="TextBody"/>
        <w:bidi w:val="0"/>
        <w:spacing w:before="0" w:after="0"/>
        <w:jc w:val="center"/>
        <w:rPr>
          <w:rFonts w:ascii="Arial" w:hAnsi="Arial"/>
          <w:sz w:val="20"/>
        </w:rPr>
      </w:pPr>
      <w:r>
        <w:rPr>
          <w:rFonts w:ascii="Arial" w:hAnsi="Arial"/>
          <w:sz w:val="20"/>
        </w:rPr>
        <w:t xml:space="preserve">(858) 465-6511 </w:t>
      </w:r>
    </w:p>
    <w:p>
      <w:pPr>
        <w:pStyle w:val="TextBody"/>
        <w:bidi w:val="0"/>
        <w:spacing w:before="160" w:after="0"/>
        <w:jc w:val="left"/>
        <w:rPr>
          <w:rFonts w:ascii="Arial" w:hAnsi="Arial"/>
          <w:sz w:val="20"/>
        </w:rPr>
      </w:pPr>
      <w:r>
        <w:rPr>
          <w:rFonts w:ascii="Arial" w:hAnsi="Arial"/>
          <w:sz w:val="20"/>
        </w:rPr>
        <w:t xml:space="preserve">Exhibits to the filings will not be sent, however, unless those exhibits have specifically been incorporated by reference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328545" cy="3930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328545" cy="3930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xa133579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“ERAS.” On July 10, 2026, the last reported sale price of our common stock on the Nasdaq Global Select Market was $18.53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13,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a1335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2">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3">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5">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15" w:name="txa133579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supplements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“Erasca,” “we,” “our,” “us” and the “Company” in this prospectus, we mean Erasca, Inc. and its subsidiaries,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a133579_2"/>
      <w:bookmarkEnd w:id="16"/>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www.erasca.com. The information on, or accessible through,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17">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8">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11,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9">
              <w:r>
                <w:rPr>
                  <w:rStyle w:val="InternetLink"/>
                  <w:rFonts w:ascii="Times New Roman" w:hAnsi="Times New Roman"/>
                  <w:sz w:val="20"/>
                </w:rPr>
                <w:t>January 12, 2026</w:t>
              </w:r>
            </w:hyperlink>
            <w:r>
              <w:rPr>
                <w:rFonts w:ascii="Times New Roman" w:hAnsi="Times New Roman"/>
                <w:sz w:val="20"/>
              </w:rPr>
              <w:t xml:space="preserve">, </w:t>
            </w:r>
            <w:hyperlink r:id="rId20">
              <w:r>
                <w:rPr>
                  <w:rStyle w:val="InternetLink"/>
                  <w:rFonts w:ascii="Times New Roman" w:hAnsi="Times New Roman"/>
                  <w:sz w:val="20"/>
                </w:rPr>
                <w:t>January  22, 2026</w:t>
              </w:r>
            </w:hyperlink>
            <w:r>
              <w:rPr>
                <w:rFonts w:ascii="Times New Roman" w:hAnsi="Times New Roman"/>
                <w:sz w:val="20"/>
              </w:rPr>
              <w:t xml:space="preserve">, </w:t>
            </w:r>
            <w:hyperlink r:id="rId21">
              <w:r>
                <w:rPr>
                  <w:rStyle w:val="InternetLink"/>
                  <w:rFonts w:ascii="Times New Roman" w:hAnsi="Times New Roman"/>
                  <w:sz w:val="20"/>
                </w:rPr>
                <w:t>January  29, 2026,</w:t>
              </w:r>
            </w:hyperlink>
            <w:r>
              <w:rPr>
                <w:rFonts w:ascii="Times New Roman" w:hAnsi="Times New Roman"/>
                <w:sz w:val="20"/>
              </w:rPr>
              <w:t xml:space="preserve"> </w:t>
            </w:r>
            <w:hyperlink r:id="rId22">
              <w:r>
                <w:rPr>
                  <w:rStyle w:val="InternetLink"/>
                  <w:rFonts w:ascii="Times New Roman" w:hAnsi="Times New Roman"/>
                  <w:sz w:val="20"/>
                </w:rPr>
                <w:t>April  21, 2026</w:t>
              </w:r>
            </w:hyperlink>
            <w:r>
              <w:rPr>
                <w:rFonts w:ascii="Times New Roman" w:hAnsi="Times New Roman"/>
                <w:sz w:val="20"/>
              </w:rPr>
              <w:t xml:space="preserve">, </w:t>
            </w:r>
            <w:hyperlink r:id="rId23">
              <w:r>
                <w:rPr>
                  <w:rStyle w:val="InternetLink"/>
                  <w:rFonts w:ascii="Times New Roman" w:hAnsi="Times New Roman"/>
                  <w:sz w:val="20"/>
                </w:rPr>
                <w:t>April  27, 2026</w:t>
              </w:r>
            </w:hyperlink>
            <w:r>
              <w:rPr>
                <w:rFonts w:ascii="Times New Roman" w:hAnsi="Times New Roman"/>
                <w:sz w:val="20"/>
              </w:rPr>
              <w:t xml:space="preserve">, </w:t>
            </w:r>
            <w:hyperlink r:id="rId24">
              <w:r>
                <w:rPr>
                  <w:rStyle w:val="InternetLink"/>
                  <w:rFonts w:ascii="Times New Roman" w:hAnsi="Times New Roman"/>
                  <w:sz w:val="20"/>
                </w:rPr>
                <w:t>April 27, 2026</w:t>
              </w:r>
            </w:hyperlink>
            <w:r>
              <w:rPr>
                <w:rFonts w:ascii="Times New Roman" w:hAnsi="Times New Roman"/>
                <w:sz w:val="20"/>
              </w:rPr>
              <w:t xml:space="preserve"> and </w:t>
            </w:r>
            <w:hyperlink r:id="rId25">
              <w:r>
                <w:rPr>
                  <w:rStyle w:val="InternetLink"/>
                  <w:rFonts w:ascii="Times New Roman" w:hAnsi="Times New Roman"/>
                  <w:sz w:val="20"/>
                </w:rPr>
                <w:t>July 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6">
              <w:r>
                <w:rPr>
                  <w:rStyle w:val="InternetLink"/>
                  <w:rFonts w:ascii="Times New Roman" w:hAnsi="Times New Roman"/>
                  <w:sz w:val="20"/>
                </w:rPr>
                <w:t>Form 8-A</w:t>
              </w:r>
            </w:hyperlink>
            <w:r>
              <w:rPr>
                <w:rFonts w:ascii="Times New Roman" w:hAnsi="Times New Roman"/>
                <w:sz w:val="20"/>
              </w:rPr>
              <w:t xml:space="preserve">, filed with the SEC on July 13, 2021,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Erasca,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3115 Merryfield Row, Suite 300 </w:t>
      </w:r>
    </w:p>
    <w:p>
      <w:pPr>
        <w:pStyle w:val="TextBody"/>
        <w:bidi w:val="0"/>
        <w:spacing w:before="0" w:after="0"/>
        <w:jc w:val="center"/>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center"/>
        <w:rPr>
          <w:rFonts w:ascii="Times New Roman" w:hAnsi="Times New Roman"/>
          <w:sz w:val="20"/>
        </w:rPr>
      </w:pPr>
      <w:r>
        <w:rPr>
          <w:rFonts w:ascii="Times New Roman" w:hAnsi="Times New Roman"/>
          <w:sz w:val="20"/>
        </w:rPr>
        <w:t xml:space="preserve">(858) 465-6511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a133579_3"/>
      <w:bookmarkEnd w:id="17"/>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 Our pipeline enables us to pursue a systematic, data-driven, portfolio-wide clinical development effort to identify therapeutic approaches with the goal of prolonging survival in numerous patient populations with high unmet medical needs. </w:t>
      </w:r>
    </w:p>
    <w:p>
      <w:pPr>
        <w:pStyle w:val="TextBody"/>
        <w:bidi w:val="0"/>
        <w:spacing w:before="240" w:after="0"/>
        <w:jc w:val="left"/>
        <w:rPr>
          <w:rFonts w:ascii="Times New Roman" w:hAnsi="Times New Roman"/>
          <w:sz w:val="20"/>
        </w:rPr>
      </w:pPr>
      <w:r>
        <w:rPr>
          <w:rFonts w:ascii="Times New Roman" w:hAnsi="Times New Roman"/>
          <w:sz w:val="20"/>
        </w:rPr>
        <w:t xml:space="preserve">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(SAB), which includes the world’s leading experts in the RAS/MAPK pathway, uniquely position us to achieve our bold mission of erasing cancer.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on July 2, 2018. Our principal executive offices are located at 3115 Merryfield Row, Suite 300, San Diego, California 92121, and our telephone number is (858) 465-6511.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a133579_4"/>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a133579_5"/>
      <w:bookmarkEnd w:id="1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and Section 21E of the Exchange Act. All statements other than statements of historical facts contained in this prospectus and the documents incorporated by reference herein,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“would,” “could,”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known and unknown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expressed or implied by our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any forward-looking statement.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a133579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a133579_7"/>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our capital stock. Because it is only a summary, it does not contain all the information that may be important to you and is subject to and qualified in its entirety by reference to our amended and restated certificate of incorporation and amended and restated bylaws, which are filed as exhibits to our most recent Annual Report on Form 10-K and are incorporated by reference herein. We encourage you to read our certificate of incorporation and our bylaws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our authorized capital stock consisted of 800,000,000 shares of common stock, $0.0001 par value per share, and 80,000,000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the heading “Anti-Takeover Effects of Delaware Law and Our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have no preemptive or conversion rights or other subscription rights and there are no redemption or sinking funds provisions applicable to the common stock. The outstanding shares of common stock are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Suite 101, Canton, Massachusetts 02021.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have no outstanding shares of preferred stock. Under the terms of our amended and restated certificate of incorporation, our board of directors has the authority, without further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our stockholders, to issue up to 80,000,000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series, the board of directors is required by the General Corporation Law of the State of Delaware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relating to the class or series of preferred stock being offered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the preferred stock will rank, relating to dividends and upon our liquidation, dissolution or 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stock and to all of our equity securities ranking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the terms of which specifically provide that the equity securities rank on a parity with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the terms of which specifically provide that the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Amended and Restated Stockholders Agreement, dated April 15, 2020, by and among us and certain of our stockholders, certain of our stockholders are entitled to the following rights with respect to the registration of their shares for public resale under the Securities Act. The registration of shares of common stock as a result of the following rights being exercised would enable holders to trade these shares without restriction under the Securities Act when the applicable registration statement is declared effective. </w:t>
      </w:r>
    </w:p>
    <w:p>
      <w:pPr>
        <w:pStyle w:val="TextBody"/>
        <w:bidi w:val="0"/>
        <w:spacing w:before="360" w:after="0"/>
        <w:jc w:val="left"/>
        <w:rPr>
          <w:rFonts w:ascii="Times New Roman" w:hAnsi="Times New Roman"/>
          <w:i/>
          <w:sz w:val="20"/>
        </w:rPr>
      </w:pPr>
      <w:r>
        <w:rPr>
          <w:rFonts w:ascii="Times New Roman" w:hAnsi="Times New Roman"/>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i/>
          <w:sz w:val="20"/>
        </w:rPr>
        <w:t>Form S-1</w:t>
      </w:r>
      <w:r>
        <w:rPr>
          <w:rFonts w:ascii="Times New Roman" w:hAnsi="Times New Roman"/>
          <w:sz w:val="20"/>
        </w:rPr>
        <w:t xml:space="preserve">. If at any time the holders of at least a majority of the registrable securities request in writing that we effect a registration with respect to all or a part of the registrable securities then outstanding where the aggregate price to the public of the offering is $20.0 million or more, we may be required to provide notice to all holders of registrable securities and to use commercially reasonable efforts to effect such registration; provided, however, that we will not be required to effect such a registration if, among other things, within the preceding 12 months, we have already effected two registrations for the holders of registrable securities in response to these demand registration rights. </w:t>
      </w:r>
    </w:p>
    <w:p>
      <w:pPr>
        <w:pStyle w:val="TextBody"/>
        <w:bidi w:val="0"/>
        <w:spacing w:before="240" w:after="0"/>
        <w:jc w:val="left"/>
        <w:rPr>
          <w:rFonts w:ascii="Times New Roman" w:hAnsi="Times New Roman"/>
          <w:sz w:val="20"/>
        </w:rPr>
      </w:pPr>
      <w:r>
        <w:rPr>
          <w:rFonts w:ascii="Times New Roman" w:hAnsi="Times New Roman"/>
          <w:i/>
          <w:sz w:val="20"/>
        </w:rPr>
        <w:t>Form S-3</w:t>
      </w:r>
      <w:r>
        <w:rPr>
          <w:rFonts w:ascii="Times New Roman" w:hAnsi="Times New Roman"/>
          <w:sz w:val="20"/>
        </w:rPr>
        <w:t xml:space="preserve">. If at any time the holders of the registrable securities request in writing that we effect a registration with respect to all or a part of the registrable securities then outstanding where the price to the public of the offering is $5.0 million or more, we may be required to provide notice to all holders of registrable securities and to use commercially reasonable efforts to effect such registration; provided, however, that we will not be required to effect such a registration if, among other things, within the preceding 12 months, we have already effected two registrations on Form S-3 for the holders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holders requesting registration intend to distribute their shares by means of an underwriting, the underwriter of such offering will have the right to limit the numbers of shares to be underwritten for reasons related to the marketing of the shares. </w:t>
      </w:r>
    </w:p>
    <w:p>
      <w:pPr>
        <w:pStyle w:val="TextBody"/>
        <w:bidi w:val="0"/>
        <w:spacing w:before="360" w:after="0"/>
        <w:jc w:val="left"/>
        <w:rPr>
          <w:rFonts w:ascii="Times New Roman" w:hAnsi="Times New Roman"/>
          <w:i/>
          <w:sz w:val="20"/>
        </w:rPr>
      </w:pPr>
      <w:r>
        <w:rPr>
          <w:rFonts w:ascii="Times New Roman" w:hAnsi="Times New Roman"/>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i/>
          <w:sz w:val="20"/>
        </w:rPr>
      </w:pPr>
      <w:r>
        <w:rPr>
          <w:rFonts w:ascii="Times New Roman" w:hAnsi="Times New Roman"/>
          <w:i/>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terminate in August 2026.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80,000,000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of directors, chief executive officer or president, or by a resolution adopted by a majority of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serve for a three-year term, with one class being elected each year by our stockholders. This system of electing directors may tend to discourage a third party from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Exchange Act. Furthermore, our amended and restated certificate of incorporation will also provide that unless we consent in writing to the selection of an alternative forum, the federal district courts of the United States shall be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any person or entity purchasing or otherwise acquiring any interest in shares of our capital stock will be deemed to have notice of and to have consented to this choice of forum provision.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a133579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“Erasca,” “we,” “our” or “us” refer to Erasca, Inc., excluding our subsidiaries,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Erasca)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Erasca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Erasca;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a133579_9"/>
      <w:bookmarkEnd w:id="23"/>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warrants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a133579_10"/>
      <w:bookmarkEnd w:id="24"/>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a133579_11"/>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a133579_12"/>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San Diego, California, will pass upon certain legal matters relating to the issuance and sale of the securities offered hereby on behalf of Erasca, Inc. Latham &amp; Watkins LLP and certain attorneys in the firm who have rendered, and will continue to render, legal services to us, own shares of our common stock representing in the aggregate less than one percent of the shares of our common stock outstanding.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7" w:name="txa133579_13"/>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Erasca, Inc. as of December 31, 2025 and 2024,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960" w:after="0"/>
        <w:jc w:val="center"/>
        <w:rPr>
          <w:rFonts w:ascii="Arial" w:hAnsi="Arial"/>
          <w:b/>
          <w:i/>
          <w:sz w:val="36"/>
        </w:rPr>
      </w:pPr>
      <w:r>
        <w:rPr>
          <w:rFonts w:ascii="Arial" w:hAnsi="Arial"/>
          <w:b/>
          <w:i/>
          <w:sz w:val="36"/>
        </w:rPr>
        <w:t xml:space="preserve">31,428,572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08860" cy="3860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2308860" cy="386080"/>
                    </a:xfrm>
                    <a:prstGeom prst="rect">
                      <a:avLst/>
                    </a:prstGeom>
                  </pic:spPr>
                </pic:pic>
              </a:graphicData>
            </a:graphic>
          </wp:inline>
        </w:drawing>
      </w:r>
      <w:r>
        <w:rPr/>
        <w:t xml:space="preserve"> </w:t>
      </w:r>
    </w:p>
    <w:p>
      <w:pPr>
        <w:pStyle w:val="TextBody"/>
        <w:bidi w:val="0"/>
        <w:spacing w:before="720" w:after="0"/>
        <w:jc w:val="center"/>
        <w:rPr>
          <w:rFonts w:ascii="Arial" w:hAnsi="Arial"/>
          <w:b/>
          <w:i/>
          <w:sz w:val="36"/>
        </w:rPr>
      </w:pPr>
      <w:r>
        <w:rPr>
          <w:rFonts w:ascii="Arial" w:hAnsi="Arial"/>
          <w:b/>
          <w:i/>
          <w:sz w:val="36"/>
        </w:rPr>
        <w:t xml:space="preserve">Common stock </w:t>
      </w:r>
    </w:p>
    <w:p>
      <w:pPr>
        <w:pStyle w:val="TextBody"/>
        <w:bidi w:val="0"/>
        <w:spacing w:before="720" w:after="0"/>
        <w:jc w:val="center"/>
        <w:rPr>
          <w:rFonts w:ascii="Arial" w:hAnsi="Arial"/>
          <w:b/>
          <w:sz w:val="48"/>
        </w:rPr>
      </w:pPr>
      <w:r>
        <w:rPr>
          <w:rFonts w:ascii="Arial" w:hAnsi="Arial"/>
          <w:b/>
          <w:sz w:val="48"/>
        </w:rPr>
        <w:t xml:space="preserve">Prospectus supplement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1"/>
        <w:gridCol w:w="101"/>
        <w:gridCol w:w="3266"/>
        <w:gridCol w:w="102"/>
        <w:gridCol w:w="2449"/>
        <w:gridCol w:w="102"/>
        <w:gridCol w:w="2144"/>
      </w:tblGrid>
      <w:tr>
        <w:trPr/>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sz w:val="28"/>
              </w:rPr>
            </w:pPr>
            <w:r>
              <w:rPr>
                <w:b/>
                <w:sz w:val="28"/>
              </w:rPr>
              <w:t>J.P. Morgan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sz w:val="28"/>
              </w:rPr>
            </w:pPr>
            <w:r>
              <w:rPr>
                <w:b/>
                <w:sz w:val="28"/>
              </w:rPr>
              <w:t>Morgan Stanley</w:t>
            </w:r>
          </w:p>
        </w:tc>
        <w:tc>
          <w:tcPr>
            <w:tcW w:w="102"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center"/>
              <w:rPr>
                <w:b/>
              </w:rPr>
            </w:pPr>
            <w:r>
              <w:rPr>
                <w:b/>
              </w:rPr>
              <w:t>Jefferies</w:t>
            </w:r>
          </w:p>
        </w:tc>
        <w:tc>
          <w:tcPr>
            <w:tcW w:w="102"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right"/>
              <w:rPr>
                <w:b/>
                <w:sz w:val="28"/>
              </w:rPr>
            </w:pPr>
            <w:r>
              <w:rPr>
                <w:b/>
                <w:sz w:val="28"/>
              </w:rPr>
              <w:t>Evercore ISI</w:t>
            </w:r>
          </w:p>
        </w:tc>
      </w:tr>
    </w:tbl>
    <w:p>
      <w:pPr>
        <w:pStyle w:val="TextBody"/>
        <w:bidi w:val="0"/>
        <w:spacing w:before="1200" w:after="0"/>
        <w:jc w:val="left"/>
        <w:rPr>
          <w:rFonts w:ascii="Arial" w:hAnsi="Arial"/>
          <w:sz w:val="20"/>
        </w:rPr>
      </w:pPr>
      <w:r>
        <w:rPr>
          <w:rFonts w:ascii="Arial" w:hAnsi="Arial"/>
          <w:sz w:val="20"/>
        </w:rPr>
        <w:t xml:space="preserve">July 13, 2026 </w:t>
      </w:r>
    </w:p>
    <w:p>
      <w:pPr>
        <w:pStyle w:val="Normal"/>
        <w:bidi w:val="0"/>
        <w:spacing w:before="0" w:after="0"/>
        <w:jc w:val="left"/>
        <w:rPr>
          <w:sz w:val="4"/>
          <w:szCs w:val="4"/>
        </w:rPr>
      </w:pPr>
      <w:r>
        <w:rPr>
          <w:sz w:val="4"/>
          <w:szCs w:val="4"/>
        </w:rPr>
      </w:r>
      <w:bookmarkStart w:id="28" w:name="d116467dexfilingfees.htm"/>
      <w:bookmarkStart w:id="29" w:name="ksd116467dexfilingfees"/>
      <w:bookmarkStart w:id="30" w:name="d116467dexfilingfees.htm"/>
      <w:bookmarkStart w:id="31" w:name="ksd116467dexfilingfees"/>
      <w:bookmarkEnd w:id="30"/>
      <w:bookmarkEnd w:id="31"/>
      <w:r>
        <w:br w:type="page"/>
      </w:r>
    </w:p>
    <w:tbl>
      <w:tblPr>
        <w:tblW w:w="3549" w:type="dxa"/>
        <w:jc w:val="left"/>
        <w:tblInd w:w="0" w:type="dxa"/>
        <w:tblLayout w:type="fixed"/>
        <w:tblCellMar>
          <w:top w:w="28" w:type="dxa"/>
          <w:left w:w="28" w:type="dxa"/>
          <w:bottom w:w="28" w:type="dxa"/>
          <w:right w:w="28" w:type="dxa"/>
        </w:tblCellMar>
      </w:tblPr>
      <w:tblGrid>
        <w:gridCol w:w="3395"/>
        <w:gridCol w:w="154"/>
      </w:tblGrid>
      <w:tr>
        <w:trPr/>
        <w:tc>
          <w:tcPr>
            <w:tcW w:w="354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b/>
              </w:rPr>
            </w:pPr>
            <w:r>
              <w:rPr>
                <w:b/>
              </w:rPr>
              <w:t xml:space="preserve">Erasca,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36,142,857 </w:t>
            </w:r>
          </w:p>
        </w:tc>
        <w:tc>
          <w:tcPr>
            <w:tcW w:w="1156" w:type="dxa"/>
            <w:tcBorders/>
            <w:shd w:fill="E7E7E2" w:val="clear"/>
            <w:vAlign w:val="center"/>
          </w:tcPr>
          <w:p>
            <w:pPr>
              <w:pStyle w:val="TableContents"/>
              <w:bidi w:val="0"/>
              <w:spacing w:before="0" w:after="283"/>
              <w:jc w:val="right"/>
              <w:rPr/>
            </w:pPr>
            <w:r>
              <w:rPr/>
              <w:t xml:space="preserve">$ 17.50 </w:t>
            </w:r>
          </w:p>
        </w:tc>
        <w:tc>
          <w:tcPr>
            <w:tcW w:w="1786" w:type="dxa"/>
            <w:tcBorders/>
            <w:shd w:fill="E7E7E2" w:val="clear"/>
            <w:vAlign w:val="center"/>
          </w:tcPr>
          <w:p>
            <w:pPr>
              <w:pStyle w:val="TableContents"/>
              <w:bidi w:val="0"/>
              <w:spacing w:before="0" w:after="283"/>
              <w:jc w:val="right"/>
              <w:rPr/>
            </w:pPr>
            <w:r>
              <w:rPr/>
              <w:t xml:space="preserve">$ 632,499,997.50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$ 87,348.25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$ 632,499,997.50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$ 87,348.25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$ 87,348.25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4"/>
        <w:gridCol w:w="8703"/>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Payment of the registration fee at the time of filing of the registrant's Registration Statement on Form S-3 (File No. 333-297427) on July 13, 2026 was deferred pursuant to Rules 456(b) and 457(r) under the Securities Act and is paid herewith. Includes 4,714,285 shares of common stock that the underwriters have an option to purchase.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$632,499,997.50.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61918/000119312526104150/eras-20251231.htm" TargetMode="External"/><Relationship Id="rId4" Type="http://schemas.openxmlformats.org/officeDocument/2006/relationships/hyperlink" Target="http://www.sec.gov/Archives/edgar/data/../../../ix?doc=/Archives/edgar/data/0001761918/000119312526187361/d946333ddef14a.htm" TargetMode="External"/><Relationship Id="rId5" Type="http://schemas.openxmlformats.org/officeDocument/2006/relationships/hyperlink" Target="http://www.sec.gov/Archives/edgar/data/../../../ix?doc=/Archives/edgar/data/0001761918/000119312526216788/eras-20260331.htm" TargetMode="External"/><Relationship Id="rId6" Type="http://schemas.openxmlformats.org/officeDocument/2006/relationships/hyperlink" Target="http://www.sec.gov/Archives/edgar/data/../../../ix?doc=/Archives/edgar/data/1761918/000119312526009820/eras-20260112.htm" TargetMode="External"/><Relationship Id="rId7" Type="http://schemas.openxmlformats.org/officeDocument/2006/relationships/hyperlink" Target="http://www.sec.gov/Archives/edgar/data/../../../ix?doc=/Archives/edgar/data/1761918/000119312526019651/d51429d8k.htm" TargetMode="External"/><Relationship Id="rId8" Type="http://schemas.openxmlformats.org/officeDocument/2006/relationships/hyperlink" Target="http://www.sec.gov/Archives/edgar/data/../../../ix?doc=/Archives/edgar/data/1761918/000119312526029467/eras-20260129.htm" TargetMode="External"/><Relationship Id="rId9" Type="http://schemas.openxmlformats.org/officeDocument/2006/relationships/hyperlink" Target="http://www.sec.gov/Archives/edgar/data/../../../ix?doc=/Archives/edgar/data/1761918/000119312526165297/eras-20260421.htm" TargetMode="External"/><Relationship Id="rId10" Type="http://schemas.openxmlformats.org/officeDocument/2006/relationships/hyperlink" Target="http://www.sec.gov/Archives/edgar/data/../../../ix?doc=/Archives/edgar/data/0001761918/000119312526179214/eras-20260427.htm" TargetMode="External"/><Relationship Id="rId11" Type="http://schemas.openxmlformats.org/officeDocument/2006/relationships/hyperlink" Target="http://www.sec.gov/Archives/edgar/data/../../../ix?doc=/Archives/edgar/data/1761918/000119312526182137/d126999d8k.htm" TargetMode="External"/><Relationship Id="rId12" Type="http://schemas.openxmlformats.org/officeDocument/2006/relationships/hyperlink" Target="http://www.sec.gov/Archives/edgar/data/../../../ix?doc=/Archives/edgar/data/0001761918/000119312526290881/eras-20260626.htm" TargetMode="External"/><Relationship Id="rId13" Type="http://schemas.openxmlformats.org/officeDocument/2006/relationships/hyperlink" Target="http://www.sec.gov/Archives/edgar/data/../../../ix?doc=/Archives/edgar/data/1761918/000119312526302045/d54726d8k.htm" TargetMode="External"/><Relationship Id="rId14" Type="http://schemas.openxmlformats.org/officeDocument/2006/relationships/hyperlink" Target="http://www.sec.gov/Archives/edgar/data/1761918/000119312521214084/d203245d8a12b.htm" TargetMode="External"/><Relationship Id="rId15" Type="http://schemas.openxmlformats.org/officeDocument/2006/relationships/image" Target="media/image2.jpeg"/><Relationship Id="rId16" Type="http://schemas.openxmlformats.org/officeDocument/2006/relationships/hyperlink" Target="http://www.sec.gov/Archives/edgar/data/../../../ix?doc=/Archives/edgar/data/1761918/000119312526104150/eras-20251231.htm" TargetMode="External"/><Relationship Id="rId17" Type="http://schemas.openxmlformats.org/officeDocument/2006/relationships/hyperlink" Target="http://www.sec.gov/Archives/edgar/data/../../../ix?doc=/Archives/edgar/data/1761918/000119312526187361/d946333ddef14a.htm" TargetMode="External"/><Relationship Id="rId18" Type="http://schemas.openxmlformats.org/officeDocument/2006/relationships/hyperlink" Target="http://www.sec.gov/Archives/edgar/data/../../../ix?doc=/Archives/edgar/data/1761918/000119312526216788/eras-20260331.htm" TargetMode="External"/><Relationship Id="rId19" Type="http://schemas.openxmlformats.org/officeDocument/2006/relationships/hyperlink" Target="http://www.sec.gov/Archives/edgar/data/../../../ix?doc=/Archives/edgar/data/1761918/000119312526009820/eras-20260112.htm" TargetMode="External"/><Relationship Id="rId20" Type="http://schemas.openxmlformats.org/officeDocument/2006/relationships/hyperlink" Target="http://www.sec.gov/Archives/edgar/data/../../../ix?doc=/Archives/edgar/data/1761918/000119312526019651/d51429d8k.htm" TargetMode="External"/><Relationship Id="rId21" Type="http://schemas.openxmlformats.org/officeDocument/2006/relationships/hyperlink" Target="http://www.sec.gov/Archives/edgar/data/../../../ix?doc=/Archives/edgar/data/1761918/000119312526029467/eras-20260129.htm" TargetMode="External"/><Relationship Id="rId22" Type="http://schemas.openxmlformats.org/officeDocument/2006/relationships/hyperlink" Target="http://www.sec.gov/Archives/edgar/data/../../../ix?doc=/Archives/edgar/data/1761918/000119312526165297/eras-20260421.htm" TargetMode="External"/><Relationship Id="rId23" Type="http://schemas.openxmlformats.org/officeDocument/2006/relationships/hyperlink" Target="http://www.sec.gov/Archives/edgar/data/../../../ix?doc=/Archives/edgar/data/1761918/000119312526179214/eras-20260427.htm" TargetMode="External"/><Relationship Id="rId24" Type="http://schemas.openxmlformats.org/officeDocument/2006/relationships/hyperlink" Target="http://www.sec.gov/Archives/edgar/data/../../../ix?doc=/Archives/edgar/data/1761918/000119312526182137/d126999d8k.htm" TargetMode="External"/><Relationship Id="rId25" Type="http://schemas.openxmlformats.org/officeDocument/2006/relationships/hyperlink" Target="http://www.sec.gov/Archives/edgar/data/../../../ix?doc=/Archives/edgar/data/1761918/000119312526290881/eras-20260626.htm" TargetMode="External"/><Relationship Id="rId26" Type="http://schemas.openxmlformats.org/officeDocument/2006/relationships/hyperlink" Target="http://www.sec.gov/Archives/edgar/data/1761918/000119312521214084/d203245d8a12b.htm" TargetMode="External"/><Relationship Id="rId27" Type="http://schemas.openxmlformats.org/officeDocument/2006/relationships/image" Target="media/image3.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31859</Words>
  <Characters>168558</Characters>
  <CharactersWithSpaces>201002</CharactersWithSpaces>
  <Paragraphs>1882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