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Fuchs Charles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ERASCA,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3115 MERRYFIELD ROW,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Erasca, Inc.</w:t>
              </w:r>
            </w:hyperlink>
            <w:r>
              <w:rPr/>
              <w:t xml:space="preserve"> [ </w:t>
            </w:r>
            <w:r>
              <w:rPr>
                <w:rFonts w:ascii="Times;serif" w:hAnsi="Times;serif"/>
                <w:color w:val="0000FF"/>
                <w:sz w:val="24"/>
                <w:shd w:fill="FFFFFF" w:val="clear"/>
              </w:rPr>
              <w:t>ERAS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R&amp;D</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67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1026"/>
        <w:gridCol w:w="276"/>
        <w:gridCol w:w="906"/>
        <w:gridCol w:w="801"/>
        <w:gridCol w:w="891"/>
        <w:gridCol w:w="1101"/>
        <w:gridCol w:w="801"/>
        <w:gridCol w:w="966"/>
        <w:gridCol w:w="831"/>
        <w:gridCol w:w="846"/>
      </w:tblGrid>
      <w:tr>
        <w:trPr>
          <w:tblHeader w:val="true"/>
        </w:trPr>
        <w:tc>
          <w:tcPr>
            <w:tcW w:w="126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30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2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18.12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1,300,000</w:t>
            </w:r>
            <w:r>
              <w:rPr>
                <w:rFonts w:ascii="Times;serif" w:hAnsi="Times;serif"/>
                <w:color w:val="008000"/>
                <w:position w:val="7"/>
                <w:sz w:val="16"/>
                <w:sz w:val="20"/>
                <w:shd w:fill="FFFFFF" w:val="clear"/>
              </w:rPr>
              <w:t>(1)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08/10/2027</w:t>
            </w: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08/09/2036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1,300,000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option award was granted in connection with the Reporting Person's commencement of employment. Of the total option award, 21,480 shares were granted under the Issuer's 2021 Incentive Award Plan, with a portion intended to qualify as an incentive stock option under Section 422 of the Internal Revenue Code to the extent permitted by law. The remaining 1,278,520 shares were granted as a nonqualified stock option under the Issuer's 2026 Employment Inducement Incentive Award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option award vests as follows: 25% of the shares subject to the option will vest on the first anniversary of the date of grant, and the remaining 75% of the shares will vest in 36 substantially equal monthly installments thereafter, subject to the Reporting Person's continued service with the Issuer through each applicable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Ebun S. Garner,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19576" TargetMode="External"/><Relationship Id="rId5" Type="http://schemas.openxmlformats.org/officeDocument/2006/relationships/hyperlink" Target="http://www.sec.gov/cgi-bin/browse-edgar?action=getcompany&amp;CIK=000176191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711</Words>
  <Characters>3862</Characters>
  <CharactersWithSpaces>4500</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