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ras-20260630.htm"/>
      <w:bookmarkStart w:id="1" w:name="kseras20260630"/>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transition period from _____________ to ______________</w:t>
      </w:r>
    </w:p>
    <w:p>
      <w:pPr>
        <w:pStyle w:val="TextBody"/>
        <w:bidi w:val="0"/>
        <w:spacing w:before="80" w:after="283"/>
        <w:jc w:val="center"/>
        <w:rPr>
          <w:rFonts w:ascii="Arial" w:hAnsi="Arial"/>
          <w:b/>
          <w:color w:val="000000"/>
          <w:sz w:val="20"/>
        </w:rPr>
      </w:pPr>
      <w:r>
        <w:rPr>
          <w:rFonts w:ascii="Arial" w:hAnsi="Arial"/>
          <w:b/>
          <w:color w:val="000000"/>
          <w:sz w:val="20"/>
        </w:rPr>
        <w:t>Commission File Number: 001-40602</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48"/>
        </w:rPr>
      </w:pPr>
      <w:r>
        <w:rPr>
          <w:rFonts w:ascii="Arial" w:hAnsi="Arial"/>
          <w:b/>
          <w:color w:val="000000"/>
          <w:sz w:val="48"/>
        </w:rPr>
        <w:t>ERASCA,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2971"/>
        <w:gridCol w:w="1291"/>
      </w:tblGrid>
      <w:tr>
        <w:trPr/>
        <w:tc>
          <w:tcPr>
            <w:tcW w:w="29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83-1217027</w:t>
            </w:r>
          </w:p>
        </w:tc>
      </w:tr>
      <w:tr>
        <w:trPr/>
        <w:tc>
          <w:tcPr>
            <w:tcW w:w="297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971"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20"/>
              </w:rPr>
            </w:pPr>
            <w:r>
              <w:rPr>
                <w:rFonts w:ascii="Arial" w:hAnsi="Arial"/>
                <w:b/>
                <w:color w:val="000000"/>
                <w:sz w:val="20"/>
              </w:rPr>
              <w:t>3115 Merryfield Row, Suite 300</w:t>
            </w:r>
          </w:p>
          <w:p>
            <w:pPr>
              <w:pStyle w:val="TableContents"/>
              <w:bidi w:val="0"/>
              <w:spacing w:before="0" w:after="15"/>
              <w:jc w:val="center"/>
              <w:rPr>
                <w:rFonts w:ascii="Arial" w:hAnsi="Arial"/>
                <w:b/>
                <w:color w:val="000000"/>
                <w:sz w:val="20"/>
              </w:rPr>
            </w:pPr>
            <w:r>
              <w:rPr>
                <w:rFonts w:ascii="Arial" w:hAnsi="Arial"/>
                <w:b/>
                <w:color w:val="000000"/>
                <w:sz w:val="20"/>
              </w:rPr>
              <w:t>San Diego,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92121</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(858) 465-6511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766"/>
        <w:gridCol w:w="146"/>
        <w:gridCol w:w="916"/>
        <w:gridCol w:w="146"/>
        <w:gridCol w:w="366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ERAS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Select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August 4, 2026, the registrant had</w:t>
      </w:r>
      <w:r>
        <w:rPr>
          <w:rFonts w:ascii="Times New Roman" w:hAnsi="Times New Roman"/>
          <w:color w:val="000000"/>
          <w:sz w:val="20"/>
        </w:rPr>
        <w:t xml:space="preserve"> </w:t>
      </w:r>
      <w:r>
        <w:rPr>
          <w:rFonts w:ascii="Arial" w:hAnsi="Arial"/>
          <w:color w:val="000000"/>
          <w:sz w:val="18"/>
        </w:rPr>
        <w:t>349,762,035</w:t>
      </w:r>
      <w:r>
        <w:rPr>
          <w:rFonts w:ascii="Times New Roman" w:hAnsi="Times New Roman"/>
          <w:color w:val="000000"/>
          <w:sz w:val="20"/>
        </w:rPr>
        <w:t xml:space="preserve"> </w:t>
      </w:r>
      <w:r>
        <w:rPr>
          <w:rFonts w:ascii="Arial" w:hAnsi="Arial"/>
          <w:color w:val="000000"/>
          <w:sz w:val="18"/>
        </w:rPr>
        <w:t>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0"/>
        <w:gridCol w:w="8716"/>
        <w:gridCol w:w="679"/>
      </w:tblGrid>
      <w:tr>
        <w:trPr/>
        <w:tc>
          <w:tcPr>
            <w:tcW w:w="810"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7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Arial" w:hAnsi="Arial"/>
                <w:b/>
                <w:color w:val="000000"/>
                <w:sz w:val="16"/>
              </w:rPr>
            </w:pPr>
            <w:r>
              <w:rPr>
                <w:rFonts w:ascii="Arial" w:hAnsi="Arial"/>
                <w:b/>
                <w:color w:val="000000"/>
                <w:sz w:val="16"/>
              </w:rPr>
              <w:t>Page</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FINANCIAL INFORMATION</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Arial" w:hAnsi="Arial"/>
                  <w:color w:val="0563C1"/>
                  <w:sz w:val="20"/>
                  <w:u w:val="single"/>
                </w:rPr>
                <w:t>Financial Statements (Unaudited)</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Arial" w:hAnsi="Arial"/>
                  <w:color w:val="0563C1"/>
                  <w:sz w:val="20"/>
                  <w:u w:val="single"/>
                </w:rPr>
                <w:t>Condensed Consolidated Balance Sheets as of June 30, 2026 and December 31, 2025</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Arial" w:hAnsi="Arial"/>
                  <w:color w:val="0563C1"/>
                  <w:sz w:val="20"/>
                  <w:u w:val="single"/>
                </w:rPr>
                <w:t>Condensed Consolidated Statements of Operations and Comprehensive Loss for the three and six months ended June 30, 2026 and 2025</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_and_stockholders_deficit">
              <w:r>
                <w:rPr>
                  <w:rStyle w:val="InternetLink"/>
                  <w:rFonts w:ascii="Arial" w:hAnsi="Arial"/>
                  <w:color w:val="0563C1"/>
                  <w:sz w:val="20"/>
                  <w:u w:val="single"/>
                </w:rPr>
                <w:t>Condensed Consolidated Statements of Stockholders’ Equity for the three and six months ended June 30, 2026 and 2025</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Arial" w:hAnsi="Arial"/>
                  <w:color w:val="0563C1"/>
                  <w:sz w:val="20"/>
                  <w:u w:val="single"/>
                </w:rPr>
                <w:t>Condensed Consolidated Statements of Cash Flows for the six months ended June 30, 2026 and 2025</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Arial" w:hAnsi="Arial"/>
                  <w:color w:val="0563C1"/>
                  <w:sz w:val="20"/>
                  <w:u w:val="single"/>
                </w:rPr>
                <w:t>Notes to Condensed Consolidated Financial Statements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Arial" w:hAnsi="Arial"/>
                  <w:color w:val="0563C1"/>
                  <w:sz w:val="20"/>
                  <w:u w:val="single"/>
                </w:rPr>
                <w:t>Management’s Discussion and Analysis of Financial Condition and Results of Operations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Arial" w:hAnsi="Arial"/>
                  <w:color w:val="0563C1"/>
                  <w:sz w:val="20"/>
                  <w:u w:val="single"/>
                </w:rPr>
                <w:t>Quantitative and Qualitative Disclosures About Market Risk</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Arial" w:hAnsi="Arial"/>
                  <w:color w:val="0563C1"/>
                  <w:sz w:val="20"/>
                  <w:u w:val="single"/>
                </w:rPr>
                <w:t>Controls and Procedures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INFORMATION</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Arial" w:hAnsi="Arial"/>
                  <w:color w:val="0563C1"/>
                  <w:sz w:val="20"/>
                  <w:u w:val="single"/>
                </w:rPr>
                <w:t>Legal Proceedings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Arial" w:hAnsi="Arial"/>
                  <w:color w:val="0563C1"/>
                  <w:sz w:val="20"/>
                  <w:u w:val="single"/>
                </w:rPr>
                <w:t>Risk Factors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Arial" w:hAnsi="Arial"/>
                  <w:color w:val="0563C1"/>
                  <w:sz w:val="20"/>
                  <w:u w:val="single"/>
                </w:rPr>
                <w:t>Unregistered Sales of Equity Securities and Use of Proceeds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Arial" w:hAnsi="Arial"/>
                  <w:color w:val="0563C1"/>
                  <w:sz w:val="20"/>
                  <w:u w:val="single"/>
                </w:rPr>
                <w:t>Defaults Upon Senior Securities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Arial" w:hAnsi="Arial"/>
                  <w:color w:val="0563C1"/>
                  <w:sz w:val="20"/>
                  <w:u w:val="single"/>
                </w:rPr>
                <w:t>Mine Safety Disclosures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Arial" w:hAnsi="Arial"/>
                  <w:color w:val="0563C1"/>
                  <w:sz w:val="20"/>
                  <w:u w:val="single"/>
                </w:rPr>
                <w:t>Other Information</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7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Arial" w:hAnsi="Arial"/>
                  <w:color w:val="0563C1"/>
                  <w:sz w:val="20"/>
                  <w:u w:val="single"/>
                </w:rPr>
                <w:t>Exhibits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9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563C1"/>
                  <w:sz w:val="20"/>
                  <w:u w:val="single"/>
                </w:rPr>
                <w:t>Signatures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I—FINANCIAL INFORMATION</w:t>
      </w:r>
    </w:p>
    <w:p>
      <w:pPr>
        <w:pStyle w:val="TextBody"/>
        <w:bidi w:val="0"/>
        <w:jc w:val="left"/>
        <w:rPr>
          <w:rFonts w:ascii="Arial" w:hAnsi="Arial"/>
          <w:b/>
          <w:color w:val="000000"/>
          <w:sz w:val="20"/>
        </w:rPr>
      </w:pPr>
      <w:bookmarkStart w:id="2" w:name="i_item1"/>
      <w:bookmarkEnd w:id="2"/>
      <w:r>
        <w:rPr>
          <w:rFonts w:ascii="Arial" w:hAnsi="Arial"/>
          <w:b/>
          <w:color w:val="000000"/>
          <w:sz w:val="20"/>
        </w:rPr>
        <w:t>Item 1. Financial Statements.</w:t>
      </w:r>
    </w:p>
    <w:p>
      <w:pPr>
        <w:pStyle w:val="TextBody"/>
        <w:bidi w:val="0"/>
        <w:spacing w:before="360" w:after="283"/>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par value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3"/>
        <w:gridCol w:w="426"/>
        <w:gridCol w:w="211"/>
        <w:gridCol w:w="1021"/>
        <w:gridCol w:w="166"/>
        <w:gridCol w:w="146"/>
        <w:gridCol w:w="219"/>
        <w:gridCol w:w="1000"/>
        <w:gridCol w:w="473"/>
      </w:tblGrid>
      <w:tr>
        <w:trPr/>
        <w:tc>
          <w:tcPr>
            <w:tcW w:w="65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73,805</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202,270</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10,164</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286,239</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marketable securities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65,721</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13,303</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29,030</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396,154</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22,464</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5,066</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28,511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net of current portion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42,073</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70,983</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80,000,000</w:t>
            </w:r>
            <w:r>
              <w:rPr>
                <w:rFonts w:ascii="Times New Roman" w:hAnsi="Times New Roman"/>
                <w:color w:val="000000"/>
                <w:sz w:val="20"/>
              </w:rPr>
              <w:t> </w:t>
            </w:r>
            <w:r>
              <w:rPr>
                <w:rFonts w:ascii="Arial" w:hAnsi="Arial"/>
                <w:color w:val="000000"/>
                <w:sz w:val="20"/>
              </w:rPr>
              <w:t>shares authorized at June 30, 2026 and December 31, 2025; no</w:t>
            </w:r>
            <w:r>
              <w:rPr>
                <w:rFonts w:ascii="Times New Roman" w:hAnsi="Times New Roman"/>
                <w:color w:val="000000"/>
                <w:sz w:val="20"/>
              </w:rPr>
              <w:t> </w:t>
            </w:r>
            <w:r>
              <w:rPr>
                <w:rFonts w:ascii="Arial" w:hAnsi="Arial"/>
                <w:color w:val="000000"/>
                <w:sz w:val="20"/>
              </w:rPr>
              <w:t>shares issued and outstanding at June 30, 2026 and December 31, 2025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800,000,000</w:t>
            </w:r>
            <w:r>
              <w:rPr>
                <w:rFonts w:ascii="Times New Roman" w:hAnsi="Times New Roman"/>
                <w:color w:val="000000"/>
                <w:sz w:val="20"/>
              </w:rPr>
              <w:t> </w:t>
            </w:r>
            <w:r>
              <w:rPr>
                <w:rFonts w:ascii="Arial" w:hAnsi="Arial"/>
                <w:color w:val="000000"/>
                <w:sz w:val="20"/>
              </w:rPr>
              <w:t>shares authorized at June 30, 2026 and December 31, 2025; 312,556,206</w:t>
            </w:r>
            <w:r>
              <w:rPr>
                <w:rFonts w:ascii="Times New Roman" w:hAnsi="Times New Roman"/>
                <w:color w:val="000000"/>
                <w:sz w:val="20"/>
              </w:rPr>
              <w:t> </w:t>
            </w:r>
            <w:r>
              <w:rPr>
                <w:rFonts w:ascii="Arial" w:hAnsi="Arial"/>
                <w:color w:val="000000"/>
                <w:sz w:val="20"/>
              </w:rPr>
              <w:t>and 284,159,076</w:t>
            </w:r>
            <w:r>
              <w:rPr>
                <w:rFonts w:ascii="Times New Roman" w:hAnsi="Times New Roman"/>
                <w:color w:val="000000"/>
                <w:sz w:val="20"/>
              </w:rPr>
              <w:t> </w:t>
            </w:r>
            <w:r>
              <w:rPr>
                <w:rFonts w:ascii="Arial" w:hAnsi="Arial"/>
                <w:color w:val="000000"/>
                <w:sz w:val="20"/>
              </w:rPr>
              <w:t>shares issued and outstanding at June 30, 2026 and December 31, 2025, respectively</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1,216,724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(892,209</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325,171</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396,154</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bookmarkStart w:id="3" w:name="statement_of_operations"/>
      <w:bookmarkEnd w:id="3"/>
      <w:r>
        <w:rPr>
          <w:rFonts w:ascii="Arial" w:hAnsi="Arial"/>
          <w:b/>
          <w:color w:val="000000"/>
          <w:sz w:val="20"/>
        </w:rPr>
        <w:t>Condensed Consolidated Statements of 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4"/>
        <w:gridCol w:w="706"/>
        <w:gridCol w:w="211"/>
        <w:gridCol w:w="1171"/>
        <w:gridCol w:w="166"/>
        <w:gridCol w:w="146"/>
        <w:gridCol w:w="211"/>
        <w:gridCol w:w="1171"/>
        <w:gridCol w:w="166"/>
        <w:gridCol w:w="146"/>
        <w:gridCol w:w="211"/>
        <w:gridCol w:w="1171"/>
        <w:gridCol w:w="166"/>
        <w:gridCol w:w="146"/>
        <w:gridCol w:w="211"/>
        <w:gridCol w:w="1171"/>
        <w:gridCol w:w="471"/>
      </w:tblGrid>
      <w:tr>
        <w:trPr/>
        <w:tc>
          <w:tcPr>
            <w:tcW w:w="256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4"/>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47,139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19,116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73,755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(73,755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net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(64,842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used in computing net loss per share, basic and diluted</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311,336,806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283,355,730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307,846,523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283,308,273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gain on marketable securities, net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(64,832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4" w:name="stock_and_stockholders_deficit"/>
      <w:bookmarkEnd w:id="4"/>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57"/>
        <w:gridCol w:w="146"/>
        <w:gridCol w:w="146"/>
        <w:gridCol w:w="1006"/>
        <w:gridCol w:w="146"/>
        <w:gridCol w:w="146"/>
        <w:gridCol w:w="271"/>
        <w:gridCol w:w="480"/>
        <w:gridCol w:w="146"/>
        <w:gridCol w:w="146"/>
        <w:gridCol w:w="196"/>
        <w:gridCol w:w="826"/>
        <w:gridCol w:w="146"/>
        <w:gridCol w:w="146"/>
        <w:gridCol w:w="344"/>
        <w:gridCol w:w="1007"/>
        <w:gridCol w:w="166"/>
        <w:gridCol w:w="146"/>
        <w:gridCol w:w="209"/>
        <w:gridCol w:w="947"/>
        <w:gridCol w:w="166"/>
        <w:gridCol w:w="146"/>
        <w:gridCol w:w="239"/>
        <w:gridCol w:w="918"/>
        <w:gridCol w:w="413"/>
      </w:tblGrid>
      <w:tr>
        <w:trPr/>
        <w:tc>
          <w:tcPr>
            <w:tcW w:w="1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284,159,076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325,171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in underwritten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242,706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(183,440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310,806,888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1,469,845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(1,075,649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393,528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1,143,041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(44,079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312,556,206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1,482,815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(1,119,728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361,869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57"/>
        <w:gridCol w:w="146"/>
        <w:gridCol w:w="146"/>
        <w:gridCol w:w="1006"/>
        <w:gridCol w:w="146"/>
        <w:gridCol w:w="146"/>
        <w:gridCol w:w="271"/>
        <w:gridCol w:w="480"/>
        <w:gridCol w:w="146"/>
        <w:gridCol w:w="146"/>
        <w:gridCol w:w="196"/>
        <w:gridCol w:w="826"/>
        <w:gridCol w:w="146"/>
        <w:gridCol w:w="146"/>
        <w:gridCol w:w="418"/>
        <w:gridCol w:w="933"/>
        <w:gridCol w:w="166"/>
        <w:gridCol w:w="146"/>
        <w:gridCol w:w="239"/>
        <w:gridCol w:w="917"/>
        <w:gridCol w:w="166"/>
        <w:gridCol w:w="146"/>
        <w:gridCol w:w="255"/>
        <w:gridCol w:w="902"/>
        <w:gridCol w:w="413"/>
      </w:tblGrid>
      <w:tr>
        <w:trPr/>
        <w:tc>
          <w:tcPr>
            <w:tcW w:w="1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283,218,344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423,499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(30,966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283,265,716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1,197,475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(798,629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399,502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283,650,139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1,204,320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372,258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5" w:name="statement_of_cash_flows"/>
      <w:bookmarkEnd w:id="5"/>
      <w:r>
        <w:rPr>
          <w:rFonts w:ascii="Arial" w:hAnsi="Arial"/>
          <w:b/>
          <w:color w:val="000000"/>
          <w:sz w:val="20"/>
        </w:rPr>
        <w:t>Condensed Consolidated Statements of Cash</w:t>
      </w:r>
      <w:r>
        <w:rPr>
          <w:rFonts w:ascii="Times New Roman" w:hAnsi="Times New Roman"/>
          <w:color w:val="000000"/>
          <w:sz w:val="20"/>
        </w:rPr>
        <w:t xml:space="preserve"> </w:t>
      </w:r>
      <w:r>
        <w:rPr>
          <w:rFonts w:ascii="Arial" w:hAnsi="Arial"/>
          <w:b/>
          <w:color w:val="000000"/>
          <w:sz w:val="20"/>
        </w:rPr>
        <w:t>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08"/>
        <w:gridCol w:w="146"/>
        <w:gridCol w:w="231"/>
        <w:gridCol w:w="940"/>
        <w:gridCol w:w="181"/>
        <w:gridCol w:w="160"/>
        <w:gridCol w:w="231"/>
        <w:gridCol w:w="874"/>
        <w:gridCol w:w="634"/>
      </w:tblGrid>
      <w:tr>
        <w:trPr/>
        <w:tc>
          <w:tcPr>
            <w:tcW w:w="6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(64,842</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1,609</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13,111</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(3,485</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Realized gain from sales of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Prepaid expenses and other current and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Accrued expenses and other current and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(6,628</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(67,204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122,827</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(5,500</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50,010</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underwritten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258,750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costs associated with underwritten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Payments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247,728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(1,596</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68,147</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42,950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66,551</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Amounts accrued for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Amounts accrued for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bookmarkStart w:id="6" w:name="notes_financial_statements"/>
      <w:bookmarkEnd w:id="6"/>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360" w:after="283"/>
        <w:jc w:val="left"/>
        <w:rPr>
          <w:rFonts w:ascii="Times New Roman" w:hAnsi="Times New Roman"/>
          <w:sz w:val="20"/>
        </w:rPr>
      </w:pPr>
      <w:r>
        <w:rPr>
          <w:rFonts w:ascii="Arial" w:hAnsi="Arial"/>
          <w:b/>
          <w:color w:val="000000"/>
          <w:sz w:val="20"/>
        </w:rPr>
        <w:t>Note 1. Organization and 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Organization and nature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investments in early-stage biotechnology companies that are aligned with the Company’s mission and strategy.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June 30, 2026, the Company had $384.3</w:t>
      </w:r>
      <w:r>
        <w:rPr>
          <w:rFonts w:ascii="Times New Roman" w:hAnsi="Times New Roman"/>
          <w:color w:val="000000"/>
          <w:sz w:val="20"/>
        </w:rPr>
        <w:t xml:space="preserve"> </w:t>
      </w:r>
      <w:r>
        <w:rPr>
          <w:rFonts w:ascii="Arial" w:hAnsi="Arial"/>
          <w:color w:val="000000"/>
          <w:sz w:val="20"/>
        </w:rPr>
        <w:t>million in cash, cash equivalents, and marketable securities. As of June 30, 2026, the Company had an accumulated deficit of $1.1</w:t>
      </w:r>
      <w:r>
        <w:rPr>
          <w:rFonts w:ascii="Times New Roman" w:hAnsi="Times New Roman"/>
          <w:color w:val="000000"/>
          <w:sz w:val="20"/>
        </w:rPr>
        <w:t xml:space="preserve"> </w:t>
      </w:r>
      <w:r>
        <w:rPr>
          <w:rFonts w:ascii="Arial" w:hAnsi="Arial"/>
          <w:color w:val="000000"/>
          <w:sz w:val="20"/>
        </w:rPr>
        <w:t>billion. The Company has incurred significant operating losses and negative cash flows from operations. From its inception through June 30, 2026, the Company’s financial support has primarily been provided from the sale of its convertible preferred stock and the sale of its common stock in its initial public offering (IPO), underwritten offerings, a private placement of common stock, and "at the market" offerings.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June 30, 2026, together with the net proceeds of $593.5</w:t>
      </w:r>
      <w:r>
        <w:rPr>
          <w:rFonts w:ascii="Times New Roman" w:hAnsi="Times New Roman"/>
          <w:color w:val="000000"/>
          <w:sz w:val="20"/>
        </w:rPr>
        <w:t xml:space="preserve"> </w:t>
      </w:r>
      <w:r>
        <w:rPr>
          <w:rFonts w:ascii="Arial" w:hAnsi="Arial"/>
          <w:color w:val="000000"/>
          <w:sz w:val="20"/>
        </w:rPr>
        <w:t>million received from the Company's underwritten offering, which closed in July 2026, will be sufficient for the Company to fund operations for at least one year from the issuance date of these condensed consolidated financial statements.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July 2026 underwritten offering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2026, the Company completed the sale and issuance of 36,142,857</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4,714,285</w:t>
      </w:r>
      <w:r>
        <w:rPr>
          <w:rFonts w:ascii="Times New Roman" w:hAnsi="Times New Roman"/>
          <w:color w:val="000000"/>
          <w:sz w:val="20"/>
        </w:rPr>
        <w:t xml:space="preserve"> </w:t>
      </w:r>
      <w:r>
        <w:rPr>
          <w:rFonts w:ascii="Arial" w:hAnsi="Arial"/>
          <w:color w:val="000000"/>
          <w:sz w:val="20"/>
        </w:rPr>
        <w:t>shares of its common stock, at a price to the public of $17.50</w:t>
      </w:r>
      <w:r>
        <w:rPr>
          <w:rFonts w:ascii="Times New Roman" w:hAnsi="Times New Roman"/>
          <w:color w:val="000000"/>
          <w:sz w:val="20"/>
        </w:rPr>
        <w:t xml:space="preserve"> </w:t>
      </w:r>
      <w:r>
        <w:rPr>
          <w:rFonts w:ascii="Arial" w:hAnsi="Arial"/>
          <w:color w:val="000000"/>
          <w:sz w:val="20"/>
        </w:rPr>
        <w:t>per share (the July 2026 Offering). The aggregate net proceeds from the July 2026 Offering were $593.5</w:t>
      </w:r>
      <w:r>
        <w:rPr>
          <w:rFonts w:ascii="Times New Roman" w:hAnsi="Times New Roman"/>
          <w:color w:val="000000"/>
          <w:sz w:val="20"/>
        </w:rPr>
        <w:t xml:space="preserve"> </w:t>
      </w:r>
      <w:r>
        <w:rPr>
          <w:rFonts w:ascii="Arial" w:hAnsi="Arial"/>
          <w:color w:val="000000"/>
          <w:sz w:val="20"/>
        </w:rPr>
        <w:t>million, net of underwriting discounts and commissions and estimated offering costs of $38.9</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Basis of presentation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in accordance with US generally accepted accounting principles (US GAAP) for interim financial information and pursuant to Form 10-Q and Article 10 of Regulation S-X of the Securities and Exchange Commission (SEC). Accordingly, they do not include all of the information and notes required by US GAAP for complete financial statements. Any reference in these notes to applicable guidance is meant to refer to US GAAP as found in the Accounting Standards Codification (ASC) and Accounting Standards Updates (ASU) promulgated by the Financial Accounting Standards Board (FASB). The Company’s condensed consolidated financial statements include the accounts of the Company and its wholly-owned subsidiaries, Erasca Australia, ASN, and Erasca Ventures. All intercompany balances and transactions have been eliminated.</w:t>
      </w:r>
    </w:p>
    <w:p>
      <w:pPr>
        <w:pStyle w:val="TextBody"/>
        <w:bidi w:val="0"/>
        <w:spacing w:before="360" w:after="283"/>
        <w:jc w:val="left"/>
        <w:rPr>
          <w:rFonts w:ascii="Arial" w:hAnsi="Arial"/>
          <w:b/>
          <w:color w:val="000000"/>
          <w:sz w:val="20"/>
        </w:rPr>
      </w:pPr>
      <w:r>
        <w:rPr>
          <w:rFonts w:ascii="Arial" w:hAnsi="Arial"/>
          <w:b/>
          <w:color w:val="000000"/>
          <w:sz w:val="20"/>
        </w:rPr>
        <w:t>Note 2. Summary of significant accounting policies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Use of estimates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preparation of the Company’s condensed consolidated financial statements in conformity with US GAAP requires the Company to make estimates and assumptions that impact the reported amounts of assets, liabilities, expenses, and the disclosure of contingent assets and liabilities in the condensed consolidated financial statements and accompanying notes. Accounting estimates and management judgments reflected in the condensed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pStyle w:val="TextBody"/>
        <w:bidi w:val="0"/>
        <w:spacing w:before="360" w:after="283"/>
        <w:jc w:val="left"/>
        <w:rPr>
          <w:rFonts w:ascii="Arial" w:hAnsi="Arial"/>
          <w:b/>
          <w:color w:val="000000"/>
          <w:sz w:val="20"/>
        </w:rPr>
      </w:pPr>
      <w:r>
        <w:rPr>
          <w:rFonts w:ascii="Arial" w:hAnsi="Arial"/>
          <w:b/>
          <w:color w:val="000000"/>
          <w:sz w:val="20"/>
        </w:rPr>
        <w:t>Unaudited interim financial information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balance sheet as of June 30, 2026, the condensed consolidated statements of operations and comprehensive loss for the three and six months ended June 30, 2026 and 2025, the condensed consolidated statements of stockholders’ equity for the three and six months ended June 30, 2026 and 2025, and the condensed consolidated statements of cash flows for the six months ended June 30, 2026 and 2025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condensed consolidated financial position as of June 30, 2026 and the condensed consolidated results of its operations and cash flows for the three and six months ended June 30, 2026 and 2025. The condensed consolidated financial data and other information disclosed in these notes related to the three and six months ended June 30, 2026 and 2025 are unaudited. The condensed consolidated results for the three and six months ended June 30, 2026 are not necessarily indicative of results to be expected for the year ending December 31, 2026, any other interim periods, or any future year or period. These unaudited condensed consolidated financial statements should be read in conjunction with the Company's audited consolidated financial statements included in its Annual Report on Form 10-K for the year ended December 31, 2025 filed with the SEC on March 12, 2026.</w:t>
      </w:r>
    </w:p>
    <w:p>
      <w:pPr>
        <w:pStyle w:val="TextBody"/>
        <w:bidi w:val="0"/>
        <w:spacing w:before="360" w:after="283"/>
        <w:jc w:val="left"/>
        <w:rPr>
          <w:rFonts w:ascii="Arial" w:hAnsi="Arial"/>
          <w:b/>
          <w:color w:val="000000"/>
          <w:sz w:val="20"/>
        </w:rPr>
      </w:pPr>
      <w:r>
        <w:rPr>
          <w:rFonts w:ascii="Arial" w:hAnsi="Arial"/>
          <w:b/>
          <w:color w:val="000000"/>
          <w:sz w:val="20"/>
        </w:rPr>
        <w:t>Concentration of credit risk and off-balance sheet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Cash, cash equivalents, and restricted cash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and cash equivalents include cash in readily available checking and savings accounts, money market funds, and commercial paper. The Company considers all highly liquid investments with an original maturity of three months or less from the date of purchase to be cash equivalents.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had deposited cash of</w:t>
      </w:r>
      <w:r>
        <w:rPr>
          <w:rFonts w:ascii="Times New Roman" w:hAnsi="Times New Roman"/>
          <w:color w:val="000000"/>
          <w:sz w:val="20"/>
        </w:rPr>
        <w:t xml:space="preserve"> </w:t>
      </w:r>
      <w:r>
        <w:rPr>
          <w:rFonts w:ascii="Arial" w:hAnsi="Arial"/>
          <w:color w:val="000000"/>
          <w:sz w:val="20"/>
        </w:rPr>
        <w:t>$408,000</w:t>
      </w:r>
      <w:r>
        <w:rPr>
          <w:rFonts w:ascii="Times New Roman" w:hAnsi="Times New Roman"/>
          <w:color w:val="000000"/>
          <w:sz w:val="20"/>
        </w:rPr>
        <w:t xml:space="preserve"> </w:t>
      </w:r>
      <w:r>
        <w:rPr>
          <w:rFonts w:ascii="Arial" w:hAnsi="Arial"/>
          <w:color w:val="000000"/>
          <w:sz w:val="20"/>
        </w:rPr>
        <w:t>as of June 30, 2026 and December 31, 2025 to secure a letter of credit in connection with the lease of the Company’s facilities (see Note 10). The Company has classified the restricted cash as a noncurrent asset on its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provides a reconciliation of cash, cash equivalents, and restricted cash reported within the condensed consolidated balance sheets that sum to the total of the same amounts shown in the condensed consolidated statements of cash flows (in thousands):</w:t>
      </w:r>
    </w:p>
    <w:p>
      <w:pPr>
        <w:pStyle w:val="TextBody"/>
        <w:bidi w:val="0"/>
        <w:jc w:val="left"/>
        <w:rPr/>
      </w:pPr>
      <w:r>
        <w:rPr/>
        <w:t> </w:t>
      </w:r>
    </w:p>
    <w:tbl>
      <w:tblPr>
        <w:tblW w:w="6698" w:type="dxa"/>
        <w:jc w:val="left"/>
        <w:tblInd w:w="0" w:type="dxa"/>
        <w:tblLayout w:type="fixed"/>
        <w:tblCellMar>
          <w:top w:w="28" w:type="dxa"/>
          <w:left w:w="28" w:type="dxa"/>
          <w:bottom w:w="28" w:type="dxa"/>
          <w:right w:w="28" w:type="dxa"/>
        </w:tblCellMar>
      </w:tblPr>
      <w:tblGrid>
        <w:gridCol w:w="4411"/>
        <w:gridCol w:w="211"/>
        <w:gridCol w:w="691"/>
        <w:gridCol w:w="146"/>
        <w:gridCol w:w="146"/>
        <w:gridCol w:w="211"/>
        <w:gridCol w:w="69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Marketable securities and investments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(expense), net. The cost of securities sold is based on the specific identification method. Interest and dividends on securities classified as available-for-sale are included in 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Accrued interest related to the Company's available-for-sale securities is presented within prepaid expenses and other current assets on the Company's condensed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pStyle w:val="TextBody"/>
        <w:bidi w:val="0"/>
        <w:jc w:val="left"/>
        <w:rPr>
          <w:rFonts w:ascii="Arial" w:hAnsi="Arial"/>
          <w:color w:val="000000"/>
          <w:sz w:val="20"/>
        </w:rPr>
      </w:pPr>
      <w:r>
        <w:rPr>
          <w:rFonts w:ascii="Arial" w:hAnsi="Arial"/>
          <w:color w:val="000000"/>
          <w:sz w:val="20"/>
        </w:rPr>
        <w:br/>
        <w:t>Through its wholly-owned subsidiary, Erasca Ventures, the Company has also invested in equity securities of companies whose securities are not publicly traded and whose fair value is not readily available.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condensed consolidated balance sheets.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1—Unadjusted quoted prices in active markets that are accessible at the measurement date for identical, unrestricted assets or liabilities.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2—Quoted prices for similar assets and liabilities in active markets, quoted prices in markets that are not active, or inputs which are observable, either directly or indirectly, for substantially the full term of the asset or liability.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3—Prices or valuation techniques that require inputs that are both significant to the fair value measurement and unobservable (i.e., supported by little or no market activity).</w:t>
      </w:r>
    </w:p>
    <w:p>
      <w:pPr>
        <w:pStyle w:val="TextBody"/>
        <w:bidi w:val="0"/>
        <w:spacing w:before="360" w:after="283"/>
        <w:jc w:val="left"/>
        <w:rPr>
          <w:rFonts w:ascii="Arial" w:hAnsi="Arial"/>
          <w:b/>
          <w:color w:val="000000"/>
          <w:sz w:val="20"/>
        </w:rPr>
      </w:pPr>
      <w:r>
        <w:rPr>
          <w:rFonts w:ascii="Arial" w:hAnsi="Arial"/>
          <w:b/>
          <w:color w:val="000000"/>
          <w:sz w:val="20"/>
        </w:rPr>
        <w:t>Recently issued accounting pronouncements not yet adopted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financial assets measured at fair value on a recurring basis and their respective input levels based on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6"/>
        <w:gridCol w:w="146"/>
        <w:gridCol w:w="211"/>
        <w:gridCol w:w="796"/>
        <w:gridCol w:w="146"/>
        <w:gridCol w:w="146"/>
        <w:gridCol w:w="305"/>
        <w:gridCol w:w="1154"/>
        <w:gridCol w:w="202"/>
        <w:gridCol w:w="202"/>
        <w:gridCol w:w="298"/>
        <w:gridCol w:w="1107"/>
        <w:gridCol w:w="202"/>
        <w:gridCol w:w="202"/>
        <w:gridCol w:w="483"/>
        <w:gridCol w:w="793"/>
        <w:gridCol w:w="476"/>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 measurements as of June 30, 2026 using</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Quoted prices in</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active markets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unobservable</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identical</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observable</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 (level 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 (level 2)</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Money market funds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96,620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Corporate debt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87,630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379,186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221,707</w:t>
            </w:r>
          </w:p>
        </w:tc>
        <w:tc>
          <w:tcPr>
            <w:tcW w:w="2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157,479</w:t>
            </w:r>
          </w:p>
        </w:tc>
        <w:tc>
          <w:tcPr>
            <w:tcW w:w="2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4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Included as cash and cash equivalents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Included as short-term marketable securities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Included as long-term marketable securities on the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146"/>
        <w:gridCol w:w="258"/>
        <w:gridCol w:w="976"/>
        <w:gridCol w:w="146"/>
        <w:gridCol w:w="146"/>
        <w:gridCol w:w="304"/>
        <w:gridCol w:w="1148"/>
        <w:gridCol w:w="210"/>
        <w:gridCol w:w="210"/>
        <w:gridCol w:w="318"/>
        <w:gridCol w:w="1148"/>
        <w:gridCol w:w="210"/>
        <w:gridCol w:w="210"/>
        <w:gridCol w:w="483"/>
        <w:gridCol w:w="793"/>
        <w:gridCol w:w="477"/>
      </w:tblGrid>
      <w:tr>
        <w:trPr/>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 measurements as of December 31, 2025 using</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Quoted prices in</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active markets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unobservable</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identical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observable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 (level 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 (level 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Money market funds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62,229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74,563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47,780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209,923</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125,283</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Included as cash and cash equivalents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Included as short-term marketable securities on the condensed consolidated balance sheets.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Included as long-term marketable securities on the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the Company’s financial instruments, including cash, prepaid expenses and other current assets, accounts payable, and accrued expenses and other current liabilities, approximate fair value due to their short maturities. Cash equivalents consist of money market funds and commercial paper, short-term marketable securities consist of US treasury securities, US government agency securities, corporate debt securities, and commercial paper, and long-term marketable securities consist of US treasury securities and US government agency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 No</w:t>
      </w:r>
      <w:r>
        <w:rPr>
          <w:rFonts w:ascii="Times New Roman" w:hAnsi="Times New Roman"/>
          <w:color w:val="000000"/>
          <w:sz w:val="20"/>
        </w:rPr>
        <w:t xml:space="preserve"> </w:t>
      </w:r>
      <w:r>
        <w:rPr>
          <w:rFonts w:ascii="Arial" w:hAnsi="Arial"/>
          <w:color w:val="000000"/>
          <w:sz w:val="20"/>
        </w:rPr>
        <w:t>transfers between levels have occurred during the periods presented.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Marketable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marketable securities accounted for as available-for-sale securities (in thousands, except years):</w:t>
      </w:r>
    </w:p>
    <w:p>
      <w:pPr>
        <w:pStyle w:val="TextBody"/>
        <w:bidi w:val="0"/>
        <w:jc w:val="left"/>
        <w:rPr/>
      </w:pPr>
      <w:r>
        <w:rPr/>
        <w:t> </w:t>
      </w:r>
    </w:p>
    <w:tbl>
      <w:tblPr>
        <w:tblW w:w="9412" w:type="dxa"/>
        <w:jc w:val="left"/>
        <w:tblInd w:w="0" w:type="dxa"/>
        <w:tblLayout w:type="fixed"/>
        <w:tblCellMar>
          <w:top w:w="28" w:type="dxa"/>
          <w:left w:w="28" w:type="dxa"/>
          <w:bottom w:w="28" w:type="dxa"/>
          <w:right w:w="28" w:type="dxa"/>
        </w:tblCellMar>
      </w:tblPr>
      <w:tblGrid>
        <w:gridCol w:w="3061"/>
        <w:gridCol w:w="146"/>
        <w:gridCol w:w="916"/>
        <w:gridCol w:w="146"/>
        <w:gridCol w:w="211"/>
        <w:gridCol w:w="796"/>
        <w:gridCol w:w="146"/>
        <w:gridCol w:w="146"/>
        <w:gridCol w:w="386"/>
        <w:gridCol w:w="635"/>
        <w:gridCol w:w="146"/>
        <w:gridCol w:w="146"/>
        <w:gridCol w:w="251"/>
        <w:gridCol w:w="770"/>
        <w:gridCol w:w="166"/>
        <w:gridCol w:w="146"/>
        <w:gridCol w:w="211"/>
        <w:gridCol w:w="79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342,978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341,729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392" w:type="dxa"/>
        <w:jc w:val="left"/>
        <w:tblInd w:w="0" w:type="dxa"/>
        <w:tblLayout w:type="fixed"/>
        <w:tblCellMar>
          <w:top w:w="28" w:type="dxa"/>
          <w:left w:w="28" w:type="dxa"/>
          <w:bottom w:w="28" w:type="dxa"/>
          <w:right w:w="28" w:type="dxa"/>
        </w:tblCellMar>
      </w:tblPr>
      <w:tblGrid>
        <w:gridCol w:w="3061"/>
        <w:gridCol w:w="146"/>
        <w:gridCol w:w="916"/>
        <w:gridCol w:w="146"/>
        <w:gridCol w:w="211"/>
        <w:gridCol w:w="796"/>
        <w:gridCol w:w="146"/>
        <w:gridCol w:w="146"/>
        <w:gridCol w:w="340"/>
        <w:gridCol w:w="681"/>
        <w:gridCol w:w="146"/>
        <w:gridCol w:w="146"/>
        <w:gridCol w:w="386"/>
        <w:gridCol w:w="635"/>
        <w:gridCol w:w="146"/>
        <w:gridCol w:w="146"/>
        <w:gridCol w:w="211"/>
        <w:gridCol w:w="79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color w:val="000000"/>
          <w:sz w:val="20"/>
        </w:rPr>
      </w:pPr>
      <w:r>
        <w:rPr>
          <w:rFonts w:ascii="Arial" w:hAnsi="Arial"/>
          <w:color w:val="000000"/>
          <w:sz w:val="20"/>
        </w:rPr>
        <w:t>The following table presents fair values and gross unrealized losses for those available-for-sale securities that were in an unrealized loss position as of June 30, 2026, aggregated by category and the length of time that the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5"/>
        <w:gridCol w:w="146"/>
        <w:gridCol w:w="244"/>
        <w:gridCol w:w="921"/>
        <w:gridCol w:w="168"/>
        <w:gridCol w:w="168"/>
        <w:gridCol w:w="351"/>
        <w:gridCol w:w="836"/>
        <w:gridCol w:w="166"/>
        <w:gridCol w:w="146"/>
        <w:gridCol w:w="305"/>
        <w:gridCol w:w="485"/>
        <w:gridCol w:w="204"/>
        <w:gridCol w:w="204"/>
        <w:gridCol w:w="548"/>
        <w:gridCol w:w="639"/>
        <w:gridCol w:w="146"/>
        <w:gridCol w:w="146"/>
        <w:gridCol w:w="211"/>
        <w:gridCol w:w="796"/>
        <w:gridCol w:w="146"/>
        <w:gridCol w:w="146"/>
        <w:gridCol w:w="292"/>
        <w:gridCol w:w="896"/>
        <w:gridCol w:w="220"/>
      </w:tblGrid>
      <w:tr>
        <w:trPr/>
        <w:tc>
          <w:tcPr>
            <w:tcW w:w="1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150,686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288,666</w:t>
            </w:r>
          </w:p>
        </w:tc>
        <w:tc>
          <w:tcPr>
            <w:tcW w:w="1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288,666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Times New Roman" w:hAnsi="Times New Roman"/>
          <w:sz w:val="20"/>
        </w:rPr>
      </w:pPr>
      <w:r>
        <w:rPr>
          <w:rFonts w:ascii="Arial" w:hAnsi="Arial"/>
          <w:color w:val="000000"/>
          <w:sz w:val="20"/>
        </w:rPr>
        <w:t>As of June 30, 2026, there were 50</w:t>
      </w:r>
      <w:r>
        <w:rPr>
          <w:rFonts w:ascii="Times New Roman" w:hAnsi="Times New Roman"/>
          <w:color w:val="000000"/>
          <w:sz w:val="20"/>
        </w:rPr>
        <w:t xml:space="preserve"> </w:t>
      </w:r>
      <w:r>
        <w:rPr>
          <w:rFonts w:ascii="Arial" w:hAnsi="Arial"/>
          <w:color w:val="000000"/>
          <w:sz w:val="20"/>
        </w:rPr>
        <w:t>available-for-sale securities with an estimated fair value of $288.7</w:t>
      </w:r>
      <w:r>
        <w:rPr>
          <w:rFonts w:ascii="Times New Roman" w:hAnsi="Times New Roman"/>
          <w:color w:val="000000"/>
          <w:sz w:val="20"/>
        </w:rPr>
        <w:t xml:space="preserve"> </w:t>
      </w:r>
      <w:r>
        <w:rPr>
          <w:rFonts w:ascii="Arial" w:hAnsi="Arial"/>
          <w:color w:val="000000"/>
          <w:sz w:val="20"/>
        </w:rPr>
        <w:t>million in gross unrealized loss positions, none</w:t>
      </w:r>
      <w:r>
        <w:rPr>
          <w:rFonts w:ascii="Times New Roman" w:hAnsi="Times New Roman"/>
          <w:color w:val="000000"/>
          <w:sz w:val="20"/>
        </w:rPr>
        <w:t xml:space="preserve"> </w:t>
      </w:r>
      <w:r>
        <w:rPr>
          <w:rFonts w:ascii="Arial" w:hAnsi="Arial"/>
          <w:color w:val="000000"/>
          <w:sz w:val="20"/>
        </w:rPr>
        <w:t>of which were in an unrealized loss position for more than 12 months. As of December 31, 2025, there were no</w:t>
      </w:r>
      <w:r>
        <w:rPr>
          <w:rFonts w:ascii="Times New Roman" w:hAnsi="Times New Roman"/>
          <w:color w:val="000000"/>
          <w:sz w:val="20"/>
        </w:rPr>
        <w:t xml:space="preserve"> </w:t>
      </w:r>
      <w:r>
        <w:rPr>
          <w:rFonts w:ascii="Arial" w:hAnsi="Arial"/>
          <w:color w:val="000000"/>
          <w:sz w:val="20"/>
        </w:rPr>
        <w:t>available-for-sale securities that were in an unrealized loss position.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Accrued interest on the Company’s available-for-sale securities was $2.5</w:t>
      </w:r>
      <w:r>
        <w:rPr>
          <w:rFonts w:ascii="Times New Roman" w:hAnsi="Times New Roman"/>
          <w:color w:val="000000"/>
          <w:sz w:val="20"/>
        </w:rPr>
        <w:t xml:space="preserve"> </w:t>
      </w:r>
      <w:r>
        <w:rPr>
          <w:rFonts w:ascii="Arial" w:hAnsi="Arial"/>
          <w:color w:val="000000"/>
          <w:sz w:val="20"/>
        </w:rPr>
        <w:t>million as of June 30, 2026 and December 31, 2025</w:t>
      </w:r>
      <w:r>
        <w:rPr>
          <w:rFonts w:ascii="Times New Roman" w:hAnsi="Times New Roman"/>
          <w:color w:val="000000"/>
          <w:sz w:val="20"/>
        </w:rPr>
        <w:t xml:space="preserve"> </w:t>
      </w:r>
      <w:r>
        <w:rPr>
          <w:rFonts w:ascii="Arial" w:hAnsi="Arial"/>
          <w:color w:val="000000"/>
          <w:sz w:val="20"/>
        </w:rPr>
        <w:t>and is included in prepaid expenses and other current assets</w:t>
      </w:r>
      <w:r>
        <w:rPr>
          <w:rFonts w:ascii="Times New Roman" w:hAnsi="Times New Roman"/>
          <w:color w:val="000000"/>
          <w:sz w:val="20"/>
        </w:rPr>
        <w:t xml:space="preserve"> </w:t>
      </w:r>
      <w:r>
        <w:rPr>
          <w:rFonts w:ascii="Arial" w:hAnsi="Arial"/>
          <w:color w:val="000000"/>
          <w:sz w:val="20"/>
        </w:rPr>
        <w:t>on the condensed consolidated balance sheets.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Note 5.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Property and equipment, net consisted of the following (in thousands):</w:t>
      </w:r>
    </w:p>
    <w:p>
      <w:pPr>
        <w:pStyle w:val="TextBody"/>
        <w:bidi w:val="0"/>
        <w:jc w:val="left"/>
        <w:rPr/>
      </w:pPr>
      <w:r>
        <w:rPr/>
        <w:t> </w:t>
      </w:r>
    </w:p>
    <w:tbl>
      <w:tblPr>
        <w:tblW w:w="7257" w:type="dxa"/>
        <w:jc w:val="left"/>
        <w:tblInd w:w="0" w:type="dxa"/>
        <w:tblLayout w:type="fixed"/>
        <w:tblCellMar>
          <w:top w:w="28" w:type="dxa"/>
          <w:left w:w="28" w:type="dxa"/>
          <w:bottom w:w="28" w:type="dxa"/>
          <w:right w:w="28" w:type="dxa"/>
        </w:tblCellMar>
      </w:tblPr>
      <w:tblGrid>
        <w:gridCol w:w="4321"/>
        <w:gridCol w:w="146"/>
        <w:gridCol w:w="211"/>
        <w:gridCol w:w="751"/>
        <w:gridCol w:w="166"/>
        <w:gridCol w:w="146"/>
        <w:gridCol w:w="285"/>
        <w:gridCol w:w="1020"/>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Property and equipment</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 and amortization</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Property and equipment, net</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Arial" w:hAnsi="Arial"/>
          <w:color w:val="000000"/>
          <w:sz w:val="20"/>
        </w:rPr>
        <w:t>Depreciation and amortization expense related to property and equipment was $716,000</w:t>
      </w:r>
      <w:r>
        <w:rPr>
          <w:rFonts w:ascii="Times New Roman" w:hAnsi="Times New Roman"/>
          <w:color w:val="000000"/>
          <w:sz w:val="20"/>
        </w:rPr>
        <w:t xml:space="preserve"> </w:t>
      </w:r>
      <w:r>
        <w:rPr>
          <w:rFonts w:ascii="Arial" w:hAnsi="Arial"/>
          <w:color w:val="000000"/>
          <w:sz w:val="20"/>
        </w:rPr>
        <w:t>and $1.4</w:t>
      </w:r>
      <w:r>
        <w:rPr>
          <w:rFonts w:ascii="Times New Roman" w:hAnsi="Times New Roman"/>
          <w:color w:val="000000"/>
          <w:sz w:val="20"/>
        </w:rPr>
        <w:t xml:space="preserve"> </w:t>
      </w:r>
      <w:r>
        <w:rPr>
          <w:rFonts w:ascii="Arial" w:hAnsi="Arial"/>
          <w:color w:val="000000"/>
          <w:sz w:val="20"/>
        </w:rPr>
        <w:t>million for the three and six months ended June 30, 2026, respectively, and $787,000</w:t>
      </w:r>
      <w:r>
        <w:rPr>
          <w:rFonts w:ascii="Times New Roman" w:hAnsi="Times New Roman"/>
          <w:color w:val="000000"/>
          <w:sz w:val="20"/>
        </w:rPr>
        <w:t xml:space="preserve"> </w:t>
      </w:r>
      <w:r>
        <w:rPr>
          <w:rFonts w:ascii="Arial" w:hAnsi="Arial"/>
          <w:color w:val="000000"/>
          <w:sz w:val="20"/>
        </w:rPr>
        <w:t>and $1.6</w:t>
      </w:r>
      <w:r>
        <w:rPr>
          <w:rFonts w:ascii="Times New Roman" w:hAnsi="Times New Roman"/>
          <w:color w:val="000000"/>
          <w:sz w:val="20"/>
        </w:rPr>
        <w:t xml:space="preserve"> </w:t>
      </w:r>
      <w:r>
        <w:rPr>
          <w:rFonts w:ascii="Arial" w:hAnsi="Arial"/>
          <w:color w:val="000000"/>
          <w:sz w:val="20"/>
        </w:rPr>
        <w:t>million for the three and six months ended June 30, 2025, respectively.</w:t>
      </w:r>
    </w:p>
    <w:p>
      <w:pPr>
        <w:pStyle w:val="TextBody"/>
        <w:bidi w:val="0"/>
        <w:spacing w:before="360" w:after="283"/>
        <w:jc w:val="left"/>
        <w:rPr>
          <w:rFonts w:ascii="Times New Roman" w:hAnsi="Times New Roman"/>
          <w:sz w:val="20"/>
        </w:rPr>
      </w:pPr>
      <w:r>
        <w:rPr>
          <w:rFonts w:ascii="Arial" w:hAnsi="Arial"/>
          <w:b/>
          <w:color w:val="000000"/>
          <w:sz w:val="20"/>
        </w:rPr>
        <w:t>Note 6. Accrued expenses and other current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Accrued expenses and other current liabilities consisted of the following (in thousands):</w:t>
      </w:r>
    </w:p>
    <w:p>
      <w:pPr>
        <w:pStyle w:val="TextBody"/>
        <w:bidi w:val="0"/>
        <w:jc w:val="left"/>
        <w:rPr/>
      </w:pPr>
      <w:r>
        <w:rPr/>
        <w:t> </w:t>
      </w:r>
    </w:p>
    <w:tbl>
      <w:tblPr>
        <w:tblW w:w="6932" w:type="dxa"/>
        <w:jc w:val="left"/>
        <w:tblInd w:w="0" w:type="dxa"/>
        <w:tblLayout w:type="fixed"/>
        <w:tblCellMar>
          <w:top w:w="28" w:type="dxa"/>
          <w:left w:w="28" w:type="dxa"/>
          <w:bottom w:w="28" w:type="dxa"/>
          <w:right w:w="28" w:type="dxa"/>
        </w:tblCellMar>
      </w:tblPr>
      <w:tblGrid>
        <w:gridCol w:w="4096"/>
        <w:gridCol w:w="146"/>
        <w:gridCol w:w="211"/>
        <w:gridCol w:w="691"/>
        <w:gridCol w:w="146"/>
        <w:gridCol w:w="146"/>
        <w:gridCol w:w="305"/>
        <w:gridCol w:w="1000"/>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Note 7. License agreements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Guangzhou Joyo Pharmatech Co., Ltd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Pursuant to the Joyo License Agreement, the Company had an option to expand the territory of the license to include mainland China, Hong Kong, and Macau by making a $50.0</w:t>
      </w:r>
      <w:r>
        <w:rPr>
          <w:rFonts w:ascii="Times New Roman" w:hAnsi="Times New Roman"/>
          <w:color w:val="000000"/>
          <w:sz w:val="20"/>
        </w:rPr>
        <w:t xml:space="preserve"> </w:t>
      </w:r>
      <w:r>
        <w:rPr>
          <w:rFonts w:ascii="Arial" w:hAnsi="Arial"/>
          <w:color w:val="000000"/>
          <w:sz w:val="20"/>
        </w:rPr>
        <w:t>million payment to Joyo on or prior to the first dosing of the first patient in a Phase 2 clinical trial by either the Company or Joyo, or a payment of $150.0</w:t>
      </w:r>
      <w:r>
        <w:rPr>
          <w:rFonts w:ascii="Times New Roman" w:hAnsi="Times New Roman"/>
          <w:color w:val="000000"/>
          <w:sz w:val="20"/>
        </w:rPr>
        <w:t xml:space="preserve"> </w:t>
      </w:r>
      <w:r>
        <w:rPr>
          <w:rFonts w:ascii="Arial" w:hAnsi="Arial"/>
          <w:color w:val="000000"/>
          <w:sz w:val="20"/>
        </w:rPr>
        <w:t>million after the first dosing of the first patient in a Phase 2 clinical trial by either the Company or Joyo and before filing a new drug application (or the foreign equivalent) by either the Company or Joyo. In March 2026, the Company sent Joyo notice that the Company was exercising its option to expand its territory under the Joyo License Agreement to include mainland China, Hong Kong, and Macau, and based upon feedback from Joyo that Joyo had dosed the first patient in a Phase 2 clinical trial, the Company made the corresponding $150.0</w:t>
      </w:r>
      <w:r>
        <w:rPr>
          <w:rFonts w:ascii="Times New Roman" w:hAnsi="Times New Roman"/>
          <w:color w:val="000000"/>
          <w:sz w:val="20"/>
        </w:rPr>
        <w:t xml:space="preserve"> </w:t>
      </w:r>
      <w:r>
        <w:rPr>
          <w:rFonts w:ascii="Arial" w:hAnsi="Arial"/>
          <w:color w:val="000000"/>
          <w:sz w:val="20"/>
        </w:rPr>
        <w:t>million payment (less applicable withholding amounts) to Joyo.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Under the Joyo License Agreement, in 2024, the Company made an upfront cash payment to Joyo of $12.5</w:t>
      </w:r>
      <w:r>
        <w:rPr>
          <w:rFonts w:ascii="Times New Roman" w:hAnsi="Times New Roman"/>
          <w:color w:val="000000"/>
          <w:sz w:val="20"/>
        </w:rPr>
        <w:t xml:space="preserve"> </w:t>
      </w:r>
      <w:r>
        <w:rPr>
          <w:rFonts w:ascii="Arial" w:hAnsi="Arial"/>
          <w:color w:val="000000"/>
          <w:sz w:val="20"/>
        </w:rPr>
        <w:t>million. The Company is obligated to make development and regulatory milestone payments of up to $57.5</w:t>
      </w:r>
      <w:r>
        <w:rPr>
          <w:rFonts w:ascii="Times New Roman" w:hAnsi="Times New Roman"/>
          <w:color w:val="000000"/>
          <w:sz w:val="20"/>
        </w:rPr>
        <w:t xml:space="preserve"> </w:t>
      </w:r>
      <w:r>
        <w:rPr>
          <w:rFonts w:ascii="Arial" w:hAnsi="Arial"/>
          <w:color w:val="000000"/>
          <w:sz w:val="20"/>
        </w:rPr>
        <w:t>million and commercial milestone payments of up to $125.0</w:t>
      </w:r>
      <w:r>
        <w:rPr>
          <w:rFonts w:ascii="Times New Roman" w:hAnsi="Times New Roman"/>
          <w:color w:val="000000"/>
          <w:sz w:val="20"/>
        </w:rPr>
        <w:t xml:space="preserve"> </w:t>
      </w:r>
      <w:r>
        <w:rPr>
          <w:rFonts w:ascii="Arial" w:hAnsi="Arial"/>
          <w:color w:val="000000"/>
          <w:sz w:val="20"/>
        </w:rPr>
        <w:t>million upon the achievement of the corresponding milestones. The Company is also obligated to pay tiered royalties on net sales of all licensed products, in the low- to mid-single digit percentages, subject to certain reductions. For the three and six months ended June 30, 2026, the Company recorded IPR&amp;D expense of $0</w:t>
      </w:r>
      <w:r>
        <w:rPr>
          <w:rFonts w:ascii="Times New Roman" w:hAnsi="Times New Roman"/>
          <w:color w:val="000000"/>
          <w:sz w:val="20"/>
        </w:rPr>
        <w:t xml:space="preserve"> </w:t>
      </w:r>
      <w:r>
        <w:rPr>
          <w:rFonts w:ascii="Arial" w:hAnsi="Arial"/>
          <w:color w:val="000000"/>
          <w:sz w:val="20"/>
        </w:rPr>
        <w:t>and $150.0</w:t>
      </w:r>
      <w:r>
        <w:rPr>
          <w:rFonts w:ascii="Times New Roman" w:hAnsi="Times New Roman"/>
          <w:color w:val="000000"/>
          <w:sz w:val="20"/>
        </w:rPr>
        <w:t xml:space="preserve"> </w:t>
      </w:r>
      <w:r>
        <w:rPr>
          <w:rFonts w:ascii="Arial" w:hAnsi="Arial"/>
          <w:color w:val="000000"/>
          <w:sz w:val="20"/>
        </w:rPr>
        <w:t>million, respectively, related to the Company's exercise of the option to expand its territory under the Joyo License Agreement. For the three and six months ended June 30, 2025, the Company recorded $7.5</w:t>
      </w:r>
      <w:r>
        <w:rPr>
          <w:rFonts w:ascii="Times New Roman" w:hAnsi="Times New Roman"/>
          <w:color w:val="000000"/>
          <w:sz w:val="20"/>
        </w:rPr>
        <w:t xml:space="preserve"> </w:t>
      </w:r>
      <w:r>
        <w:rPr>
          <w:rFonts w:ascii="Arial" w:hAnsi="Arial"/>
          <w:color w:val="000000"/>
          <w:sz w:val="20"/>
        </w:rPr>
        <w:t>million in IPR&amp;D expense related to the achievement of milestones.</w:t>
      </w:r>
    </w:p>
    <w:p>
      <w:pPr>
        <w:pStyle w:val="TextBody"/>
        <w:bidi w:val="0"/>
        <w:spacing w:before="360" w:after="283"/>
        <w:jc w:val="left"/>
        <w:rPr>
          <w:rFonts w:ascii="Arial" w:hAnsi="Arial"/>
          <w:b/>
          <w:color w:val="000000"/>
          <w:sz w:val="20"/>
        </w:rPr>
      </w:pPr>
      <w:r>
        <w:rPr>
          <w:rFonts w:ascii="Arial" w:hAnsi="Arial"/>
          <w:b/>
          <w:color w:val="000000"/>
          <w:sz w:val="20"/>
        </w:rPr>
        <w:t>Medshine Discovery Inc.</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Under the Medshine License Agreement, in 2024, the Company made an upfront cash payment to Medshine of $10.0</w:t>
      </w:r>
      <w:r>
        <w:rPr>
          <w:rFonts w:ascii="Times New Roman" w:hAnsi="Times New Roman"/>
          <w:color w:val="000000"/>
          <w:sz w:val="20"/>
        </w:rPr>
        <w:t xml:space="preserve"> </w:t>
      </w:r>
      <w:r>
        <w:rPr>
          <w:rFonts w:ascii="Arial" w:hAnsi="Arial"/>
          <w:color w:val="000000"/>
          <w:sz w:val="20"/>
        </w:rPr>
        <w:t>million. The Company is obligated to make development and regulatory milestone payments of up to $30.0</w:t>
      </w:r>
      <w:r>
        <w:rPr>
          <w:rFonts w:ascii="Times New Roman" w:hAnsi="Times New Roman"/>
          <w:color w:val="000000"/>
          <w:sz w:val="20"/>
        </w:rPr>
        <w:t xml:space="preserve"> </w:t>
      </w:r>
      <w:r>
        <w:rPr>
          <w:rFonts w:ascii="Arial" w:hAnsi="Arial"/>
          <w:color w:val="000000"/>
          <w:sz w:val="20"/>
        </w:rPr>
        <w:t>million and commercial milestone payments of up to $130.0</w:t>
      </w:r>
      <w:r>
        <w:rPr>
          <w:rFonts w:ascii="Times New Roman" w:hAnsi="Times New Roman"/>
          <w:color w:val="000000"/>
          <w:sz w:val="20"/>
        </w:rPr>
        <w:t xml:space="preserve"> </w:t>
      </w:r>
      <w:r>
        <w:rPr>
          <w:rFonts w:ascii="Arial" w:hAnsi="Arial"/>
          <w:color w:val="000000"/>
          <w:sz w:val="20"/>
        </w:rPr>
        <w:t>million upon the achievement of the corresponding milestones. The Company is also obligated to pay a low-single digit percentage royalty on net sales of all licensed products, subject to certain reductions. No</w:t>
      </w:r>
      <w:r>
        <w:rPr>
          <w:rFonts w:ascii="Times New Roman" w:hAnsi="Times New Roman"/>
          <w:color w:val="000000"/>
          <w:sz w:val="20"/>
        </w:rPr>
        <w:t xml:space="preserve"> </w:t>
      </w:r>
      <w:r>
        <w:rPr>
          <w:rFonts w:ascii="Arial" w:hAnsi="Arial"/>
          <w:color w:val="000000"/>
          <w:sz w:val="20"/>
        </w:rPr>
        <w:t>IPR&amp;D expense was recorded in connection with the Medshine License Agreement during the three and six months ended June 30, 2026 and 2025.</w:t>
      </w:r>
    </w:p>
    <w:p>
      <w:pPr>
        <w:pStyle w:val="TextBody"/>
        <w:bidi w:val="0"/>
        <w:spacing w:before="360" w:after="283"/>
        <w:jc w:val="left"/>
        <w:rPr>
          <w:rFonts w:ascii="Arial" w:hAnsi="Arial"/>
          <w:b/>
          <w:color w:val="000000"/>
          <w:sz w:val="20"/>
        </w:rPr>
      </w:pPr>
      <w:r>
        <w:rPr>
          <w:rFonts w:ascii="Arial" w:hAnsi="Arial"/>
          <w:b/>
          <w:color w:val="000000"/>
          <w:sz w:val="20"/>
        </w:rPr>
        <w:t>Novartis Pharma AG</w:t>
      </w:r>
    </w:p>
    <w:p>
      <w:pPr>
        <w:pStyle w:val="TextBody"/>
        <w:bidi w:val="0"/>
        <w:jc w:val="left"/>
        <w:rPr>
          <w:rFonts w:ascii="Times New Roman" w:hAnsi="Times New Roman"/>
          <w:sz w:val="20"/>
        </w:rPr>
      </w:pPr>
      <w:r>
        <w:rPr>
          <w:rFonts w:ascii="Arial" w:hAnsi="Arial"/>
          <w:color w:val="000000"/>
          <w:sz w:val="20"/>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2025, in connection with the Company’s expectation that ERAS-0015 and ERAS-4001 would both become clinical stage programs, the Company conducted a broader pipeline review. Following this review, in order to prioritize organizational focus and resources to advance its differentiated RAS-targeting franchise, the Company decided to evaluate strategic alternatives for its naporafenib program. After evaluating the clinical progress of the Company’s RAS franchise, the Company made a decision to stop development of naporafenib. In March 2026, the Company sent a notice to Novartis to terminate the Novartis Agreement, with an effective termination date of June 3, 2026. In connection with such termination, the Company and Novartis entered into a termination agreement pursuant to which Novartis and the Company have agreed that the Company shall continue to ensure that the patients currently enrolled in the SEACRAFT-1 and SEACRAFT-2 trials will be permitted to continue to receive treatment for the foreseeable future.</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IPR&amp;D expense was recorded in connection with the Novartis Agreement during the three and six months ended June 30, 2026 and 2025.</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and December 31, 2025, no</w:t>
      </w:r>
      <w:r>
        <w:rPr>
          <w:rFonts w:ascii="Times New Roman" w:hAnsi="Times New Roman"/>
          <w:color w:val="000000"/>
          <w:sz w:val="20"/>
        </w:rPr>
        <w:t xml:space="preserve"> </w:t>
      </w:r>
      <w:r>
        <w:rPr>
          <w:rFonts w:ascii="Arial" w:hAnsi="Arial"/>
          <w:color w:val="000000"/>
          <w:sz w:val="20"/>
        </w:rPr>
        <w:t>milestones had been accrued for any license agreement as the underlying contingencies were not probable or estimable.</w:t>
      </w:r>
    </w:p>
    <w:p>
      <w:pPr>
        <w:pStyle w:val="TextBody"/>
        <w:bidi w:val="0"/>
        <w:spacing w:before="360" w:after="283"/>
        <w:jc w:val="left"/>
        <w:rPr>
          <w:rFonts w:ascii="Arial" w:hAnsi="Arial"/>
          <w:b/>
          <w:color w:val="000000"/>
          <w:sz w:val="20"/>
        </w:rPr>
      </w:pPr>
      <w:r>
        <w:rPr>
          <w:rFonts w:ascii="Arial" w:hAnsi="Arial"/>
          <w:b/>
          <w:color w:val="000000"/>
          <w:sz w:val="20"/>
        </w:rPr>
        <w:t>Note 8.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Holders of the Company's common stock are entitled to one vote for each share held</w:t>
      </w:r>
      <w:r>
        <w:rPr>
          <w:rFonts w:ascii="Times New Roman" w:hAnsi="Times New Roman"/>
          <w:color w:val="000000"/>
          <w:sz w:val="20"/>
        </w:rPr>
        <w:t xml:space="preserve"> </w:t>
      </w:r>
      <w:r>
        <w:rPr>
          <w:rFonts w:ascii="Arial" w:hAnsi="Arial"/>
          <w:color w:val="000000"/>
          <w:sz w:val="20"/>
        </w:rPr>
        <w:t>on the applicable record date with respect to all matters submitted to a vote of stockholders, including the election of directors, and do not have cumulative voting rights. Common stockholders are entitled to receive dividends, as may be declared by the Company’s board of directors. As of June 30, 2026, no</w:t>
      </w:r>
      <w:r>
        <w:rPr>
          <w:rFonts w:ascii="Times New Roman" w:hAnsi="Times New Roman"/>
          <w:color w:val="000000"/>
          <w:sz w:val="20"/>
        </w:rPr>
        <w:t xml:space="preserve"> </w:t>
      </w:r>
      <w:r>
        <w:rPr>
          <w:rFonts w:ascii="Arial" w:hAnsi="Arial"/>
          <w:color w:val="000000"/>
          <w:sz w:val="20"/>
        </w:rPr>
        <w:t>dividends had been declared.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Common stock reserved for future issuance</w:t>
      </w:r>
    </w:p>
    <w:p>
      <w:pPr>
        <w:pStyle w:val="TextBody"/>
        <w:bidi w:val="0"/>
        <w:jc w:val="left"/>
        <w:rPr>
          <w:rFonts w:ascii="Arial" w:hAnsi="Arial"/>
          <w:color w:val="000000"/>
          <w:sz w:val="20"/>
        </w:rPr>
      </w:pPr>
      <w:r>
        <w:rPr>
          <w:rFonts w:ascii="Arial" w:hAnsi="Arial"/>
          <w:color w:val="000000"/>
          <w:sz w:val="20"/>
        </w:rPr>
        <w:t>Common stock reserved for future issuance consisted of the following as of June 30, 2026 and December 31, 2025:</w:t>
      </w:r>
    </w:p>
    <w:p>
      <w:pPr>
        <w:pStyle w:val="TextBody"/>
        <w:bidi w:val="0"/>
        <w:jc w:val="left"/>
        <w:rPr/>
      </w:pPr>
      <w:r>
        <w:rPr/>
        <w:t> </w:t>
      </w:r>
    </w:p>
    <w:tbl>
      <w:tblPr>
        <w:tblW w:w="7457" w:type="dxa"/>
        <w:jc w:val="left"/>
        <w:tblInd w:w="0" w:type="dxa"/>
        <w:tblLayout w:type="fixed"/>
        <w:tblCellMar>
          <w:top w:w="28" w:type="dxa"/>
          <w:left w:w="28" w:type="dxa"/>
          <w:bottom w:w="28" w:type="dxa"/>
          <w:right w:w="28" w:type="dxa"/>
        </w:tblCellMar>
      </w:tblPr>
      <w:tblGrid>
        <w:gridCol w:w="4171"/>
        <w:gridCol w:w="146"/>
        <w:gridCol w:w="146"/>
        <w:gridCol w:w="1066"/>
        <w:gridCol w:w="146"/>
        <w:gridCol w:w="146"/>
        <w:gridCol w:w="157"/>
        <w:gridCol w:w="1148"/>
        <w:gridCol w:w="33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7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47,461,519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Awards available for future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15,636,814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13,524,648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purchase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3,206,455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3,812,732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171" w:type="dxa"/>
            <w:tcBorders>
              <w:bottom w:val="double" w:sz="6" w:space="0" w:color="FFFFFF"/>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76,484,722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64,798,899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January 2026 underwritten offering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2026, the Company completed the sale and issuance of 25,875,000</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3,375,000</w:t>
      </w:r>
      <w:r>
        <w:rPr>
          <w:rFonts w:ascii="Times New Roman" w:hAnsi="Times New Roman"/>
          <w:color w:val="000000"/>
          <w:sz w:val="20"/>
        </w:rPr>
        <w:t xml:space="preserve"> </w:t>
      </w:r>
      <w:r>
        <w:rPr>
          <w:rFonts w:ascii="Arial" w:hAnsi="Arial"/>
          <w:color w:val="000000"/>
          <w:sz w:val="20"/>
        </w:rPr>
        <w:t>shares of its common stock, at a price to the public of $10.00</w:t>
      </w:r>
      <w:r>
        <w:rPr>
          <w:rFonts w:ascii="Times New Roman" w:hAnsi="Times New Roman"/>
          <w:color w:val="000000"/>
          <w:sz w:val="20"/>
        </w:rPr>
        <w:t xml:space="preserve"> </w:t>
      </w:r>
      <w:r>
        <w:rPr>
          <w:rFonts w:ascii="Arial" w:hAnsi="Arial"/>
          <w:color w:val="000000"/>
          <w:sz w:val="20"/>
        </w:rPr>
        <w:t>per share (the January 2026 Offering). The aggregate net proceeds from the January 2026 Offering were $242.7</w:t>
      </w:r>
      <w:r>
        <w:rPr>
          <w:rFonts w:ascii="Times New Roman" w:hAnsi="Times New Roman"/>
          <w:color w:val="000000"/>
          <w:sz w:val="20"/>
        </w:rPr>
        <w:t xml:space="preserve"> </w:t>
      </w:r>
      <w:r>
        <w:rPr>
          <w:rFonts w:ascii="Arial" w:hAnsi="Arial"/>
          <w:color w:val="000000"/>
          <w:sz w:val="20"/>
        </w:rPr>
        <w:t>million, net of underwriting discounts and commissions and offering costs of $16.0</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left"/>
        <w:rPr>
          <w:rFonts w:ascii="Times New Roman" w:hAnsi="Times New Roman"/>
          <w:sz w:val="20"/>
        </w:rPr>
      </w:pPr>
      <w:r>
        <w:rPr>
          <w:rFonts w:ascii="Arial" w:hAnsi="Arial"/>
          <w:b/>
          <w:color w:val="000000"/>
          <w:sz w:val="20"/>
        </w:rPr>
        <w:t>ATM offerings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2022, the Company entered into an Open Market Sale Agreement (the Sale Agreement) with Jefferies LLC (the Agent), pursuant to which the Company could offer and sell shares of its common stock having an aggregate offering price of up to $200</w:t>
      </w:r>
      <w:r>
        <w:rPr>
          <w:rFonts w:ascii="Times New Roman" w:hAnsi="Times New Roman"/>
          <w:color w:val="000000"/>
          <w:sz w:val="20"/>
        </w:rPr>
        <w:t xml:space="preserve"> </w:t>
      </w:r>
      <w:r>
        <w:rPr>
          <w:rFonts w:ascii="Arial" w:hAnsi="Arial"/>
          <w:color w:val="000000"/>
          <w:sz w:val="20"/>
        </w:rPr>
        <w:t>million from time to time, in an “at-the-market offering” (ATM Program) through the Agent. Sales of the shares of common stock were made at prevailing market prices at the time of sale, or as otherwise agreed with the Agent. Pursuant to the Sale Agreement, the Agent received a commission from the Company of up to 3.0% of the gross proceeds of shares of common stock sold under the Sale Agreement. No</w:t>
      </w:r>
      <w:r>
        <w:rPr>
          <w:rFonts w:ascii="Times New Roman" w:hAnsi="Times New Roman"/>
          <w:color w:val="000000"/>
          <w:sz w:val="20"/>
        </w:rPr>
        <w:t xml:space="preserve"> </w:t>
      </w:r>
      <w:r>
        <w:rPr>
          <w:rFonts w:ascii="Arial" w:hAnsi="Arial"/>
          <w:color w:val="000000"/>
          <w:sz w:val="20"/>
        </w:rPr>
        <w:t>shares of the Company's common stock were sold under the ATM Program during the three and six months ended June 30, 2025.</w:t>
      </w:r>
    </w:p>
    <w:p>
      <w:pPr>
        <w:pStyle w:val="TextBody"/>
        <w:bidi w:val="0"/>
        <w:jc w:val="left"/>
        <w:rPr>
          <w:rFonts w:ascii="Times New Roman" w:hAnsi="Times New Roman"/>
          <w:sz w:val="20"/>
        </w:rPr>
      </w:pPr>
      <w:r>
        <w:rPr>
          <w:rFonts w:ascii="Arial" w:hAnsi="Arial"/>
          <w:color w:val="000000"/>
          <w:sz w:val="20"/>
        </w:rPr>
        <w:t>In August 2025, the Company entered into an Amended and Restated Open Market Sale Agreement (the 2025 Sale Agreement) with the Agent, pursuant to which the Company may offer and sell shares of the Company’s common stock having an aggregate offering price of up to $200</w:t>
      </w:r>
      <w:r>
        <w:rPr>
          <w:rFonts w:ascii="Times New Roman" w:hAnsi="Times New Roman"/>
          <w:color w:val="000000"/>
          <w:sz w:val="20"/>
        </w:rPr>
        <w:t xml:space="preserve"> </w:t>
      </w:r>
      <w:r>
        <w:rPr>
          <w:rFonts w:ascii="Arial" w:hAnsi="Arial"/>
          <w:color w:val="000000"/>
          <w:sz w:val="20"/>
        </w:rPr>
        <w:t>million from time to time, in the ATM Program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2025 Sale Agreement. No</w:t>
      </w:r>
      <w:r>
        <w:rPr>
          <w:rFonts w:ascii="Times New Roman" w:hAnsi="Times New Roman"/>
          <w:color w:val="000000"/>
          <w:sz w:val="20"/>
        </w:rPr>
        <w:t xml:space="preserve"> </w:t>
      </w:r>
      <w:r>
        <w:rPr>
          <w:rFonts w:ascii="Arial" w:hAnsi="Arial"/>
          <w:color w:val="000000"/>
          <w:sz w:val="20"/>
        </w:rPr>
        <w:t>shares of the Company's common stock were sold under the ATM Program during the three and six months ended June 30, 2026. As of June 30, 2026, the Company had $200.0</w:t>
      </w:r>
      <w:r>
        <w:rPr>
          <w:rFonts w:ascii="Times New Roman" w:hAnsi="Times New Roman"/>
          <w:color w:val="000000"/>
          <w:sz w:val="20"/>
        </w:rPr>
        <w:t xml:space="preserve"> </w:t>
      </w:r>
      <w:r>
        <w:rPr>
          <w:rFonts w:ascii="Arial" w:hAnsi="Arial"/>
          <w:color w:val="000000"/>
          <w:sz w:val="20"/>
        </w:rPr>
        <w:t>million of shares available for sale under the ATM Program.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Note 9. 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non-employee consultants of the Company. A total of 15,150,000</w:t>
      </w:r>
      <w:r>
        <w:rPr>
          <w:rFonts w:ascii="Times New Roman" w:hAnsi="Times New Roman"/>
          <w:color w:val="000000"/>
          <w:sz w:val="20"/>
        </w:rPr>
        <w:t xml:space="preserve"> </w:t>
      </w:r>
      <w:r>
        <w:rPr>
          <w:rFonts w:ascii="Arial" w:hAnsi="Arial"/>
          <w:color w:val="000000"/>
          <w:sz w:val="20"/>
        </w:rPr>
        <w:t>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June 30, 2026, there were 15,636,814</w:t>
      </w:r>
      <w:r>
        <w:rPr>
          <w:rFonts w:ascii="Times New Roman" w:hAnsi="Times New Roman"/>
          <w:color w:val="000000"/>
          <w:sz w:val="20"/>
        </w:rPr>
        <w:t xml:space="preserve"> </w:t>
      </w:r>
      <w:r>
        <w:rPr>
          <w:rFonts w:ascii="Arial" w:hAnsi="Arial"/>
          <w:color w:val="000000"/>
          <w:sz w:val="20"/>
        </w:rPr>
        <w:t>stock-based awards available for future grant under the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Subsequent to July 2021, no</w:t>
      </w:r>
      <w:r>
        <w:rPr>
          <w:rFonts w:ascii="Times New Roman" w:hAnsi="Times New Roman"/>
          <w:color w:val="000000"/>
          <w:sz w:val="20"/>
        </w:rPr>
        <w:t xml:space="preserve"> </w:t>
      </w:r>
      <w:r>
        <w:rPr>
          <w:rFonts w:ascii="Arial" w:hAnsi="Arial"/>
          <w:color w:val="000000"/>
          <w:sz w:val="20"/>
        </w:rPr>
        <w:t>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Options granted are exercisable at various dates as determined upon grant and will expire no more than ten years</w:t>
      </w:r>
      <w:r>
        <w:rPr>
          <w:rFonts w:ascii="Times New Roman" w:hAnsi="Times New Roman"/>
          <w:color w:val="000000"/>
          <w:sz w:val="20"/>
        </w:rPr>
        <w:t xml:space="preserve"> </w:t>
      </w:r>
      <w:r>
        <w:rPr>
          <w:rFonts w:ascii="Arial" w:hAnsi="Arial"/>
          <w:color w:val="000000"/>
          <w:sz w:val="20"/>
        </w:rPr>
        <w:t>from their date of grant. Stock options generally vest over a four-year</w:t>
      </w:r>
      <w:r>
        <w:rPr>
          <w:rFonts w:ascii="Times New Roman" w:hAnsi="Times New Roman"/>
          <w:color w:val="000000"/>
          <w:sz w:val="20"/>
        </w:rPr>
        <w:t xml:space="preserve"> </w:t>
      </w:r>
      <w:r>
        <w:rPr>
          <w:rFonts w:ascii="Arial" w:hAnsi="Arial"/>
          <w:color w:val="000000"/>
          <w:sz w:val="20"/>
        </w:rPr>
        <w:t>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pStyle w:val="TextBody"/>
        <w:bidi w:val="0"/>
        <w:spacing w:before="360" w:after="283"/>
        <w:jc w:val="left"/>
        <w:rPr>
          <w:rFonts w:ascii="Arial" w:hAnsi="Arial"/>
          <w:b/>
          <w:color w:val="000000"/>
          <w:sz w:val="20"/>
        </w:rPr>
      </w:pPr>
      <w:r>
        <w:rPr>
          <w:rFonts w:ascii="Arial" w:hAnsi="Arial"/>
          <w:b/>
          <w:color w:val="000000"/>
          <w:sz w:val="20"/>
        </w:rPr>
        <w:t>Stock options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summary of the Company’s stock option activity under the 2021 Plan and 2018 Plan is as follows (in thousands, except share and per share data and years):</w:t>
      </w:r>
    </w:p>
    <w:p>
      <w:pPr>
        <w:pStyle w:val="TextBody"/>
        <w:bidi w:val="0"/>
        <w:jc w:val="left"/>
        <w:rPr/>
      </w:pPr>
      <w:r>
        <w:rPr/>
        <w:t> </w:t>
      </w:r>
    </w:p>
    <w:tbl>
      <w:tblPr>
        <w:tblW w:w="9858" w:type="dxa"/>
        <w:jc w:val="left"/>
        <w:tblInd w:w="0" w:type="dxa"/>
        <w:tblLayout w:type="fixed"/>
        <w:tblCellMar>
          <w:top w:w="28" w:type="dxa"/>
          <w:left w:w="28" w:type="dxa"/>
          <w:bottom w:w="28" w:type="dxa"/>
          <w:right w:w="28" w:type="dxa"/>
        </w:tblCellMar>
      </w:tblPr>
      <w:tblGrid>
        <w:gridCol w:w="3361"/>
        <w:gridCol w:w="146"/>
        <w:gridCol w:w="146"/>
        <w:gridCol w:w="1066"/>
        <w:gridCol w:w="166"/>
        <w:gridCol w:w="146"/>
        <w:gridCol w:w="352"/>
        <w:gridCol w:w="983"/>
        <w:gridCol w:w="146"/>
        <w:gridCol w:w="146"/>
        <w:gridCol w:w="395"/>
        <w:gridCol w:w="1315"/>
        <w:gridCol w:w="146"/>
        <w:gridCol w:w="146"/>
        <w:gridCol w:w="211"/>
        <w:gridCol w:w="796"/>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47,461,519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12,095,787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(1,915,853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2026</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57,641,453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 at June 30, 2026</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31,270,789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Arial" w:hAnsi="Arial"/>
          <w:color w:val="000000"/>
          <w:sz w:val="20"/>
        </w:rPr>
        <w:t>The weighted-average grant date fair value of options granted for the three and six months ended June 30, 2026 was $10.09</w:t>
      </w:r>
      <w:r>
        <w:rPr>
          <w:rFonts w:ascii="Times New Roman" w:hAnsi="Times New Roman"/>
          <w:color w:val="000000"/>
          <w:sz w:val="20"/>
        </w:rPr>
        <w:t xml:space="preserve"> </w:t>
      </w:r>
      <w:r>
        <w:rPr>
          <w:rFonts w:ascii="Arial" w:hAnsi="Arial"/>
          <w:color w:val="000000"/>
          <w:sz w:val="20"/>
        </w:rPr>
        <w:t>and $7.36, respectively, and for the three and six months ended June 30, 2025 was $1.02</w:t>
      </w:r>
      <w:r>
        <w:rPr>
          <w:rFonts w:ascii="Times New Roman" w:hAnsi="Times New Roman"/>
          <w:color w:val="000000"/>
          <w:sz w:val="20"/>
        </w:rPr>
        <w:t xml:space="preserve"> </w:t>
      </w:r>
      <w:r>
        <w:rPr>
          <w:rFonts w:ascii="Arial" w:hAnsi="Arial"/>
          <w:color w:val="000000"/>
          <w:sz w:val="20"/>
        </w:rPr>
        <w:t>and $1.25, respectively. As of June 30, 2026, the unrecognized compensation cost related to unvested stock option grants was $100.8</w:t>
      </w:r>
      <w:r>
        <w:rPr>
          <w:rFonts w:ascii="Times New Roman" w:hAnsi="Times New Roman"/>
          <w:color w:val="000000"/>
          <w:sz w:val="20"/>
        </w:rPr>
        <w:t xml:space="preserve"> </w:t>
      </w:r>
      <w:r>
        <w:rPr>
          <w:rFonts w:ascii="Arial" w:hAnsi="Arial"/>
          <w:color w:val="000000"/>
          <w:sz w:val="20"/>
        </w:rPr>
        <w:t>million and is expected to be recognized as expense over approximately 2.63</w:t>
      </w:r>
      <w:r>
        <w:rPr>
          <w:rFonts w:ascii="Times New Roman" w:hAnsi="Times New Roman"/>
          <w:color w:val="000000"/>
          <w:sz w:val="20"/>
        </w:rPr>
        <w:t xml:space="preserve"> </w:t>
      </w:r>
      <w:r>
        <w:rPr>
          <w:rFonts w:ascii="Arial" w:hAnsi="Arial"/>
          <w:color w:val="000000"/>
          <w:sz w:val="20"/>
        </w:rPr>
        <w:t>years. The intrinsic value of the options exercised for the three and six months ended June 30, 2026 was $13.1</w:t>
      </w:r>
      <w:r>
        <w:rPr>
          <w:rFonts w:ascii="Times New Roman" w:hAnsi="Times New Roman"/>
          <w:color w:val="000000"/>
          <w:sz w:val="20"/>
        </w:rPr>
        <w:t xml:space="preserve"> </w:t>
      </w:r>
      <w:r>
        <w:rPr>
          <w:rFonts w:ascii="Arial" w:hAnsi="Arial"/>
          <w:color w:val="000000"/>
          <w:sz w:val="20"/>
        </w:rPr>
        <w:t>million and $17.3</w:t>
      </w:r>
      <w:r>
        <w:rPr>
          <w:rFonts w:ascii="Times New Roman" w:hAnsi="Times New Roman"/>
          <w:color w:val="000000"/>
          <w:sz w:val="20"/>
        </w:rPr>
        <w:t xml:space="preserve"> </w:t>
      </w:r>
      <w:r>
        <w:rPr>
          <w:rFonts w:ascii="Arial" w:hAnsi="Arial"/>
          <w:color w:val="000000"/>
          <w:sz w:val="20"/>
        </w:rPr>
        <w:t>million, respectively. The intrinsic value of the options exercised for the three and six months ended June 30, 2025 was $58,000</w:t>
      </w:r>
      <w:r>
        <w:rPr>
          <w:rFonts w:ascii="Times New Roman" w:hAnsi="Times New Roman"/>
          <w:color w:val="000000"/>
          <w:sz w:val="20"/>
        </w:rPr>
        <w:t xml:space="preserve"> </w:t>
      </w:r>
      <w:r>
        <w:rPr>
          <w:rFonts w:ascii="Arial" w:hAnsi="Arial"/>
          <w:color w:val="000000"/>
          <w:sz w:val="20"/>
        </w:rPr>
        <w:t>and $132,000,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assumptions used in the Black-Scholes option pricing model to determine the fair value of the employee and nonemployee stock option grants were as follows:</w:t>
      </w:r>
    </w:p>
    <w:p>
      <w:pPr>
        <w:pStyle w:val="TextBody"/>
        <w:bidi w:val="0"/>
        <w:jc w:val="left"/>
        <w:rPr/>
      </w:pPr>
      <w:r>
        <w:rPr/>
        <w:t> </w:t>
      </w:r>
    </w:p>
    <w:tbl>
      <w:tblPr>
        <w:tblW w:w="8839" w:type="dxa"/>
        <w:jc w:val="left"/>
        <w:tblInd w:w="0" w:type="dxa"/>
        <w:tblLayout w:type="fixed"/>
        <w:tblCellMar>
          <w:top w:w="28" w:type="dxa"/>
          <w:left w:w="28" w:type="dxa"/>
          <w:bottom w:w="28" w:type="dxa"/>
          <w:right w:w="28" w:type="dxa"/>
        </w:tblCellMar>
      </w:tblPr>
      <w:tblGrid>
        <w:gridCol w:w="2266"/>
        <w:gridCol w:w="146"/>
        <w:gridCol w:w="1486"/>
        <w:gridCol w:w="146"/>
        <w:gridCol w:w="1486"/>
        <w:gridCol w:w="146"/>
        <w:gridCol w:w="1486"/>
        <w:gridCol w:w="146"/>
        <w:gridCol w:w="15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22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4.06%-4.25%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3.96%-4.04%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3.72%-4.25%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3.96%-4.43%</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77.93%-81.79%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80.33%-82.36%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73.54%-81.79%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79.48%-82.36%</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5.50-6.06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5.50-6.02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5.28-6.08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5.28-6.08</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color w:val="000000"/>
          <w:sz w:val="20"/>
        </w:rPr>
        <w:t>Effective May 21, 2024, and in accordance with the terms of the 2021 Plan, the Company's board of directors approved a stock option repricing (the Option Repricing) whereby the exercise price of each Repriced Option (as defined below) was reduced to $2.35</w:t>
      </w:r>
      <w:r>
        <w:rPr>
          <w:rFonts w:ascii="Times New Roman" w:hAnsi="Times New Roman"/>
          <w:color w:val="000000"/>
          <w:sz w:val="20"/>
        </w:rPr>
        <w:t xml:space="preserve"> </w:t>
      </w:r>
      <w:r>
        <w:rPr>
          <w:rFonts w:ascii="Arial" w:hAnsi="Arial"/>
          <w:color w:val="000000"/>
          <w:sz w:val="20"/>
        </w:rPr>
        <w:t>per share, the closing stock price on May 21, 2024. For purposes of the Option Repricing, “Repriced Options” are 7,478,918</w:t>
      </w:r>
      <w:r>
        <w:rPr>
          <w:rFonts w:ascii="Times New Roman" w:hAnsi="Times New Roman"/>
          <w:color w:val="000000"/>
          <w:sz w:val="20"/>
        </w:rPr>
        <w:t xml:space="preserve"> </w:t>
      </w:r>
      <w:r>
        <w:rPr>
          <w:rFonts w:ascii="Arial" w:hAnsi="Arial"/>
          <w:color w:val="000000"/>
          <w:sz w:val="20"/>
        </w:rPr>
        <w:t>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Chief Legal Officer) and the Company's board of directors.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To the extent a Repriced Option was exercised prior to the Premium End Date (as defined below), the eligible employee was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retained their existing terms and conditions as set forth in the 2021 Plan and the applicable award agreements. All repriced options retained their original vesting schedule.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Option Repricing resulted in $1.1</w:t>
      </w:r>
      <w:r>
        <w:rPr>
          <w:rFonts w:ascii="Times New Roman" w:hAnsi="Times New Roman"/>
          <w:color w:val="000000"/>
          <w:sz w:val="20"/>
        </w:rPr>
        <w:t xml:space="preserve"> </w:t>
      </w:r>
      <w:r>
        <w:rPr>
          <w:rFonts w:ascii="Arial" w:hAnsi="Arial"/>
          <w:color w:val="000000"/>
          <w:sz w:val="20"/>
        </w:rPr>
        <w:t>million of incremental cost, which was calculated using the Black-Scholes option pricing model, of which $559,000</w:t>
      </w:r>
      <w:r>
        <w:rPr>
          <w:rFonts w:ascii="Times New Roman" w:hAnsi="Times New Roman"/>
          <w:color w:val="000000"/>
          <w:sz w:val="20"/>
        </w:rPr>
        <w:t xml:space="preserve"> </w:t>
      </w:r>
      <w:r>
        <w:rPr>
          <w:rFonts w:ascii="Arial" w:hAnsi="Arial"/>
          <w:color w:val="000000"/>
          <w:sz w:val="20"/>
        </w:rPr>
        <w:t>of the incremental cost was recognized on a straight-line basis through the Premium End Date, and $558,000</w:t>
      </w:r>
      <w:r>
        <w:rPr>
          <w:rFonts w:ascii="Times New Roman" w:hAnsi="Times New Roman"/>
          <w:color w:val="000000"/>
          <w:sz w:val="20"/>
        </w:rPr>
        <w:t xml:space="preserve"> </w:t>
      </w:r>
      <w:r>
        <w:rPr>
          <w:rFonts w:ascii="Arial" w:hAnsi="Arial"/>
          <w:color w:val="000000"/>
          <w:sz w:val="20"/>
        </w:rPr>
        <w:t>of the incremental cost will be recognized on a straight-line basis over the greater of the period through the Premium End Date or the remaining service period. The incremental cost is included in general and administrative expense and research and development expense on the condensed consolidated statements of operations and comprehensive loss.</w:t>
      </w:r>
    </w:p>
    <w:p>
      <w:pPr>
        <w:pStyle w:val="TextBody"/>
        <w:bidi w:val="0"/>
        <w:spacing w:before="360" w:after="283"/>
        <w:jc w:val="left"/>
        <w:rPr>
          <w:rFonts w:ascii="Arial" w:hAnsi="Arial"/>
          <w:b/>
          <w:color w:val="000000"/>
          <w:sz w:val="20"/>
        </w:rPr>
      </w:pPr>
      <w:r>
        <w:rPr>
          <w:rFonts w:ascii="Arial" w:hAnsi="Arial"/>
          <w:b/>
          <w:color w:val="000000"/>
          <w:sz w:val="20"/>
        </w:rPr>
        <w:t>Employee stock purchase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the Company’s board of directors adopted and the Company’s stockholders approved the Company's 2021 Employee Stock Purchase Plan (the ESPP), which became effective in connection with the IPO. The ESPP permits participants to contribute up to a specified percentage of their eligible compensation during a series of offering periods of 24 months, each comprised of four six-month</w:t>
      </w:r>
      <w:r>
        <w:rPr>
          <w:rFonts w:ascii="Times New Roman" w:hAnsi="Times New Roman"/>
          <w:color w:val="000000"/>
          <w:sz w:val="20"/>
        </w:rPr>
        <w:t xml:space="preserve"> </w:t>
      </w:r>
      <w:r>
        <w:rPr>
          <w:rFonts w:ascii="Arial" w:hAnsi="Arial"/>
          <w:color w:val="000000"/>
          <w:sz w:val="20"/>
        </w:rPr>
        <w:t>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w:t>
      </w:r>
      <w:r>
        <w:rPr>
          <w:rFonts w:ascii="Times New Roman" w:hAnsi="Times New Roman"/>
          <w:color w:val="000000"/>
          <w:sz w:val="20"/>
        </w:rPr>
        <w:t xml:space="preserve"> </w:t>
      </w:r>
      <w:r>
        <w:rPr>
          <w:rFonts w:ascii="Arial" w:hAnsi="Arial"/>
          <w:color w:val="000000"/>
          <w:sz w:val="20"/>
        </w:rPr>
        <w:t>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recognized stock-based compensation expense related to the ESPP of $278,000</w:t>
      </w:r>
      <w:r>
        <w:rPr>
          <w:rFonts w:ascii="Times New Roman" w:hAnsi="Times New Roman"/>
          <w:color w:val="000000"/>
          <w:sz w:val="20"/>
        </w:rPr>
        <w:t xml:space="preserve"> </w:t>
      </w:r>
      <w:r>
        <w:rPr>
          <w:rFonts w:ascii="Arial" w:hAnsi="Arial"/>
          <w:color w:val="000000"/>
          <w:sz w:val="20"/>
        </w:rPr>
        <w:t>and $464,000</w:t>
      </w:r>
      <w:r>
        <w:rPr>
          <w:rFonts w:ascii="Times New Roman" w:hAnsi="Times New Roman"/>
          <w:color w:val="000000"/>
          <w:sz w:val="20"/>
        </w:rPr>
        <w:t xml:space="preserve"> </w:t>
      </w:r>
      <w:r>
        <w:rPr>
          <w:rFonts w:ascii="Arial" w:hAnsi="Arial"/>
          <w:color w:val="000000"/>
          <w:sz w:val="20"/>
        </w:rPr>
        <w:t>during the three and six months ended June 30, 2026, respectively, and $247,000</w:t>
      </w:r>
      <w:r>
        <w:rPr>
          <w:rFonts w:ascii="Times New Roman" w:hAnsi="Times New Roman"/>
          <w:color w:val="000000"/>
          <w:sz w:val="20"/>
        </w:rPr>
        <w:t xml:space="preserve"> </w:t>
      </w:r>
      <w:r>
        <w:rPr>
          <w:rFonts w:ascii="Arial" w:hAnsi="Arial"/>
          <w:color w:val="000000"/>
          <w:sz w:val="20"/>
        </w:rPr>
        <w:t>and $461,000</w:t>
      </w:r>
      <w:r>
        <w:rPr>
          <w:rFonts w:ascii="Times New Roman" w:hAnsi="Times New Roman"/>
          <w:color w:val="000000"/>
          <w:sz w:val="20"/>
        </w:rPr>
        <w:t xml:space="preserve"> </w:t>
      </w:r>
      <w:r>
        <w:rPr>
          <w:rFonts w:ascii="Arial" w:hAnsi="Arial"/>
          <w:color w:val="000000"/>
          <w:sz w:val="20"/>
        </w:rPr>
        <w:t>during the three and six months ended June 30, 2025, respectively. As of June 30, 2026, the unrecognized compensation cost related to the ESPP was $905,000</w:t>
      </w:r>
      <w:r>
        <w:rPr>
          <w:rFonts w:ascii="Times New Roman" w:hAnsi="Times New Roman"/>
          <w:color w:val="000000"/>
          <w:sz w:val="20"/>
        </w:rPr>
        <w:t xml:space="preserve"> </w:t>
      </w:r>
      <w:r>
        <w:rPr>
          <w:rFonts w:ascii="Arial" w:hAnsi="Arial"/>
          <w:color w:val="000000"/>
          <w:sz w:val="20"/>
        </w:rPr>
        <w:t>and is expected to be recognized as expense over approximately 1.02</w:t>
      </w:r>
      <w:r>
        <w:rPr>
          <w:rFonts w:ascii="Times New Roman" w:hAnsi="Times New Roman"/>
          <w:color w:val="000000"/>
          <w:sz w:val="20"/>
        </w:rPr>
        <w:t xml:space="preserve"> </w:t>
      </w:r>
      <w:r>
        <w:rPr>
          <w:rFonts w:ascii="Arial" w:hAnsi="Arial"/>
          <w:color w:val="000000"/>
          <w:sz w:val="20"/>
        </w:rPr>
        <w:t>years. As of June 30, 2026 and December 31, 2025, $121,000</w:t>
      </w:r>
      <w:r>
        <w:rPr>
          <w:rFonts w:ascii="Times New Roman" w:hAnsi="Times New Roman"/>
          <w:color w:val="000000"/>
          <w:sz w:val="20"/>
        </w:rPr>
        <w:t xml:space="preserve"> </w:t>
      </w:r>
      <w:r>
        <w:rPr>
          <w:rFonts w:ascii="Arial" w:hAnsi="Arial"/>
          <w:color w:val="000000"/>
          <w:sz w:val="20"/>
        </w:rPr>
        <w:t>and $67,000</w:t>
      </w:r>
      <w:r>
        <w:rPr>
          <w:rFonts w:ascii="Times New Roman" w:hAnsi="Times New Roman"/>
          <w:color w:val="000000"/>
          <w:sz w:val="20"/>
        </w:rPr>
        <w:t xml:space="preserve"> </w:t>
      </w:r>
      <w:r>
        <w:rPr>
          <w:rFonts w:ascii="Arial" w:hAnsi="Arial"/>
          <w:color w:val="000000"/>
          <w:sz w:val="20"/>
        </w:rPr>
        <w:t>has been withheld on behalf of employees for future purchase under the ESPP, respectively, and is included in accrued expenses and other current liabilities on the condensed consolidated balance sheets. The Company issued and sold 606,277</w:t>
      </w:r>
      <w:r>
        <w:rPr>
          <w:rFonts w:ascii="Times New Roman" w:hAnsi="Times New Roman"/>
          <w:color w:val="000000"/>
          <w:sz w:val="20"/>
        </w:rPr>
        <w:t xml:space="preserve"> </w:t>
      </w:r>
      <w:r>
        <w:rPr>
          <w:rFonts w:ascii="Arial" w:hAnsi="Arial"/>
          <w:color w:val="000000"/>
          <w:sz w:val="20"/>
        </w:rPr>
        <w:t>shares under the ESPP during the three and six months ended June 30, 2026 and 321,091</w:t>
      </w:r>
      <w:r>
        <w:rPr>
          <w:rFonts w:ascii="Times New Roman" w:hAnsi="Times New Roman"/>
          <w:color w:val="000000"/>
          <w:sz w:val="20"/>
        </w:rPr>
        <w:t xml:space="preserve"> </w:t>
      </w:r>
      <w:r>
        <w:rPr>
          <w:rFonts w:ascii="Arial" w:hAnsi="Arial"/>
          <w:color w:val="000000"/>
          <w:sz w:val="20"/>
        </w:rPr>
        <w:t>shares under the ESPP during the three and six months ended June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assumptions used in the Black-Scholes option pricing model to determine the fair value of the stock to be purchased under the ESPP were as follows:</w:t>
      </w:r>
    </w:p>
    <w:p>
      <w:pPr>
        <w:pStyle w:val="TextBody"/>
        <w:bidi w:val="0"/>
        <w:jc w:val="left"/>
        <w:rPr/>
      </w:pPr>
      <w:r>
        <w:rPr/>
        <w:t> </w:t>
      </w:r>
    </w:p>
    <w:tbl>
      <w:tblPr>
        <w:tblW w:w="9049" w:type="dxa"/>
        <w:jc w:val="left"/>
        <w:tblInd w:w="0" w:type="dxa"/>
        <w:tblLayout w:type="fixed"/>
        <w:tblCellMar>
          <w:top w:w="28" w:type="dxa"/>
          <w:left w:w="28" w:type="dxa"/>
          <w:bottom w:w="28" w:type="dxa"/>
          <w:right w:w="28" w:type="dxa"/>
        </w:tblCellMar>
      </w:tblPr>
      <w:tblGrid>
        <w:gridCol w:w="2266"/>
        <w:gridCol w:w="146"/>
        <w:gridCol w:w="1591"/>
        <w:gridCol w:w="146"/>
        <w:gridCol w:w="1486"/>
        <w:gridCol w:w="146"/>
        <w:gridCol w:w="1591"/>
        <w:gridCol w:w="146"/>
        <w:gridCol w:w="15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22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3.81%-4.05%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3.81%-4.05%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3.97%-4.32%</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97.28%-136.99%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76.13%-92.99%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97.28%-136.99%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76.13%-92.99%</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0.5-2.0</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Stock-based compensation expense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allocation of stock-based compensation for all stock awards was as follows (in thousands):</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2491"/>
        <w:gridCol w:w="146"/>
        <w:gridCol w:w="293"/>
        <w:gridCol w:w="815"/>
        <w:gridCol w:w="203"/>
        <w:gridCol w:w="203"/>
        <w:gridCol w:w="293"/>
        <w:gridCol w:w="815"/>
        <w:gridCol w:w="146"/>
        <w:gridCol w:w="146"/>
        <w:gridCol w:w="241"/>
        <w:gridCol w:w="791"/>
        <w:gridCol w:w="167"/>
        <w:gridCol w:w="167"/>
        <w:gridCol w:w="241"/>
        <w:gridCol w:w="79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9,061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9,606</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Note 10. Leases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leases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has facility leases for laboratory and office space under non-cancellable and cancellable operating leases with various expiration dates through 2032.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Lease costs were comprised of the following (in thousands):</w:t>
      </w:r>
    </w:p>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1921"/>
        <w:gridCol w:w="290"/>
        <w:gridCol w:w="807"/>
        <w:gridCol w:w="228"/>
        <w:gridCol w:w="201"/>
        <w:gridCol w:w="290"/>
        <w:gridCol w:w="807"/>
        <w:gridCol w:w="166"/>
        <w:gridCol w:w="146"/>
        <w:gridCol w:w="250"/>
        <w:gridCol w:w="765"/>
        <w:gridCol w:w="196"/>
        <w:gridCol w:w="173"/>
        <w:gridCol w:w="250"/>
        <w:gridCol w:w="765"/>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Sublease income</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2,152</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paid $3.0</w:t>
      </w:r>
      <w:r>
        <w:rPr>
          <w:rFonts w:ascii="Times New Roman" w:hAnsi="Times New Roman"/>
          <w:color w:val="000000"/>
          <w:sz w:val="20"/>
        </w:rPr>
        <w:t xml:space="preserve"> </w:t>
      </w:r>
      <w:r>
        <w:rPr>
          <w:rFonts w:ascii="Arial" w:hAnsi="Arial"/>
          <w:color w:val="000000"/>
          <w:sz w:val="20"/>
        </w:rPr>
        <w:t>million and $3.3</w:t>
      </w:r>
      <w:r>
        <w:rPr>
          <w:rFonts w:ascii="Times New Roman" w:hAnsi="Times New Roman"/>
          <w:color w:val="000000"/>
          <w:sz w:val="20"/>
        </w:rPr>
        <w:t xml:space="preserve"> </w:t>
      </w:r>
      <w:r>
        <w:rPr>
          <w:rFonts w:ascii="Arial" w:hAnsi="Arial"/>
          <w:color w:val="000000"/>
          <w:sz w:val="20"/>
        </w:rPr>
        <w:t>million in cash for operating leases, net of cash received from subleases, that is included in the operating activities section of the condensed consolidated statements of cash flows for the six months ended June 30, 2026 and 2025,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weighted-average remaining lease term and the weighted-average discount rate of the Company’s operating leases were 5.91</w:t>
      </w:r>
      <w:r>
        <w:rPr>
          <w:rFonts w:ascii="Times New Roman" w:hAnsi="Times New Roman"/>
          <w:color w:val="000000"/>
          <w:sz w:val="20"/>
        </w:rPr>
        <w:t xml:space="preserve"> </w:t>
      </w:r>
      <w:r>
        <w:rPr>
          <w:rFonts w:ascii="Arial" w:hAnsi="Arial"/>
          <w:color w:val="000000"/>
          <w:sz w:val="20"/>
        </w:rPr>
        <w:t>years and 8.99%, respectively, at June 30, 2026. The weighted-average remaining lease term and the weighted-average discount rate of the Company’s operating leases were 6.39</w:t>
      </w:r>
      <w:r>
        <w:rPr>
          <w:rFonts w:ascii="Times New Roman" w:hAnsi="Times New Roman"/>
          <w:color w:val="000000"/>
          <w:sz w:val="20"/>
        </w:rPr>
        <w:t xml:space="preserve"> </w:t>
      </w:r>
      <w:r>
        <w:rPr>
          <w:rFonts w:ascii="Arial" w:hAnsi="Arial"/>
          <w:color w:val="000000"/>
          <w:sz w:val="20"/>
        </w:rPr>
        <w:t>years and 8.98%, respectively, at December 31, 2025. The weighted-average remaining lease term does not include any renewal options at the election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lease agreements do not contain any material residual value guarantees or material restrictive covenants.</w:t>
      </w:r>
    </w:p>
    <w:p>
      <w:pPr>
        <w:pStyle w:val="TextBody"/>
        <w:bidi w:val="0"/>
        <w:spacing w:before="360" w:after="283"/>
        <w:jc w:val="left"/>
        <w:rPr>
          <w:rFonts w:ascii="Arial" w:hAnsi="Arial"/>
          <w:b/>
          <w:color w:val="000000"/>
          <w:sz w:val="20"/>
        </w:rPr>
      </w:pPr>
      <w:r>
        <w:rPr>
          <w:rFonts w:ascii="Arial" w:hAnsi="Arial"/>
          <w:b/>
          <w:color w:val="000000"/>
          <w:sz w:val="20"/>
        </w:rPr>
        <w:t>Facility leases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September 2020, the Company entered into a lease agreement for approximately 60,000</w:t>
      </w:r>
      <w:r>
        <w:rPr>
          <w:rFonts w:ascii="Times New Roman" w:hAnsi="Times New Roman"/>
          <w:color w:val="000000"/>
          <w:sz w:val="20"/>
        </w:rPr>
        <w:t xml:space="preserve"> </w:t>
      </w:r>
      <w:r>
        <w:rPr>
          <w:rFonts w:ascii="Arial" w:hAnsi="Arial"/>
          <w:color w:val="000000"/>
          <w:sz w:val="20"/>
        </w:rPr>
        <w:t>square feet of laboratory and office space in San Diego, California, which represented a portion of a new facility that was under construction and which was subsequently amended in March 2021 to expand the rented premises by approximately 18,000</w:t>
      </w:r>
      <w:r>
        <w:rPr>
          <w:rFonts w:ascii="Times New Roman" w:hAnsi="Times New Roman"/>
          <w:color w:val="000000"/>
          <w:sz w:val="20"/>
        </w:rPr>
        <w:t xml:space="preserve"> </w:t>
      </w:r>
      <w:r>
        <w:rPr>
          <w:rFonts w:ascii="Arial" w:hAnsi="Arial"/>
          <w:color w:val="000000"/>
          <w:sz w:val="20"/>
        </w:rPr>
        <w:t>square feet (the 2020 Lease). The construction and design of the asset was the primary responsibility of the lessor. The Company was involved in certain aspects of construction and design for certain interior features and leasehold improvements that are beneficial to the Company to better suit its business needs and intended purpose of the space. The lease is accounted for as an operating lease and commenced in August 2021. In April 2022, the 2020 Lease was modified to amend the rent commencement date from February 2022</w:t>
      </w:r>
      <w:r>
        <w:rPr>
          <w:rFonts w:ascii="Times New Roman" w:hAnsi="Times New Roman"/>
          <w:color w:val="000000"/>
          <w:sz w:val="20"/>
        </w:rPr>
        <w:t xml:space="preserve"> </w:t>
      </w:r>
      <w:r>
        <w:rPr>
          <w:rFonts w:ascii="Arial" w:hAnsi="Arial"/>
          <w:color w:val="000000"/>
          <w:sz w:val="20"/>
        </w:rPr>
        <w:t>to May 2022. The 2020 Lease, as amended, has a term of 10.75</w:t>
      </w:r>
      <w:r>
        <w:rPr>
          <w:rFonts w:ascii="Times New Roman" w:hAnsi="Times New Roman"/>
          <w:color w:val="000000"/>
          <w:sz w:val="20"/>
        </w:rPr>
        <w:t xml:space="preserve"> </w:t>
      </w:r>
      <w:r>
        <w:rPr>
          <w:rFonts w:ascii="Arial" w:hAnsi="Arial"/>
          <w:color w:val="000000"/>
          <w:sz w:val="20"/>
        </w:rPr>
        <w:t>years and includes aggregate monthly payments to the lessor of approximately $51.6</w:t>
      </w:r>
      <w:r>
        <w:rPr>
          <w:rFonts w:ascii="Times New Roman" w:hAnsi="Times New Roman"/>
          <w:color w:val="000000"/>
          <w:sz w:val="20"/>
        </w:rPr>
        <w:t xml:space="preserve"> </w:t>
      </w:r>
      <w:r>
        <w:rPr>
          <w:rFonts w:ascii="Arial" w:hAnsi="Arial"/>
          <w:color w:val="000000"/>
          <w:sz w:val="20"/>
        </w:rPr>
        <w:t>million beginning in May 2023 with a rent escalation clause, and a tenant improvement allowance of approximately $16.8</w:t>
      </w:r>
      <w:r>
        <w:rPr>
          <w:rFonts w:ascii="Times New Roman" w:hAnsi="Times New Roman"/>
          <w:color w:val="000000"/>
          <w:sz w:val="20"/>
        </w:rPr>
        <w:t xml:space="preserve"> </w:t>
      </w:r>
      <w:r>
        <w:rPr>
          <w:rFonts w:ascii="Arial" w:hAnsi="Arial"/>
          <w:color w:val="000000"/>
          <w:sz w:val="20"/>
        </w:rPr>
        <w:t>million. The Company is responsible for its share of operating expenses based on actual operating expenses incurred by the landlord. The 2020 Lease is cancellable at the Company’s request after the 84th month with 12 months</w:t>
      </w:r>
      <w:r>
        <w:rPr>
          <w:rFonts w:ascii="Times New Roman" w:hAnsi="Times New Roman"/>
          <w:color w:val="000000"/>
          <w:sz w:val="20"/>
        </w:rPr>
        <w:t xml:space="preserve"> </w:t>
      </w:r>
      <w:r>
        <w:rPr>
          <w:rFonts w:ascii="Arial" w:hAnsi="Arial"/>
          <w:color w:val="000000"/>
          <w:sz w:val="20"/>
        </w:rPr>
        <w:t>written notice and a lump-sum cancellation payment of $2.5</w:t>
      </w:r>
      <w:r>
        <w:rPr>
          <w:rFonts w:ascii="Times New Roman" w:hAnsi="Times New Roman"/>
          <w:color w:val="000000"/>
          <w:sz w:val="20"/>
        </w:rPr>
        <w:t xml:space="preserve"> </w:t>
      </w:r>
      <w:r>
        <w:rPr>
          <w:rFonts w:ascii="Arial" w:hAnsi="Arial"/>
          <w:color w:val="000000"/>
          <w:sz w:val="20"/>
        </w:rPr>
        <w:t>million. The termination option has not been included in the Company's operating lease assets and liabilities. As discussed in Note 2, the Company provided a letter of credit to the lessor for $408,000, which expires July 29, 2032.</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December 2021, the Company entered into a lease agreement for approximately 30,000</w:t>
      </w:r>
      <w:r>
        <w:rPr>
          <w:rFonts w:ascii="Times New Roman" w:hAnsi="Times New Roman"/>
          <w:color w:val="000000"/>
          <w:sz w:val="20"/>
        </w:rPr>
        <w:t xml:space="preserve"> </w:t>
      </w:r>
      <w:r>
        <w:rPr>
          <w:rFonts w:ascii="Arial" w:hAnsi="Arial"/>
          <w:color w:val="000000"/>
          <w:sz w:val="20"/>
        </w:rPr>
        <w:t>square feet of office and laboratory space in South San Francisco, California. The lease is accounted for as an operating lease with the associated operating lease assets and liabilities recorded upon commencement,</w:t>
      </w:r>
      <w:r>
        <w:rPr>
          <w:rFonts w:ascii="Times New Roman" w:hAnsi="Times New Roman"/>
          <w:color w:val="000000"/>
          <w:sz w:val="20"/>
        </w:rPr>
        <w:t xml:space="preserve"> </w:t>
      </w:r>
      <w:r>
        <w:rPr>
          <w:rFonts w:ascii="Arial" w:hAnsi="Arial"/>
          <w:color w:val="000000"/>
          <w:sz w:val="20"/>
        </w:rPr>
        <w:t>which occurred in July 2022. The non-cancellable operating lease has an initial term of 124</w:t>
      </w:r>
      <w:r>
        <w:rPr>
          <w:rFonts w:ascii="Times New Roman" w:hAnsi="Times New Roman"/>
          <w:color w:val="000000"/>
          <w:sz w:val="20"/>
        </w:rPr>
        <w:t xml:space="preserve"> </w:t>
      </w:r>
      <w:r>
        <w:rPr>
          <w:rFonts w:ascii="Arial" w:hAnsi="Arial"/>
          <w:color w:val="000000"/>
          <w:sz w:val="20"/>
        </w:rPr>
        <w:t>months with an option</w:t>
      </w:r>
      <w:r>
        <w:rPr>
          <w:rFonts w:ascii="Times New Roman" w:hAnsi="Times New Roman"/>
          <w:color w:val="000000"/>
          <w:sz w:val="20"/>
        </w:rPr>
        <w:t xml:space="preserve"> </w:t>
      </w:r>
      <w:r>
        <w:rPr>
          <w:rFonts w:ascii="Arial" w:hAnsi="Arial"/>
          <w:color w:val="000000"/>
          <w:sz w:val="20"/>
        </w:rPr>
        <w:t>to extend the lease term by 5 years</w:t>
      </w:r>
      <w:r>
        <w:rPr>
          <w:rFonts w:ascii="Times New Roman" w:hAnsi="Times New Roman"/>
          <w:color w:val="000000"/>
          <w:sz w:val="20"/>
        </w:rPr>
        <w:t xml:space="preserve"> </w:t>
      </w:r>
      <w:r>
        <w:rPr>
          <w:rFonts w:ascii="Arial" w:hAnsi="Arial"/>
          <w:color w:val="000000"/>
          <w:sz w:val="20"/>
        </w:rPr>
        <w:t>at the then-current market rates and includes aggregate monthly payments to the lessor of approximately $34.4</w:t>
      </w:r>
      <w:r>
        <w:rPr>
          <w:rFonts w:ascii="Times New Roman" w:hAnsi="Times New Roman"/>
          <w:color w:val="000000"/>
          <w:sz w:val="20"/>
        </w:rPr>
        <w:t xml:space="preserve"> </w:t>
      </w:r>
      <w:r>
        <w:rPr>
          <w:rFonts w:ascii="Arial" w:hAnsi="Arial"/>
          <w:color w:val="000000"/>
          <w:sz w:val="20"/>
        </w:rPr>
        <w:t>million beginning in November 2022 with a rent escalation clause and a tenant improvement allowance of approximately $8.2</w:t>
      </w:r>
      <w:r>
        <w:rPr>
          <w:rFonts w:ascii="Times New Roman" w:hAnsi="Times New Roman"/>
          <w:color w:val="000000"/>
          <w:sz w:val="20"/>
        </w:rPr>
        <w:t xml:space="preserve"> </w:t>
      </w:r>
      <w:r>
        <w:rPr>
          <w:rFonts w:ascii="Arial" w:hAnsi="Arial"/>
          <w:color w:val="000000"/>
          <w:sz w:val="20"/>
        </w:rPr>
        <w:t>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are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condensed consolidated balance sheets prior to lease commencement and included in the operating lease asset upon lease commencement. The Company paid a security deposit of $874,000</w:t>
      </w:r>
      <w:r>
        <w:rPr>
          <w:rFonts w:ascii="Times New Roman" w:hAnsi="Times New Roman"/>
          <w:color w:val="000000"/>
          <w:sz w:val="20"/>
        </w:rPr>
        <w:t xml:space="preserve"> </w:t>
      </w:r>
      <w:r>
        <w:rPr>
          <w:rFonts w:ascii="Arial" w:hAnsi="Arial"/>
          <w:color w:val="000000"/>
          <w:sz w:val="20"/>
        </w:rPr>
        <w:t>in December 2021 that was recorded as other assets in the condensed consolidated balance sheets. In July 2025, $656,000</w:t>
      </w:r>
      <w:r>
        <w:rPr>
          <w:rFonts w:ascii="Times New Roman" w:hAnsi="Times New Roman"/>
          <w:color w:val="000000"/>
          <w:sz w:val="20"/>
        </w:rPr>
        <w:t xml:space="preserve"> </w:t>
      </w:r>
      <w:r>
        <w:rPr>
          <w:rFonts w:ascii="Arial" w:hAnsi="Arial"/>
          <w:color w:val="000000"/>
          <w:sz w:val="20"/>
        </w:rPr>
        <w:t>of the security deposit was returned to the Company per the terms of the lease agreement. As of June 30, 2026, $218,000</w:t>
      </w:r>
      <w:r>
        <w:rPr>
          <w:rFonts w:ascii="Times New Roman" w:hAnsi="Times New Roman"/>
          <w:color w:val="000000"/>
          <w:sz w:val="20"/>
        </w:rPr>
        <w:t xml:space="preserve"> </w:t>
      </w:r>
      <w:r>
        <w:rPr>
          <w:rFonts w:ascii="Arial" w:hAnsi="Arial"/>
          <w:color w:val="000000"/>
          <w:sz w:val="20"/>
        </w:rPr>
        <w:t>remains as a security deposit included in other assets in the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2024, the Company entered into an agreement to sublease the second floor of its corporate headquarters in San Diego, California (the January 2024 Sublease). Pursuant to the January 2024 Sublease, the subleased space was approximately 11,000</w:t>
      </w:r>
      <w:r>
        <w:rPr>
          <w:rFonts w:ascii="Times New Roman" w:hAnsi="Times New Roman"/>
          <w:color w:val="000000"/>
          <w:sz w:val="20"/>
        </w:rPr>
        <w:t xml:space="preserve"> </w:t>
      </w:r>
      <w:r>
        <w:rPr>
          <w:rFonts w:ascii="Arial" w:hAnsi="Arial"/>
          <w:color w:val="000000"/>
          <w:sz w:val="20"/>
        </w:rPr>
        <w:t>square feet of office space with a sublease term of three years</w:t>
      </w:r>
      <w:r>
        <w:rPr>
          <w:rFonts w:ascii="Times New Roman" w:hAnsi="Times New Roman"/>
          <w:color w:val="000000"/>
          <w:sz w:val="20"/>
        </w:rPr>
        <w:t xml:space="preserve"> </w:t>
      </w:r>
      <w:r>
        <w:rPr>
          <w:rFonts w:ascii="Arial" w:hAnsi="Arial"/>
          <w:color w:val="000000"/>
          <w:sz w:val="20"/>
        </w:rPr>
        <w:t>which included an option</w:t>
      </w:r>
      <w:r>
        <w:rPr>
          <w:rFonts w:ascii="Times New Roman" w:hAnsi="Times New Roman"/>
          <w:color w:val="000000"/>
          <w:sz w:val="20"/>
        </w:rPr>
        <w:t xml:space="preserve"> </w:t>
      </w:r>
      <w:r>
        <w:rPr>
          <w:rFonts w:ascii="Arial" w:hAnsi="Arial"/>
          <w:color w:val="000000"/>
          <w:sz w:val="20"/>
        </w:rPr>
        <w:t>for the subtenant to renew for an additional year and an early termination</w:t>
      </w:r>
      <w:r>
        <w:rPr>
          <w:rFonts w:ascii="Times New Roman" w:hAnsi="Times New Roman"/>
          <w:color w:val="000000"/>
          <w:sz w:val="20"/>
        </w:rPr>
        <w:t xml:space="preserve"> </w:t>
      </w:r>
      <w:r>
        <w:rPr>
          <w:rFonts w:ascii="Arial" w:hAnsi="Arial"/>
          <w:color w:val="000000"/>
          <w:sz w:val="20"/>
        </w:rPr>
        <w:t>clause. In June 2025, the Company and the subtenant entered into a termination agreement that terminated the January 2024 Sublease in July 2025. In July 2024, the Company entered into an agreement to sublease the first floor of its corporate headquarters (the July 2024 Sublease). Pursuant to the July 2024 Sublease, the subleased space is approximately 18,000</w:t>
      </w:r>
      <w:r>
        <w:rPr>
          <w:rFonts w:ascii="Times New Roman" w:hAnsi="Times New Roman"/>
          <w:color w:val="000000"/>
          <w:sz w:val="20"/>
        </w:rPr>
        <w:t xml:space="preserve"> </w:t>
      </w:r>
      <w:r>
        <w:rPr>
          <w:rFonts w:ascii="Arial" w:hAnsi="Arial"/>
          <w:color w:val="000000"/>
          <w:sz w:val="20"/>
        </w:rPr>
        <w:t>square feet of office space with a sublease term of 61</w:t>
      </w:r>
      <w:r>
        <w:rPr>
          <w:rFonts w:ascii="Times New Roman" w:hAnsi="Times New Roman"/>
          <w:color w:val="000000"/>
          <w:sz w:val="20"/>
        </w:rPr>
        <w:t xml:space="preserve"> </w:t>
      </w:r>
      <w:r>
        <w:rPr>
          <w:rFonts w:ascii="Arial" w:hAnsi="Arial"/>
          <w:color w:val="000000"/>
          <w:sz w:val="20"/>
        </w:rPr>
        <w:t>months beginning in October 2024. The July 2024 Sublease includes an option for the subtenant to renew for an additional year and an early termination</w:t>
      </w:r>
      <w:r>
        <w:rPr>
          <w:rFonts w:ascii="Times New Roman" w:hAnsi="Times New Roman"/>
          <w:color w:val="000000"/>
          <w:sz w:val="20"/>
        </w:rPr>
        <w:t xml:space="preserve"> </w:t>
      </w:r>
      <w:r>
        <w:rPr>
          <w:rFonts w:ascii="Arial" w:hAnsi="Arial"/>
          <w:color w:val="000000"/>
          <w:sz w:val="20"/>
        </w:rPr>
        <w:t>clause. In September 2024, the Company entered into an agreement to sublease a portion of the third floor of its corporate headquarters (the September 2024 Sublease). Pursuant to the September 2024 Sublease, the subleased space was approximately 5,000</w:t>
      </w:r>
      <w:r>
        <w:rPr>
          <w:rFonts w:ascii="Times New Roman" w:hAnsi="Times New Roman"/>
          <w:color w:val="000000"/>
          <w:sz w:val="20"/>
        </w:rPr>
        <w:t xml:space="preserve"> </w:t>
      </w:r>
      <w:r>
        <w:rPr>
          <w:rFonts w:ascii="Arial" w:hAnsi="Arial"/>
          <w:color w:val="000000"/>
          <w:sz w:val="20"/>
        </w:rPr>
        <w:t>square feet of laboratory space with a sublease term of one year, which included an option</w:t>
      </w:r>
      <w:r>
        <w:rPr>
          <w:rFonts w:ascii="Times New Roman" w:hAnsi="Times New Roman"/>
          <w:color w:val="000000"/>
          <w:sz w:val="20"/>
        </w:rPr>
        <w:t xml:space="preserve"> </w:t>
      </w:r>
      <w:r>
        <w:rPr>
          <w:rFonts w:ascii="Arial" w:hAnsi="Arial"/>
          <w:color w:val="000000"/>
          <w:sz w:val="20"/>
        </w:rPr>
        <w:t>for the subtenant to renew for an additional year. In July 2025, the September 2024 Sublease was amended to: (i) add approximately 5,000</w:t>
      </w:r>
      <w:r>
        <w:rPr>
          <w:rFonts w:ascii="Times New Roman" w:hAnsi="Times New Roman"/>
          <w:color w:val="000000"/>
          <w:sz w:val="20"/>
        </w:rPr>
        <w:t xml:space="preserve"> </w:t>
      </w:r>
      <w:r>
        <w:rPr>
          <w:rFonts w:ascii="Arial" w:hAnsi="Arial"/>
          <w:color w:val="000000"/>
          <w:sz w:val="20"/>
        </w:rPr>
        <w:t>square feet of laboratory space on the third floor and approximately 11,000</w:t>
      </w:r>
      <w:r>
        <w:rPr>
          <w:rFonts w:ascii="Times New Roman" w:hAnsi="Times New Roman"/>
          <w:color w:val="000000"/>
          <w:sz w:val="20"/>
        </w:rPr>
        <w:t xml:space="preserve"> </w:t>
      </w:r>
      <w:r>
        <w:rPr>
          <w:rFonts w:ascii="Arial" w:hAnsi="Arial"/>
          <w:color w:val="000000"/>
          <w:sz w:val="20"/>
        </w:rPr>
        <w:t>square feet of office space on the second floor to the subleased space; and (ii) to extend the term of the September 2024 Sublease through December 31, 2027. The amendment to the September 2024 Sublease includes an option for the subtenant to renew for an additional year.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the subleases to be operating leases. Therefore, the Company recognizes sublease income on a straight-line basis over the lease term in its condensed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$710,000</w:t>
      </w:r>
      <w:r>
        <w:rPr>
          <w:rFonts w:ascii="Times New Roman" w:hAnsi="Times New Roman"/>
          <w:color w:val="000000"/>
          <w:sz w:val="20"/>
        </w:rPr>
        <w:t xml:space="preserve"> </w:t>
      </w:r>
      <w:r>
        <w:rPr>
          <w:rFonts w:ascii="Arial" w:hAnsi="Arial"/>
          <w:color w:val="000000"/>
          <w:sz w:val="20"/>
        </w:rPr>
        <w:t>and $1.4</w:t>
      </w:r>
      <w:r>
        <w:rPr>
          <w:rFonts w:ascii="Times New Roman" w:hAnsi="Times New Roman"/>
          <w:color w:val="000000"/>
          <w:sz w:val="20"/>
        </w:rPr>
        <w:t xml:space="preserve"> </w:t>
      </w:r>
      <w:r>
        <w:rPr>
          <w:rFonts w:ascii="Arial" w:hAnsi="Arial"/>
          <w:color w:val="000000"/>
          <w:sz w:val="20"/>
        </w:rPr>
        <w:t>million related to income from these subleases during the three and six months ended June 30, 2026, respectively, and $715,000</w:t>
      </w:r>
      <w:r>
        <w:rPr>
          <w:rFonts w:ascii="Times New Roman" w:hAnsi="Times New Roman"/>
          <w:color w:val="000000"/>
          <w:sz w:val="20"/>
        </w:rPr>
        <w:t xml:space="preserve"> </w:t>
      </w:r>
      <w:r>
        <w:rPr>
          <w:rFonts w:ascii="Arial" w:hAnsi="Arial"/>
          <w:color w:val="000000"/>
          <w:sz w:val="20"/>
        </w:rPr>
        <w:t>and $1.4</w:t>
      </w:r>
      <w:r>
        <w:rPr>
          <w:rFonts w:ascii="Times New Roman" w:hAnsi="Times New Roman"/>
          <w:color w:val="000000"/>
          <w:sz w:val="20"/>
        </w:rPr>
        <w:t xml:space="preserve"> </w:t>
      </w:r>
      <w:r>
        <w:rPr>
          <w:rFonts w:ascii="Arial" w:hAnsi="Arial"/>
          <w:color w:val="000000"/>
          <w:sz w:val="20"/>
        </w:rPr>
        <w:t>million during the three and six months ended June 30, 2025, respectively.</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Future minimum lease payments and sublease receipts under operating leases as of June 30, 2026 are as follows (in thousands):</w:t>
      </w:r>
    </w:p>
    <w:p>
      <w:pPr>
        <w:pStyle w:val="TextBody"/>
        <w:bidi w:val="0"/>
        <w:jc w:val="left"/>
        <w:rPr/>
      </w:pPr>
      <w:r>
        <w:rPr/>
        <w:t> </w:t>
      </w:r>
    </w:p>
    <w:tbl>
      <w:tblPr>
        <w:tblW w:w="9899" w:type="dxa"/>
        <w:jc w:val="left"/>
        <w:tblInd w:w="0" w:type="dxa"/>
        <w:tblLayout w:type="fixed"/>
        <w:tblCellMar>
          <w:top w:w="28" w:type="dxa"/>
          <w:left w:w="28" w:type="dxa"/>
          <w:bottom w:w="28" w:type="dxa"/>
          <w:right w:w="28" w:type="dxa"/>
        </w:tblCellMar>
      </w:tblPr>
      <w:tblGrid>
        <w:gridCol w:w="4091"/>
        <w:gridCol w:w="533"/>
        <w:gridCol w:w="1897"/>
        <w:gridCol w:w="166"/>
        <w:gridCol w:w="146"/>
        <w:gridCol w:w="686"/>
        <w:gridCol w:w="1909"/>
        <w:gridCol w:w="471"/>
      </w:tblGrid>
      <w:tr>
        <w:trPr/>
        <w:tc>
          <w:tcPr>
            <w:tcW w:w="409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Operating Lease Payments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Operating Sublease Receipts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Year ending December 31,</w:t>
            </w:r>
          </w:p>
        </w:tc>
        <w:tc>
          <w:tcPr>
            <w:tcW w:w="2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(remaining six months)</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lease payments or sublease receipts</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Amount representing interest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11.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Liabilities for loss contingencies arising from claims, assessments, litigation, fines, penalties, and other sources are recorded when it is probable that a liability has been incurred and the amount can be reasonably estimated. The Company has not recorded any amounts for loss contingencies as of June 30, 2026. The Company records legal expenses associated with such contingencies as incurred. On June 10, 2026, a purported securities class action complaint was filed against the Company and certain of its officers in the United States District Court for the Southern District of California. The complaint alleges violations of the federal securities laws and seeks damages, costs, and other unspecified relief. No lead plaintiff has been appointed, and no class has been certified. The Company believes the claims are without merit and intends to defend the matter vigorously.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outcome of any such legal proceedings, regardless of the merits, is inherently uncertain. In addition, litigation and related matters are costly and may divert the attention of the Company’s management and other resources that would otherwise be engaged in other activities. If the Company is unable to prevail in any such legal proceedings, its business, results of operations, liquidity, and financial condition could be adversely affected.</w:t>
      </w:r>
    </w:p>
    <w:p>
      <w:pPr>
        <w:pStyle w:val="TextBody"/>
        <w:bidi w:val="0"/>
        <w:spacing w:before="360" w:after="283"/>
        <w:jc w:val="left"/>
        <w:rPr>
          <w:rFonts w:ascii="Arial" w:hAnsi="Arial"/>
          <w:b/>
          <w:color w:val="000000"/>
          <w:sz w:val="20"/>
        </w:rPr>
      </w:pPr>
      <w:r>
        <w:rPr>
          <w:rFonts w:ascii="Arial" w:hAnsi="Arial"/>
          <w:b/>
          <w:color w:val="000000"/>
          <w:sz w:val="20"/>
        </w:rPr>
        <w:t>Note 12. 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provision for federal, state or foreign income taxes has been recorded for the three and six months ended June 30, 2026 and 2025. The Company has incurred net operating losses for all the periods presented and has not reflected any benefit of such net operating loss carryforwards in the accompanying condensed consolidated financial statements due to uncertainty around utilizing these tax attributes within their respective carryforward periods. The Company has recorded a full valuation allowance against all of its deferred tax assets as it is not more likely than not that such assets will be realized in the near future. The Company’s policy is to recognize interest expense and penalties related to income tax matters as tax expense. For the three and six months ended June 30, 2026 and 2025, the Company has not recognized any interest or penalties related to income taxes.</w:t>
      </w:r>
    </w:p>
    <w:p>
      <w:pPr>
        <w:pStyle w:val="TextBody"/>
        <w:bidi w:val="0"/>
        <w:spacing w:before="360" w:after="283"/>
        <w:jc w:val="left"/>
        <w:rPr>
          <w:rFonts w:ascii="Times New Roman" w:hAnsi="Times New Roman"/>
          <w:sz w:val="20"/>
        </w:rPr>
      </w:pPr>
      <w:r>
        <w:rPr>
          <w:rFonts w:ascii="Arial" w:hAnsi="Arial"/>
          <w:b/>
          <w:color w:val="000000"/>
          <w:sz w:val="20"/>
        </w:rPr>
        <w:t>Note 13. Net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computation of basic and diluted net loss per share of the Company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8"/>
        <w:gridCol w:w="146"/>
        <w:gridCol w:w="211"/>
        <w:gridCol w:w="1171"/>
        <w:gridCol w:w="166"/>
        <w:gridCol w:w="146"/>
        <w:gridCol w:w="146"/>
        <w:gridCol w:w="211"/>
        <w:gridCol w:w="1171"/>
        <w:gridCol w:w="166"/>
        <w:gridCol w:w="146"/>
        <w:gridCol w:w="211"/>
        <w:gridCol w:w="1171"/>
        <w:gridCol w:w="166"/>
        <w:gridCol w:w="146"/>
        <w:gridCol w:w="211"/>
        <w:gridCol w:w="1171"/>
        <w:gridCol w:w="211"/>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311,336,806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283,355,730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307,846,523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283,308,273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potentially dilutive securities, which include options to purchase common stock and shares purchasable under the ESPP,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p>
      <w:pPr>
        <w:pStyle w:val="TextBody"/>
        <w:bidi w:val="0"/>
        <w:jc w:val="left"/>
        <w:rPr/>
      </w:pPr>
      <w:r>
        <w:rPr/>
        <w:t> </w:t>
      </w:r>
    </w:p>
    <w:tbl>
      <w:tblPr>
        <w:tblW w:w="7430" w:type="dxa"/>
        <w:jc w:val="left"/>
        <w:tblInd w:w="0" w:type="dxa"/>
        <w:tblLayout w:type="fixed"/>
        <w:tblCellMar>
          <w:top w:w="28" w:type="dxa"/>
          <w:left w:w="28" w:type="dxa"/>
          <w:bottom w:w="28" w:type="dxa"/>
          <w:right w:w="28" w:type="dxa"/>
        </w:tblCellMar>
      </w:tblPr>
      <w:tblGrid>
        <w:gridCol w:w="4231"/>
        <w:gridCol w:w="146"/>
        <w:gridCol w:w="146"/>
        <w:gridCol w:w="1066"/>
        <w:gridCol w:w="146"/>
        <w:gridCol w:w="146"/>
        <w:gridCol w:w="146"/>
        <w:gridCol w:w="146"/>
        <w:gridCol w:w="1066"/>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47,790,988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shares purchasable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58,496,216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49,312,188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Note 14. Segment information</w:t>
      </w:r>
    </w:p>
    <w:p>
      <w:pPr>
        <w:pStyle w:val="TextBody"/>
        <w:bidi w:val="0"/>
        <w:jc w:val="left"/>
        <w:rPr>
          <w:rFonts w:ascii="Times New Roman" w:hAnsi="Times New Roman"/>
          <w:sz w:val="20"/>
        </w:rPr>
      </w:pPr>
      <w:r>
        <w:rPr>
          <w:rFonts w:ascii="Arial" w:hAnsi="Arial"/>
          <w:color w:val="000000"/>
          <w:sz w:val="20"/>
        </w:rPr>
        <w:br/>
        <w:t>The Company operates and manages its business as a single</w:t>
      </w:r>
      <w:r>
        <w:rPr>
          <w:rFonts w:ascii="Times New Roman" w:hAnsi="Times New Roman"/>
          <w:color w:val="000000"/>
          <w:sz w:val="20"/>
        </w:rPr>
        <w:t xml:space="preserve"> </w:t>
      </w:r>
      <w:r>
        <w:rPr>
          <w:rFonts w:ascii="Arial" w:hAnsi="Arial"/>
          <w:color w:val="000000"/>
          <w:sz w:val="20"/>
        </w:rPr>
        <w:t>operating and reportable segment focused on the discovery and development of precision medicines for the benefit of patients with cancer. The Company's chief operating decision maker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CODM assesses performance for the segment based on net loss, which is reported on the condensed consolidated statements of operations and comprehensive loss as consolidated net loss. The measure of segment assets is reported on the condensed consolidated balance sheets as total consolidated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condensed consolidated statements of operations and comprehensive loss as research and development expenses and general and administrative expenses.</w:t>
      </w:r>
    </w:p>
    <w:p>
      <w:pPr>
        <w:pStyle w:val="TextBody"/>
        <w:bidi w:val="0"/>
        <w:spacing w:before="360" w:after="283"/>
        <w:jc w:val="left"/>
        <w:rPr>
          <w:rFonts w:ascii="Arial" w:hAnsi="Arial"/>
          <w:b/>
          <w:color w:val="000000"/>
          <w:sz w:val="20"/>
        </w:rPr>
      </w:pPr>
      <w:r>
        <w:rPr>
          <w:rFonts w:ascii="Arial" w:hAnsi="Arial"/>
          <w:b/>
          <w:color w:val="000000"/>
          <w:sz w:val="20"/>
        </w:rPr>
        <w:t>Note 15. Subsequent event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July 2026 underwritten offering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2026, the Company completed the sale and issuance of 36,142,857</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4,714,285</w:t>
      </w:r>
      <w:r>
        <w:rPr>
          <w:rFonts w:ascii="Times New Roman" w:hAnsi="Times New Roman"/>
          <w:color w:val="000000"/>
          <w:sz w:val="20"/>
        </w:rPr>
        <w:t xml:space="preserve"> </w:t>
      </w:r>
      <w:r>
        <w:rPr>
          <w:rFonts w:ascii="Arial" w:hAnsi="Arial"/>
          <w:color w:val="000000"/>
          <w:sz w:val="20"/>
        </w:rPr>
        <w:t>shares of its common stock, at a price to the public of $17.50</w:t>
      </w:r>
      <w:r>
        <w:rPr>
          <w:rFonts w:ascii="Times New Roman" w:hAnsi="Times New Roman"/>
          <w:color w:val="000000"/>
          <w:sz w:val="20"/>
        </w:rPr>
        <w:t xml:space="preserve"> </w:t>
      </w:r>
      <w:r>
        <w:rPr>
          <w:rFonts w:ascii="Arial" w:hAnsi="Arial"/>
          <w:color w:val="000000"/>
          <w:sz w:val="20"/>
        </w:rPr>
        <w:t>per share. The aggregate net proceeds from the July 2026 Offering were $593.5</w:t>
      </w:r>
      <w:r>
        <w:rPr>
          <w:rFonts w:ascii="Times New Roman" w:hAnsi="Times New Roman"/>
          <w:color w:val="000000"/>
          <w:sz w:val="20"/>
        </w:rPr>
        <w:t xml:space="preserve"> </w:t>
      </w:r>
      <w:r>
        <w:rPr>
          <w:rFonts w:ascii="Arial" w:hAnsi="Arial"/>
          <w:color w:val="000000"/>
          <w:sz w:val="20"/>
        </w:rPr>
        <w:t>million, net of underwriting discounts and commissions and estimated offering costs of $38.9</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left"/>
        <w:rPr>
          <w:rFonts w:ascii="Arial" w:hAnsi="Arial"/>
          <w:b/>
          <w:color w:val="000000"/>
          <w:sz w:val="20"/>
        </w:rPr>
      </w:pPr>
      <w:r>
        <w:rPr>
          <w:rFonts w:ascii="Arial" w:hAnsi="Arial"/>
          <w:b/>
          <w:color w:val="000000"/>
          <w:sz w:val="20"/>
        </w:rPr>
        <w:t>2026 Employment Inducement Incentive Award Plan</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Effective August 10, 2026, the Board approved the adoption of the Company’s 2026 Employment Inducement Incentive Award Plan (the Inducement Plan) and reserved 6,200,000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Inducement Plan. The Inducement Plan was adopted without stockholder approval pursuant to Nasdaq Listing Rule 5635(c)(4) and the related guidance under Nasdaq IM 5635-1 (the Inducement Award Rules). The Inducement Plan provides for the grant of equity-based awards, including nonstatutory stock options, restricted stock units, restricted stock, stock appreciation rights, performance shares, and performance stock units, and its terms are substantially similar to the 2021 Plan, but with such other terms and conditions intended to comply with the Nasdaq inducement award exception or to comply with the Nasdaq acquisition and merger exception.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In accordance with the Inducement Award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being rehired following a bona fide period of interruption of employment by the Company, or, to the extent permitted by the Inducement Award Rules, in connection with a merger or acquisition.</w:t>
      </w:r>
    </w:p>
    <w:p>
      <w:pPr>
        <w:pStyle w:val="TextBody"/>
        <w:bidi w:val="0"/>
        <w:spacing w:before="0" w:after="160"/>
        <w:jc w:val="left"/>
        <w:rPr>
          <w:rFonts w:ascii="Times New Roman" w:hAnsi="Times New Roman"/>
          <w:sz w:val="20"/>
        </w:rPr>
      </w:pPr>
      <w:r>
        <w:rPr>
          <w:rFonts w:ascii="Arial" w:hAnsi="Arial"/>
          <w:color w:val="000000"/>
          <w:sz w:val="20"/>
        </w:rPr>
        <w:t>Effective August 10, 2026, Charles S. Fuchs, M.D., M.P.H., was appointed President, Research &amp; Development of the Company. In connection with his employment, the Company granted a stock option award to purchase 1,300,000</w:t>
      </w:r>
      <w:r>
        <w:rPr>
          <w:rFonts w:ascii="Times New Roman" w:hAnsi="Times New Roman"/>
          <w:color w:val="000000"/>
          <w:sz w:val="20"/>
        </w:rPr>
        <w:t xml:space="preserve"> </w:t>
      </w:r>
      <w:r>
        <w:rPr>
          <w:rFonts w:ascii="Arial" w:hAnsi="Arial"/>
          <w:color w:val="000000"/>
          <w:sz w:val="20"/>
        </w:rPr>
        <w:t>shares of the Company’s common stock at an exercise price of $18.12</w:t>
      </w:r>
      <w:r>
        <w:rPr>
          <w:rFonts w:ascii="Times New Roman" w:hAnsi="Times New Roman"/>
          <w:color w:val="000000"/>
          <w:sz w:val="20"/>
        </w:rPr>
        <w:t xml:space="preserve"> </w:t>
      </w:r>
      <w:r>
        <w:rPr>
          <w:rFonts w:ascii="Arial" w:hAnsi="Arial"/>
          <w:color w:val="000000"/>
          <w:sz w:val="20"/>
        </w:rPr>
        <w:t>per share. 1,278,520</w:t>
      </w:r>
      <w:r>
        <w:rPr>
          <w:rFonts w:ascii="Times New Roman" w:hAnsi="Times New Roman"/>
          <w:color w:val="000000"/>
          <w:sz w:val="20"/>
        </w:rPr>
        <w:t xml:space="preserve"> </w:t>
      </w:r>
      <w:r>
        <w:rPr>
          <w:rFonts w:ascii="Arial" w:hAnsi="Arial"/>
          <w:color w:val="000000"/>
          <w:sz w:val="20"/>
        </w:rPr>
        <w:t>of the stock options were granted under the Inducement Plan and the remaining options were granted under the 2021 Plan.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7" w:name="i_item2"/>
      <w:bookmarkEnd w:id="7"/>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unaudited condensed consolidated financial statements and notes thereto included elsewhere in this Quarterly Report on Form 10-Q and with our audited consolidated financial statements and notes thereto and management’s discussion and analysis of financial condition and results of operations for the year ended December 31, 2025, included in our Annual Report on Form 10-K for the year ended December 31, 2025 filed with the SEC on March 12, 2026.</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Cautionary Note Regarding Forward-Looking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Quarterly Report contains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pricing and reimbursement of our product candidates, if approved, the impact of global geopolitical and economic events and war on our business,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In some cases, you can identify forward-looking statements by terms such as “may,” “will,” “should,” “could,” “expect,” “intend,” “target,” “project,” “contemplate,” “plan,” “anticipate,” “believe,” “estimate,” “predict,” “potential,” “continue,” or the negative of these terms or other similar expressions.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360" w:after="283"/>
        <w:jc w:val="left"/>
        <w:rPr>
          <w:rFonts w:ascii="Arial" w:hAnsi="Arial"/>
          <w:b/>
          <w:color w:val="000000"/>
          <w:sz w:val="20"/>
        </w:rPr>
      </w:pPr>
      <w:r>
        <w:rPr>
          <w:rFonts w:ascii="Arial" w:hAnsi="Arial"/>
          <w:b/>
          <w:color w:val="000000"/>
          <w:sz w:val="20"/>
        </w:rPr>
        <w:t>Overview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pipeline enables us to pursue a systematic, data-driven, portfolio-wide clinical development effort to identify therapeutic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which includes the world’s leading experts in the RAS/MAPK pathway, uniquely position us to achieve our bold mission of erasing cancer.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ERAS-0015, our pan-RAS Molecular Glue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ERAS-0015 is a potential best-in-class, next-generation pan-RAS molecular glue in clinical development for the treatment of patients with</w:t>
      </w:r>
      <w:r>
        <w:rPr>
          <w:rFonts w:ascii="Times New Roman" w:hAnsi="Times New Roman"/>
          <w:color w:val="000000"/>
          <w:sz w:val="20"/>
        </w:rPr>
        <w:t xml:space="preserve"> </w:t>
      </w:r>
      <w:r>
        <w:rPr>
          <w:rFonts w:ascii="Arial" w:hAnsi="Arial"/>
          <w:color w:val="000000"/>
          <w:sz w:val="20"/>
        </w:rPr>
        <w:t>RAS-mutated solid tumors. In vitro, ERAS-0015 has shown approximately 8-21 times higher binding affinity to cyclophilin A versus the most advanced pan-RAS molecular glue in development. We believe this higher binding affinity results in approximately 5 times more potent RAS inhibition in cell-based assays versus the comparator. ERAS-0015 also has favorable absorption, distribution, metabolism, and excretion (ADME) and pharmacokinetics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potential combination benefit of blocking both oncogenic drivers. Our initial clinical trial for ERAS-0015 is called AURORAS-1. The investigational new drug application (IND) for AURORAS-1 was cleared by the US Food and Drug Administration (FDA) in May 2025. ERAS-0015 is also being evaluated in the JYP0015M101 clinical trial in China for adult patients with advanced solid tumors harboring specific RAS mutations. The JYP0015M101 clinical trial is sponsored by Joyo. We initiated monotherapy expansion cohorts and combination dose escalation cohorts, including a panitumumab combination cohort, as part of the AURORAS-1 trial in the second quarter of 2026 and the first quarter of 2026, respectively, ahead of our previous guidance. We anticipate the associated data readouts in the first half of 2027. In addition, we initiated a combination dose escalation cohort with pembrolizumab in the first quarter of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March 2026, we announced that we had entered into a clinical trial collaboration and supply agreement with Tango Therapeutics, Inc. (Tango) to enable the evaluation of ERAS-0015 with Tango's PRMT5 inhibitor, vopimetostat, in a Phase 1 clinical trial sponsored by Tango (the Tango CTCSA). Under the terms of the Tango CTCSA, we are providing ERAS-0015 to Tango at no cost and Tango is sponsoring and funding the clinical trial. In May 2026, we announced that we had entered into a clinical trial collaboration and supply agreement with Merck (known as MSD outside of the United States and Canada) in connection with the AURORAS-1 trial (the Merck CTCSA). Under the terms of the Merck CTCSA, we are sponsoring and funding the clinical trial and Merck is providing its anti-PD-1 therapy, KEYTRUDA</w:t>
      </w:r>
      <w:r>
        <w:rPr>
          <w:rFonts w:ascii="Times New Roman" w:hAnsi="Times New Roman"/>
          <w:color w:val="000000"/>
          <w:sz w:val="13"/>
        </w:rPr>
        <w:t xml:space="preserve">® </w:t>
      </w:r>
      <w:r>
        <w:rPr>
          <w:rFonts w:ascii="Arial" w:hAnsi="Arial"/>
          <w:color w:val="000000"/>
          <w:sz w:val="20"/>
        </w:rPr>
        <w:t>(pembrolizumab), at no cost.</w:t>
      </w:r>
    </w:p>
    <w:p>
      <w:pPr>
        <w:pStyle w:val="TextBody"/>
        <w:bidi w:val="0"/>
        <w:jc w:val="left"/>
        <w:rPr>
          <w:rFonts w:ascii="Arial" w:hAnsi="Arial"/>
          <w:color w:val="000000"/>
          <w:sz w:val="20"/>
        </w:rPr>
      </w:pPr>
      <w:r>
        <w:rPr>
          <w:rFonts w:ascii="Arial" w:hAnsi="Arial"/>
          <w:color w:val="000000"/>
          <w:sz w:val="20"/>
        </w:rPr>
        <w:t>On April 27, 2026, we announced positive preliminary Phase 1 dose escalation data for ERAS-0015 from our AURORAS-1 trial and the Joyo JYP0015M101 trial.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Both our AURORAS-1 trial and Joyo’s JYP0015M101 trial include patients with RAS-mutant solid tumors, including colorectal cancer (CRC), non-small-cell lung cancer (NSCLC), and pancreatic adenocarcinoma (PDAC). The estimated incidence of the number of patients in the United States with KRAS-mutant tumors in CRC, NSCLC, and PDAC are approximately 74,000, 55,000, and 50,000 patients, respectively. The trial designs are depicted below:</w:t>
      </w:r>
    </w:p>
    <w:p>
      <w:pPr>
        <w:pStyle w:val="TextBody"/>
        <w:bidi w:val="0"/>
        <w:jc w:val="left"/>
        <w:rPr/>
      </w:pPr>
      <w:r>
        <w:rPr/>
        <w:t> </w:t>
      </w:r>
    </w:p>
    <w:p>
      <w:pPr>
        <w:pStyle w:val="TextBody"/>
        <w:bidi w:val="0"/>
        <w:jc w:val="center"/>
        <w:rPr/>
      </w:pPr>
      <w:r>
        <w:rPr/>
        <w:drawing>
          <wp:inline distT="0" distB="0" distL="0" distR="0">
            <wp:extent cx="7200900" cy="3152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00900" cy="315277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ATD= Accelerated Titration Design; BOIN= Bayesian Optimal Interval; DCR=disease control rate; DLT=dose limiting toxicity; DOR=duration of response; NSCLC=non-small-cell lung cancer; ORR=objective response rate; OS=overall survival; PDAC=pancreatic adenocarcinoma; PK=pharmacokinetics; PFS=progression free survival; QD=once daily; RASi=RAS inhibitor; SOC=standard of care; TTR=time to response.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summary of the data in the announcement is as follows:</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20"/>
        </w:rPr>
        <w:t>Highlights of Phase 1 Preliminary Results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PK in AURORAS-1:</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Well-behaved PK, with dose-dependent increase in PK exposure up to the maximum administered dose (MAD) of 40 mg once daily (QD) and no exposure plateau observed.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Pharmacologically active dose (PAD) range of 16-32 mg QD defined based on mean steady-state average exposures that exceeded target exposure threshold (based on the insensitive xenograft model).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0"/>
        </w:rPr>
      </w:pPr>
      <w:r>
        <w:rPr>
          <w:rFonts w:ascii="Arial" w:hAnsi="Arial"/>
          <w:b/>
          <w:color w:val="000000"/>
          <w:sz w:val="20"/>
        </w:rPr>
        <w:t xml:space="preserve">Pharmacodynamics (PD) in AURORAS-1: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Substantial reductions in KRAS G12X circulating tumor DNA (ctDNA) were observed at the PAD doses (16-32 mg QD), with 100% of patients (14/14) showing at least 75% reduction in KRAS G12X variant allele fraction, including 5 out of 14 patients showing 100% reduction.</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Efficacy in AURORAS-1 and JYP0015M101 trials:</w:t>
      </w:r>
      <w:r>
        <w:rPr>
          <w:color w:val="000000"/>
        </w:rPr>
        <w:t xml:space="preserve"> </w:t>
      </w:r>
      <w:r>
        <w:rPr>
          <w:rFonts w:ascii="Arial" w:hAnsi="Arial"/>
          <w:color w:val="000000"/>
          <w:sz w:val="20"/>
        </w:rPr>
        <w:t>Robust monotherapy overall response rates (ORR) in patients with KRAS G12X NSCLC and with KRAS G12X PDAC, in each case as of the relevant data cut off (DCO)</w:t>
      </w:r>
      <w:r>
        <w:rPr>
          <w:rFonts w:ascii="Arial" w:hAnsi="Arial"/>
          <w:color w:val="000000"/>
          <w:sz w:val="13"/>
        </w:rPr>
        <w:t>1,2</w:t>
      </w:r>
      <w:r>
        <w:rPr>
          <w:rFonts w:ascii="Arial" w:hAnsi="Arial"/>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NSCLC</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At PADs of 16-32 mg QD, 62% uORR</w:t>
      </w:r>
      <w:r>
        <w:rPr>
          <w:rFonts w:ascii="Arial" w:hAnsi="Arial"/>
          <w:color w:val="000000"/>
          <w:sz w:val="13"/>
        </w:rPr>
        <w:t>8wk</w:t>
      </w:r>
      <w:r>
        <w:rPr>
          <w:color w:val="000000"/>
        </w:rPr>
        <w:t xml:space="preserve"> </w:t>
      </w:r>
      <w:r>
        <w:rPr>
          <w:rFonts w:ascii="Arial" w:hAnsi="Arial"/>
          <w:color w:val="000000"/>
          <w:sz w:val="20"/>
        </w:rPr>
        <w:t>(N=37) in second line or greater (2L+) KRAS G12X NSCLC, which exceeded comparator by 24 percentage points</w:t>
      </w:r>
      <w:r>
        <w:rPr>
          <w:rFonts w:ascii="Arial" w:hAnsi="Arial"/>
          <w:color w:val="000000"/>
          <w:sz w:val="13"/>
        </w:rPr>
        <w:t>3,4</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At PADs of 16-32 mg QD, 75% uORR</w:t>
      </w:r>
      <w:r>
        <w:rPr>
          <w:rFonts w:ascii="Arial" w:hAnsi="Arial"/>
          <w:color w:val="000000"/>
          <w:sz w:val="13"/>
        </w:rPr>
        <w:t>8wk</w:t>
      </w:r>
      <w:r>
        <w:rPr>
          <w:color w:val="000000"/>
        </w:rPr>
        <w:t xml:space="preserve"> </w:t>
      </w:r>
      <w:r>
        <w:rPr>
          <w:rFonts w:ascii="Arial" w:hAnsi="Arial"/>
          <w:color w:val="000000"/>
          <w:sz w:val="20"/>
        </w:rPr>
        <w:t>(N=16) in post-ICI/platinum (2/3L) KRAS G12X NSCLC, which exceeded comparator by 37 percentage points</w:t>
      </w:r>
      <w:r>
        <w:rPr>
          <w:rFonts w:ascii="Arial" w:hAnsi="Arial"/>
          <w:color w:val="000000"/>
          <w:sz w:val="13"/>
        </w:rPr>
        <w:t>3,4</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At recommended doses for expansion (RDEs) of 24-32 mg QD, 64% uORR</w:t>
      </w:r>
      <w:r>
        <w:rPr>
          <w:rFonts w:ascii="Arial" w:hAnsi="Arial"/>
          <w:color w:val="000000"/>
          <w:sz w:val="13"/>
        </w:rPr>
        <w:t>8wk</w:t>
      </w:r>
      <w:r>
        <w:rPr>
          <w:color w:val="000000"/>
        </w:rPr>
        <w:t xml:space="preserve"> </w:t>
      </w:r>
      <w:r>
        <w:rPr>
          <w:rFonts w:ascii="Arial" w:hAnsi="Arial"/>
          <w:color w:val="000000"/>
          <w:sz w:val="20"/>
        </w:rPr>
        <w:t>(N=25) in 2L+ KRAS G12X NSCLC</w:t>
      </w:r>
      <w:r>
        <w:rPr>
          <w:rFonts w:ascii="Arial" w:hAnsi="Arial"/>
          <w:color w:val="000000"/>
          <w:sz w:val="13"/>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PDAC</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At PADs of 16-32 mg QD, 40% uORR</w:t>
      </w:r>
      <w:r>
        <w:rPr>
          <w:rFonts w:ascii="Arial" w:hAnsi="Arial"/>
          <w:color w:val="000000"/>
          <w:sz w:val="13"/>
        </w:rPr>
        <w:t>14wk</w:t>
      </w:r>
      <w:r>
        <w:rPr>
          <w:color w:val="000000"/>
        </w:rPr>
        <w:t xml:space="preserve"> </w:t>
      </w:r>
      <w:r>
        <w:rPr>
          <w:rFonts w:ascii="Arial" w:hAnsi="Arial"/>
          <w:color w:val="000000"/>
          <w:sz w:val="20"/>
        </w:rPr>
        <w:t>(N=20) in 2L KRAS G12X PDAC, which exceeded comparator by 11 percentage points</w:t>
      </w:r>
      <w:r>
        <w:rPr>
          <w:rFonts w:ascii="Arial" w:hAnsi="Arial"/>
          <w:color w:val="000000"/>
          <w:sz w:val="13"/>
        </w:rPr>
        <w:t>5,6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At RDEs of 24-32 mg QD, 42% uORR</w:t>
      </w:r>
      <w:r>
        <w:rPr>
          <w:rFonts w:ascii="Arial" w:hAnsi="Arial"/>
          <w:color w:val="000000"/>
          <w:sz w:val="13"/>
        </w:rPr>
        <w:t>14wk</w:t>
      </w:r>
      <w:r>
        <w:rPr>
          <w:color w:val="000000"/>
        </w:rPr>
        <w:t xml:space="preserve"> </w:t>
      </w:r>
      <w:r>
        <w:rPr>
          <w:rFonts w:ascii="Arial" w:hAnsi="Arial"/>
          <w:color w:val="000000"/>
          <w:sz w:val="20"/>
        </w:rPr>
        <w:t>(N=12) in 2L KRAS G12X PDAC, which exceeded comparator by 13 percentage points</w:t>
      </w:r>
      <w:r>
        <w:rPr>
          <w:rFonts w:ascii="Arial" w:hAnsi="Arial"/>
          <w:color w:val="000000"/>
          <w:sz w:val="13"/>
        </w:rPr>
        <w:t>5,6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At RDE of 32 mg QD, 50% uORR</w:t>
      </w:r>
      <w:r>
        <w:rPr>
          <w:rFonts w:ascii="Arial" w:hAnsi="Arial"/>
          <w:color w:val="000000"/>
          <w:sz w:val="13"/>
        </w:rPr>
        <w:t>14wk</w:t>
      </w:r>
      <w:r>
        <w:rPr>
          <w:color w:val="000000"/>
        </w:rPr>
        <w:t xml:space="preserve"> </w:t>
      </w:r>
      <w:r>
        <w:rPr>
          <w:rFonts w:ascii="Arial" w:hAnsi="Arial"/>
          <w:color w:val="000000"/>
          <w:sz w:val="20"/>
        </w:rPr>
        <w:t>(N=2) in 2L KRAS G12X PDAC, which exceeded comparator by 15 percentage points</w:t>
      </w:r>
      <w:r>
        <w:rPr>
          <w:rFonts w:ascii="Arial" w:hAnsi="Arial"/>
          <w:color w:val="000000"/>
          <w:sz w:val="13"/>
        </w:rPr>
        <w:t>5,7</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Multiple ongoing responses: </w:t>
      </w:r>
      <w:r>
        <w:rPr>
          <w:rFonts w:ascii="Arial" w:hAnsi="Arial"/>
          <w:color w:val="000000"/>
          <w:sz w:val="20"/>
        </w:rPr>
        <w:t>Nearly all responding patients—including all unconfirmed responders—remain on treatment as of the DCO: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NSCLC</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23 out of 24 responding patients remain on treatment, including all responders treated at 24-32 mg QD RDEs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PDAC</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20 out of 23 responding patients remain on treatment, including all responders treated at 24-32 mg QD RDEs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Safety and Tolerability</w:t>
      </w:r>
      <w:r>
        <w:rPr>
          <w:rFonts w:ascii="Arial" w:hAnsi="Arial"/>
          <w:color w:val="000000"/>
          <w:sz w:val="20"/>
        </w:rPr>
        <w:t>: Generally well-tolerated with mostly low-grade adverse events (AEs), no dose-limiting toxicities (DLTs), low rate of dose interruptions or reductions due to treatment-related adverse events (TRAEs), and no discontinuations due to TRAEs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Monotherapy RDE:</w:t>
      </w:r>
      <w:r>
        <w:rPr>
          <w:color w:val="000000"/>
        </w:rPr>
        <w:t xml:space="preserve"> </w:t>
      </w:r>
      <w:r>
        <w:rPr>
          <w:rFonts w:ascii="Arial" w:hAnsi="Arial"/>
          <w:color w:val="000000"/>
          <w:sz w:val="20"/>
        </w:rPr>
        <w:t>Based on the totality of the preliminary Phase 1 dose escalation data, 24 mg and 32 mg QD were selected as the go-forward monotherapy RDEs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Combinability</w:t>
      </w:r>
      <w:r>
        <w:rPr>
          <w:rFonts w:ascii="Arial" w:hAnsi="Arial"/>
          <w:color w:val="000000"/>
          <w:sz w:val="20"/>
        </w:rPr>
        <w:t>: ERAS-0015 showed promising clinical potential to combine with panitumumab (anti-EGFR monoclonal antibody)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Arial" w:hAnsi="Arial"/>
          <w:color w:val="000000"/>
          <w:sz w:val="20"/>
        </w:rPr>
      </w:pPr>
      <w:r>
        <w:rPr>
          <w:rFonts w:ascii="Arial" w:hAnsi="Arial"/>
          <w:color w:val="000000"/>
          <w:sz w:val="20"/>
        </w:rPr>
        <w:t>No DLTs observed through the 31Mar2026 DCO (N=3) with 1 uPR in 1 efficacy-evaluable patient with metastatic CRC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AURORAS-1 data cutoff (DCO) 4Apr2026; JYP0015M101 DCO 27Feb2026</w:t>
      </w:r>
    </w:p>
    <w:p>
      <w:pPr>
        <w:pStyle w:val="TextBody"/>
        <w:bidi w:val="0"/>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Pooled data from the Company’s Phase 1 trial (US trial, or AURORAS-1) and Joyo’s Phase 1 trial (China (CN) trial, or JYP0015M101) of ERAS-0015</w:t>
      </w:r>
    </w:p>
    <w:p>
      <w:pPr>
        <w:pStyle w:val="TextBody"/>
        <w:bidi w:val="0"/>
        <w:jc w:val="left"/>
        <w:rPr>
          <w:rFonts w:ascii="Times New Roman" w:hAnsi="Times New Roman"/>
          <w:sz w:val="20"/>
        </w:rPr>
      </w:pPr>
      <w:r>
        <w:rPr>
          <w:rFonts w:ascii="Arial" w:hAnsi="Arial"/>
          <w:color w:val="000000"/>
          <w:sz w:val="11"/>
        </w:rPr>
        <w:t xml:space="preserve">3 </w:t>
      </w:r>
      <w:r>
        <w:rPr>
          <w:rFonts w:ascii="Arial" w:hAnsi="Arial"/>
          <w:color w:val="000000"/>
          <w:sz w:val="16"/>
        </w:rPr>
        <w:t>The uORR</w:t>
      </w:r>
      <w:r>
        <w:rPr>
          <w:rFonts w:ascii="Arial" w:hAnsi="Arial"/>
          <w:color w:val="000000"/>
          <w:sz w:val="11"/>
        </w:rPr>
        <w:t>8wk</w:t>
      </w:r>
      <w:r>
        <w:rPr>
          <w:rFonts w:ascii="Times New Roman" w:hAnsi="Times New Roman"/>
          <w:color w:val="000000"/>
          <w:sz w:val="20"/>
        </w:rPr>
        <w:t xml:space="preserve"> </w:t>
      </w:r>
      <w:r>
        <w:rPr>
          <w:rFonts w:ascii="Arial" w:hAnsi="Arial"/>
          <w:color w:val="000000"/>
          <w:sz w:val="16"/>
        </w:rPr>
        <w:t>is the ORR (confirmed and unconfirmed responses) for patients who received first dose of ERAS-0015 at least 8 weeks prior to DCO (US trial) or at least one post-dose tumor assessment (CN trial)</w:t>
      </w:r>
    </w:p>
    <w:p>
      <w:pPr>
        <w:pStyle w:val="TextBody"/>
        <w:bidi w:val="0"/>
        <w:jc w:val="left"/>
        <w:rPr>
          <w:rFonts w:ascii="Times New Roman" w:hAnsi="Times New Roman"/>
          <w:sz w:val="20"/>
        </w:rPr>
      </w:pPr>
      <w:r>
        <w:rPr>
          <w:rFonts w:ascii="Arial" w:hAnsi="Arial"/>
          <w:color w:val="000000"/>
          <w:sz w:val="11"/>
        </w:rPr>
        <w:t>4</w:t>
      </w:r>
      <w:r>
        <w:rPr>
          <w:rFonts w:ascii="Times New Roman" w:hAnsi="Times New Roman"/>
          <w:color w:val="000000"/>
          <w:sz w:val="20"/>
        </w:rPr>
        <w:t xml:space="preserve"> </w:t>
      </w:r>
      <w:r>
        <w:rPr>
          <w:rFonts w:ascii="Arial" w:hAnsi="Arial"/>
          <w:color w:val="000000"/>
          <w:sz w:val="16"/>
        </w:rPr>
        <w:t>Comparator as used in this report, RMC-6236. Punekar et al. Journal of Thoracic Oncology 2025; DCO 30Sep2024</w:t>
      </w:r>
    </w:p>
    <w:p>
      <w:pPr>
        <w:pStyle w:val="TextBody"/>
        <w:bidi w:val="0"/>
        <w:jc w:val="left"/>
        <w:rPr>
          <w:rFonts w:ascii="Times New Roman" w:hAnsi="Times New Roman"/>
          <w:sz w:val="20"/>
        </w:rPr>
      </w:pPr>
      <w:r>
        <w:rPr>
          <w:rFonts w:ascii="Arial" w:hAnsi="Arial"/>
          <w:color w:val="000000"/>
          <w:sz w:val="11"/>
        </w:rPr>
        <w:t>5</w:t>
      </w:r>
      <w:r>
        <w:rPr>
          <w:rFonts w:ascii="Times New Roman" w:hAnsi="Times New Roman"/>
          <w:color w:val="000000"/>
          <w:sz w:val="20"/>
        </w:rPr>
        <w:t xml:space="preserve"> </w:t>
      </w:r>
      <w:r>
        <w:rPr>
          <w:rFonts w:ascii="Arial" w:hAnsi="Arial"/>
          <w:color w:val="000000"/>
          <w:sz w:val="16"/>
        </w:rPr>
        <w:t>The uORR</w:t>
      </w:r>
      <w:r>
        <w:rPr>
          <w:rFonts w:ascii="Arial" w:hAnsi="Arial"/>
          <w:color w:val="000000"/>
          <w:sz w:val="11"/>
        </w:rPr>
        <w:t xml:space="preserve">14wk </w:t>
      </w:r>
      <w:r>
        <w:rPr>
          <w:rFonts w:ascii="Arial" w:hAnsi="Arial"/>
          <w:color w:val="000000"/>
          <w:sz w:val="16"/>
        </w:rPr>
        <w:t>is the ORR (confirmed and unconfirmed responses) for patients who received first dose of ERAS-0015 (US, CN) at least 14 weeks prior to DCO</w:t>
      </w:r>
    </w:p>
    <w:p>
      <w:pPr>
        <w:pStyle w:val="TextBody"/>
        <w:bidi w:val="0"/>
        <w:jc w:val="left"/>
        <w:rPr>
          <w:rFonts w:ascii="Times New Roman" w:hAnsi="Times New Roman"/>
          <w:sz w:val="20"/>
        </w:rPr>
      </w:pPr>
      <w:r>
        <w:rPr>
          <w:rFonts w:ascii="Arial" w:hAnsi="Arial"/>
          <w:color w:val="000000"/>
          <w:sz w:val="11"/>
        </w:rPr>
        <w:t>6</w:t>
      </w:r>
      <w:r>
        <w:rPr>
          <w:rFonts w:ascii="Times New Roman" w:hAnsi="Times New Roman"/>
          <w:color w:val="000000"/>
          <w:sz w:val="20"/>
        </w:rPr>
        <w:t xml:space="preserve"> </w:t>
      </w:r>
      <w:r>
        <w:rPr>
          <w:rFonts w:ascii="Arial" w:hAnsi="Arial"/>
          <w:color w:val="000000"/>
          <w:sz w:val="16"/>
        </w:rPr>
        <w:t>Wolpin et al. EORTC-NCI-AACR 2024; DCO 23Jul2024</w:t>
      </w:r>
    </w:p>
    <w:p>
      <w:pPr>
        <w:pStyle w:val="TextBody"/>
        <w:bidi w:val="0"/>
        <w:jc w:val="left"/>
        <w:rPr>
          <w:rFonts w:ascii="Times New Roman" w:hAnsi="Times New Roman"/>
          <w:sz w:val="20"/>
        </w:rPr>
      </w:pPr>
      <w:r>
        <w:rPr>
          <w:rFonts w:ascii="Arial" w:hAnsi="Arial"/>
          <w:color w:val="000000"/>
          <w:sz w:val="11"/>
        </w:rPr>
        <w:t>7</w:t>
      </w:r>
      <w:r>
        <w:rPr>
          <w:rFonts w:ascii="Times New Roman" w:hAnsi="Times New Roman"/>
          <w:color w:val="000000"/>
          <w:sz w:val="20"/>
        </w:rPr>
        <w:t xml:space="preserve"> </w:t>
      </w:r>
      <w:r>
        <w:rPr>
          <w:rFonts w:ascii="Arial" w:hAnsi="Arial"/>
          <w:color w:val="000000"/>
          <w:sz w:val="16"/>
        </w:rPr>
        <w:t>Revolution Medicines Press Release (10Sep2025); DCO 30Jun2025</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i/>
          <w:color w:val="000000"/>
          <w:sz w:val="20"/>
        </w:rPr>
        <w:t>Additional AURORAS-1 Safety Data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summarizes all treatment-related adverse events occurring in 10% or more of patients in the AURORAS-1 trial as of the April 4, 2026 data cutoff date:</w:t>
      </w:r>
    </w:p>
    <w:p>
      <w:pPr>
        <w:pStyle w:val="TextBody"/>
        <w:bidi w:val="0"/>
        <w:jc w:val="left"/>
        <w:rPr/>
      </w:pPr>
      <w:r>
        <w:rPr/>
        <w:t> </w:t>
      </w:r>
    </w:p>
    <w:p>
      <w:pPr>
        <w:pStyle w:val="TextBody"/>
        <w:bidi w:val="0"/>
        <w:jc w:val="center"/>
        <w:rPr/>
      </w:pPr>
      <w:r>
        <w:rPr/>
        <w:drawing>
          <wp:inline distT="0" distB="0" distL="0" distR="0">
            <wp:extent cx="6096000" cy="261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6000" cy="26193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One Grade 3 TRAE of pneumonitis progressed to Grade 5 after withdrawal of supportive care per patient decision. The patient was a 66 year-old male with heavily pretreated metastatic pancreatic adenocarcinoma who received 24 mg of ERAS-0015. The patient had pulmonary metastases, a history of right lung cryoablation and no history of lung radiation. The patient presented to the ER approximately a month after starting ERAS-0015 with Grade 3 pneumonitis that was treated aggressively with immediate discontinuation of ERAS-0015, high dose steroids and infliximab. The patient requested withdrawal of supportive care and ultimately died of the event.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Rash events are identified using following preferred term rash pustular, rash papular, rash maculo-papular, rash macular, rash, erythema and dermatitis acneiform (uncoded terms rash acneiform and rash, are also included).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baseline characteristics for the JYP0015M101 and AURORAS-1 trials in patients with PDAC and NSCLC:</w:t>
      </w:r>
    </w:p>
    <w:p>
      <w:pPr>
        <w:pStyle w:val="TextBody"/>
        <w:bidi w:val="0"/>
        <w:jc w:val="left"/>
        <w:rPr/>
      </w:pPr>
      <w:r>
        <w:rPr/>
        <w:t> </w:t>
      </w:r>
    </w:p>
    <w:p>
      <w:pPr>
        <w:pStyle w:val="TextBody"/>
        <w:bidi w:val="0"/>
        <w:jc w:val="center"/>
        <w:rPr/>
      </w:pPr>
      <w:r>
        <w:rPr/>
        <w:drawing>
          <wp:inline distT="0" distB="0" distL="0" distR="0">
            <wp:extent cx="7267575" cy="2600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67575" cy="26003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 xml:space="preserve">1 </w:t>
      </w:r>
      <w:r>
        <w:rPr>
          <w:rFonts w:ascii="Arial" w:hAnsi="Arial"/>
          <w:color w:val="000000"/>
          <w:sz w:val="16"/>
        </w:rPr>
        <w:t>2 and 8 mg cohorts did not enroll patients with NSCLC</w:t>
      </w:r>
    </w:p>
    <w:p>
      <w:pPr>
        <w:pStyle w:val="TextBody"/>
        <w:bidi w:val="0"/>
        <w:jc w:val="left"/>
        <w:rPr>
          <w:rFonts w:ascii="Times New Roman" w:hAnsi="Times New Roman"/>
          <w:sz w:val="20"/>
        </w:rPr>
      </w:pPr>
      <w:r>
        <w:rPr>
          <w:rFonts w:ascii="Arial" w:hAnsi="Arial"/>
          <w:color w:val="000000"/>
          <w:sz w:val="11"/>
        </w:rPr>
        <w:t xml:space="preserve">2 </w:t>
      </w:r>
      <w:r>
        <w:rPr>
          <w:rFonts w:ascii="Arial" w:hAnsi="Arial"/>
          <w:color w:val="000000"/>
          <w:sz w:val="16"/>
        </w:rPr>
        <w:t>Safety analysis set: all patients with PDAC or NSCLC that received at least one dose of ERAS-0015</w:t>
      </w:r>
    </w:p>
    <w:p>
      <w:pPr>
        <w:pStyle w:val="TextBody"/>
        <w:bidi w:val="0"/>
        <w:jc w:val="left"/>
        <w:rPr>
          <w:rFonts w:ascii="Times New Roman" w:hAnsi="Times New Roman"/>
          <w:sz w:val="20"/>
        </w:rPr>
      </w:pPr>
      <w:r>
        <w:rPr>
          <w:rFonts w:ascii="Arial" w:hAnsi="Arial"/>
          <w:color w:val="000000"/>
          <w:sz w:val="11"/>
        </w:rPr>
        <w:t xml:space="preserve">3 </w:t>
      </w:r>
      <w:r>
        <w:rPr>
          <w:rFonts w:ascii="Arial" w:hAnsi="Arial"/>
          <w:color w:val="000000"/>
          <w:sz w:val="16"/>
        </w:rPr>
        <w:t>2 and 4 mg cohorts did not enroll patients with NSCLC</w:t>
      </w:r>
    </w:p>
    <w:p>
      <w:pPr>
        <w:pStyle w:val="TextBody"/>
        <w:bidi w:val="0"/>
        <w:jc w:val="left"/>
        <w:rPr>
          <w:rFonts w:ascii="Arial" w:hAnsi="Arial"/>
          <w:i/>
          <w:color w:val="000000"/>
          <w:sz w:val="16"/>
        </w:rPr>
      </w:pPr>
      <w:r>
        <w:rPr>
          <w:rFonts w:ascii="Arial" w:hAnsi="Arial"/>
          <w:i/>
          <w:color w:val="000000"/>
          <w:sz w:val="16"/>
        </w:rPr>
        <w:t>NA = not available</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13, 2026, we announced updated preliminary Phase 1 data for ERAS-0015 in patients with RAS-mutant solid tumors from our ongoing AURORAS-1 Phase 1 trial in the United States that builds on our April 2026 announcement, with additional patients and longer follow-up.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Additional Results from AURORAS-1 Trial</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Encouraging Monotherapy Responses Observed in 2L+ KRAS G12X PDAC</w:t>
      </w:r>
      <w:r>
        <w:rPr>
          <w:rFonts w:ascii="Arial" w:hAnsi="Arial"/>
          <w:b/>
          <w:color w:val="000000"/>
          <w:sz w:val="13"/>
        </w:rPr>
        <w:t>1</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57% uORR</w:t>
      </w:r>
      <w:r>
        <w:rPr>
          <w:rFonts w:ascii="Arial" w:hAnsi="Arial"/>
          <w:color w:val="000000"/>
          <w:sz w:val="13"/>
        </w:rPr>
        <w:t>8wk</w:t>
      </w:r>
      <w:r>
        <w:rPr>
          <w:color w:val="000000"/>
        </w:rPr>
        <w:t xml:space="preserve"> </w:t>
      </w:r>
      <w:r>
        <w:rPr>
          <w:rFonts w:ascii="Arial" w:hAnsi="Arial"/>
          <w:color w:val="000000"/>
          <w:sz w:val="20"/>
        </w:rPr>
        <w:t>(N=7) at RDE of 32 mg QD</w:t>
      </w:r>
      <w:r>
        <w:rPr>
          <w:rFonts w:ascii="Arial" w:hAnsi="Arial"/>
          <w:color w:val="000000"/>
          <w:sz w:val="13"/>
        </w:rPr>
        <w:t>2</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Across doses, all patients with either confirmed or unconfirmed responses remained on treatment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Arial" w:hAnsi="Arial"/>
          <w:color w:val="000000"/>
          <w:sz w:val="20"/>
        </w:rPr>
      </w:pPr>
      <w:r>
        <w:rPr>
          <w:rFonts w:ascii="Arial" w:hAnsi="Arial"/>
          <w:color w:val="000000"/>
          <w:sz w:val="20"/>
        </w:rPr>
        <w:t xml:space="preserve">At RDE of 32 mg QD, 6 of 7 enrolled patients remained on treatment; at RDE of 24 mg QD, 6 of 8 enrolled patients remained on treatment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With Additional Patients and Longer Follow-up, Monotherapy Safety Data Remained Consistent with Prior Disclosure and ERAS-0015 Continued to be Generally Well-Tolerated</w:t>
      </w:r>
      <w:r>
        <w:rPr>
          <w:rFonts w:ascii="Arial" w:hAnsi="Arial"/>
          <w:b/>
          <w:color w:val="000000"/>
          <w:sz w:val="13"/>
        </w:rPr>
        <w:t>1</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Frequency and severity of TRAEs remained consistent with our April 2026 announcement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Mostly low-grade TRAEs, no DLTs, low rate of dose interruptions or reductions due to TRAEs, and no discontinuations due to TRAEs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Arial" w:hAnsi="Arial"/>
          <w:color w:val="000000"/>
          <w:sz w:val="20"/>
        </w:rPr>
      </w:pPr>
      <w:r>
        <w:rPr>
          <w:rFonts w:ascii="Arial" w:hAnsi="Arial"/>
          <w:color w:val="000000"/>
          <w:sz w:val="20"/>
        </w:rPr>
        <w:t xml:space="preserve">Median relative dose intensity was 100% at both 24 mg QD and 32 mg QD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Promising Combination Potential with Panitumumab in Metastatic Colorectal Cancer, including Clearance of First Dose Escalation Cohort</w:t>
      </w:r>
      <w:r>
        <w:rPr>
          <w:rFonts w:ascii="Arial" w:hAnsi="Arial"/>
          <w:b/>
          <w:color w:val="000000"/>
          <w:sz w:val="13"/>
        </w:rPr>
        <w:t>3</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No DLTs were observed for the combination in the 16 mg cohort during dose escalation in four DLT-evaluable patients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Backfill enrollment is ongoing in the 16 mg combination cohort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Arial" w:hAnsi="Arial"/>
          <w:color w:val="000000"/>
          <w:sz w:val="20"/>
        </w:rPr>
      </w:pPr>
      <w:r>
        <w:rPr>
          <w:rFonts w:ascii="Arial" w:hAnsi="Arial"/>
          <w:color w:val="000000"/>
          <w:sz w:val="20"/>
        </w:rPr>
        <w:t xml:space="preserve">Dose escalation is ongoing with continued enrollment in the 24 mg combination cohort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 xml:space="preserve">1 </w:t>
      </w:r>
      <w:r>
        <w:rPr>
          <w:rFonts w:ascii="Arial" w:hAnsi="Arial"/>
          <w:color w:val="000000"/>
          <w:sz w:val="16"/>
        </w:rPr>
        <w:t>Data cutoff (DCO) May 25, 2026</w:t>
      </w:r>
    </w:p>
    <w:p>
      <w:pPr>
        <w:pStyle w:val="TextBody"/>
        <w:bidi w:val="0"/>
        <w:jc w:val="left"/>
        <w:rPr>
          <w:rFonts w:ascii="Times New Roman" w:hAnsi="Times New Roman"/>
          <w:sz w:val="20"/>
        </w:rPr>
      </w:pPr>
      <w:r>
        <w:rPr>
          <w:rFonts w:ascii="Arial" w:hAnsi="Arial"/>
          <w:color w:val="000000"/>
          <w:sz w:val="11"/>
        </w:rPr>
        <w:t xml:space="preserve">2 </w:t>
      </w:r>
      <w:r>
        <w:rPr>
          <w:rFonts w:ascii="Arial" w:hAnsi="Arial"/>
          <w:color w:val="000000"/>
          <w:sz w:val="16"/>
        </w:rPr>
        <w:t>The uORR</w:t>
      </w:r>
      <w:r>
        <w:rPr>
          <w:rFonts w:ascii="Arial" w:hAnsi="Arial"/>
          <w:color w:val="000000"/>
          <w:sz w:val="11"/>
        </w:rPr>
        <w:t>8wk</w:t>
      </w:r>
      <w:r>
        <w:rPr>
          <w:rFonts w:ascii="Times New Roman" w:hAnsi="Times New Roman"/>
          <w:color w:val="000000"/>
          <w:sz w:val="20"/>
        </w:rPr>
        <w:t xml:space="preserve"> </w:t>
      </w:r>
      <w:r>
        <w:rPr>
          <w:rFonts w:ascii="Arial" w:hAnsi="Arial"/>
          <w:color w:val="000000"/>
          <w:sz w:val="16"/>
        </w:rPr>
        <w:t>is the overall response rate (ORR) (confirmed and unconfirmed responses) for patients who received first dose of ERAS-0015 at least 8 weeks prior to the May 25, 2026 cutoff date</w:t>
      </w:r>
    </w:p>
    <w:p>
      <w:pPr>
        <w:pStyle w:val="TextBody"/>
        <w:bidi w:val="0"/>
        <w:jc w:val="left"/>
        <w:rPr>
          <w:rFonts w:ascii="Times New Roman" w:hAnsi="Times New Roman"/>
          <w:sz w:val="20"/>
        </w:rPr>
      </w:pPr>
      <w:r>
        <w:rPr>
          <w:rFonts w:ascii="Arial" w:hAnsi="Arial"/>
          <w:color w:val="000000"/>
          <w:sz w:val="11"/>
        </w:rPr>
        <w:t>3</w:t>
      </w:r>
      <w:r>
        <w:rPr>
          <w:rFonts w:ascii="Times New Roman" w:hAnsi="Times New Roman"/>
          <w:color w:val="000000"/>
          <w:sz w:val="20"/>
        </w:rPr>
        <w:t xml:space="preserve"> </w:t>
      </w:r>
      <w:r>
        <w:rPr>
          <w:rFonts w:ascii="Arial" w:hAnsi="Arial"/>
          <w:color w:val="000000"/>
          <w:sz w:val="16"/>
        </w:rPr>
        <w:t>DCO July 6, 2026</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Additional AURORAS-1 Safety Data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all treatment-related adverse events occurring in 10% or more of patients in the AURORAS-1 trial and the relative dose intensity (RDI) as of the May 25, 2026 DCO date.</w:t>
      </w:r>
    </w:p>
    <w:p>
      <w:pPr>
        <w:pStyle w:val="TextBody"/>
        <w:bidi w:val="0"/>
        <w:jc w:val="left"/>
        <w:rPr/>
      </w:pPr>
      <w:r>
        <w:rPr/>
        <w:t> </w:t>
      </w:r>
    </w:p>
    <w:p>
      <w:pPr>
        <w:pStyle w:val="TextBody"/>
        <w:bidi w:val="0"/>
        <w:jc w:val="center"/>
        <w:rPr/>
      </w:pPr>
      <w:r>
        <w:rPr/>
        <w:drawing>
          <wp:inline distT="0" distB="0" distL="0" distR="0">
            <wp:extent cx="6172200" cy="2667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72200" cy="26670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One Grade 3 TRAE of pneumonitis progressed to Grade 5 after withdrawal of supportive care per patient decision. The patient was a 66 year-old male with heavily pretreated metastatic pancreatic adenocarcinoma who received 24 mg of ERAS-0015. The patient had pulmonary metastases, a history of right lung cryoablation and no history of lung radiation. The patient presented to the ER approximately a month after starting ERAS-0015 with Grade 3 pneumonitis that was treated aggressively with immediate discontinuation of ERAS-0015, high dose steroids and infliximab. The patient requested withdrawal of supportive care and ultimately died of the event.</w:t>
      </w:r>
    </w:p>
    <w:p>
      <w:pPr>
        <w:pStyle w:val="TextBody"/>
        <w:bidi w:val="0"/>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Rash events are identified using following preferred term rash pustular, rash papular, rash maculo-papular, rash macular, rash, erythema and dermatitis acneiform (uncoded terms rash acneiform and rash, are also included).</w:t>
      </w:r>
    </w:p>
    <w:p>
      <w:pPr>
        <w:pStyle w:val="TextBody"/>
        <w:bidi w:val="0"/>
        <w:spacing w:before="360" w:after="283"/>
        <w:jc w:val="center"/>
        <w:rPr/>
      </w:pPr>
      <w:r>
        <w:rPr/>
        <w:drawing>
          <wp:inline distT="0" distB="0" distL="0" distR="0">
            <wp:extent cx="6257925" cy="2686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57925" cy="26860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Rash events are identified using following preferred term rash pustular, rash papular, rash maculo-papular, rash macular, rash, erythema and dermatitis acneiform (uncoded terms rash acneiform and rash, are also included).</w:t>
      </w:r>
    </w:p>
    <w:p>
      <w:pPr>
        <w:pStyle w:val="TextBody"/>
        <w:bidi w:val="0"/>
        <w:spacing w:before="360" w:after="283"/>
        <w:jc w:val="center"/>
        <w:rPr/>
      </w:pPr>
      <w:r>
        <w:rPr/>
        <w:drawing>
          <wp:inline distT="0" distB="0" distL="0" distR="0">
            <wp:extent cx="6134100" cy="2305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134100" cy="23050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Data were unavailable for subset of patients who were therefore not included in the RDI calculation.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ERAS-4001, our pan-KRAS Inhibitor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ERAS-4001 is a potential first-in-class pan-KRAS inhibitor in clinical development for the treatment of patients with</w:t>
      </w:r>
      <w:r>
        <w:rPr>
          <w:rFonts w:ascii="Times New Roman" w:hAnsi="Times New Roman"/>
          <w:color w:val="000000"/>
          <w:sz w:val="20"/>
        </w:rPr>
        <w:t xml:space="preserve"> </w:t>
      </w:r>
      <w:r>
        <w:rPr>
          <w:rFonts w:ascii="Arial" w:hAnsi="Arial"/>
          <w:color w:val="000000"/>
          <w:sz w:val="20"/>
        </w:rPr>
        <w:t>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compared to the other pan-RAS molecular glues in development. ERAS-4001 demonstrated activity against both GDP-bound (“inactive state”) and GTP-bound (“active state”) KRAS G12D with single digit nanomolar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(a measure of the drug concentration needed to achieve half-maximal inhibition) values in a biochemical RAS – RAF1 RBD (RAS Binding Domain) assay. In vivo, ERAS-4001 showed tumor regression in multiple models when administered as a monotherapy. In combination with an anti-PD-1 antibody, ERAS-4001 was able to achieve complete disappearance of tumors in mice on day 31. The combination of ERAS-4001 plus the anti-EGFR antibody cetuximab induced significant tumor growth inhibition and demonstrated the potential combination benefit of blocking both oncogenic drivers. The initial clinical trial for ERAS-4001 is called BOREALIS-1. The IND for BOREALIS-1 was cleared by the FDA in May 2025. We anticipate a Phase 1 monotherapy data readout from the BOREALIS-1 trial in the second half of 2026. In addition, we anticipate the initiation of monotherapy expansion cohorts and combination dose escalation cohorts in 2027.</w:t>
      </w:r>
    </w:p>
    <w:p>
      <w:pPr>
        <w:pStyle w:val="TextBody"/>
        <w:bidi w:val="0"/>
        <w:jc w:val="left"/>
        <w:rPr>
          <w:rFonts w:ascii="Arial" w:hAnsi="Arial"/>
          <w:color w:val="000000"/>
          <w:sz w:val="20"/>
        </w:rPr>
      </w:pPr>
      <w:r>
        <w:rPr>
          <w:rFonts w:ascii="Arial" w:hAnsi="Arial"/>
          <w:color w:val="000000"/>
          <w:sz w:val="20"/>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pStyle w:val="TextBody"/>
        <w:bidi w:val="0"/>
        <w:spacing w:before="360" w:after="283"/>
        <w:jc w:val="left"/>
        <w:rPr>
          <w:rFonts w:ascii="Arial" w:hAnsi="Arial"/>
          <w:b/>
          <w:color w:val="000000"/>
          <w:sz w:val="20"/>
        </w:rPr>
      </w:pPr>
      <w:r>
        <w:rPr>
          <w:rFonts w:ascii="Arial" w:hAnsi="Arial"/>
          <w:b/>
          <w:color w:val="000000"/>
          <w:sz w:val="20"/>
        </w:rPr>
        <w:t>ERAS-12, our EGFR D2/D3 biparatopic antibody program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next program is ERAS-12, our investigational EGFR D2/D3 biparatopic antibody (bpAb). ERAS-12 is a potential best-in-class biologic, for which we have identified a lead candidate,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 In order to focus our resources on our RAS programs, we have made a strategic decision that future development of this program would be best advanced through a strategic partnership. Accordingly, we are no longer committing internal resources to the development of this program, and we intend to seek a partner to continue its development.</w:t>
      </w:r>
    </w:p>
    <w:p>
      <w:pPr>
        <w:pStyle w:val="TextBody"/>
        <w:bidi w:val="0"/>
        <w:spacing w:before="360" w:after="283"/>
        <w:jc w:val="left"/>
        <w:rPr>
          <w:rFonts w:ascii="Arial" w:hAnsi="Arial"/>
          <w:b/>
          <w:color w:val="000000"/>
          <w:sz w:val="20"/>
        </w:rPr>
      </w:pPr>
      <w:r>
        <w:rPr>
          <w:rFonts w:ascii="Arial" w:hAnsi="Arial"/>
          <w:b/>
          <w:color w:val="000000"/>
          <w:sz w:val="20"/>
        </w:rPr>
        <w:t>Anticipated Corporate Milestones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ERAS-0015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Phase 1 monotherapy expansion data expected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Phase 1 combination dose escalation data, including panitumumab combination, expected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Potentially registration-enabling trial in 2L+ NSCLC expected to initiate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Phase 3 pivotal trial in first-line (1L) PDAC expected to initiate in 2027</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Phase 3 pivotal trial in RASm NSCLC expected to initiate in the second half of 2027 to the first half of 2028</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ERAS-4001</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Preliminary safety, tolerability, PK, and initial efficacy Phase 1 monotherapy data expected in the second half of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Initiation of monotherapy expansion cohorts and combination dose escalation cohorts planned for 2027</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2025, in connection with our expectation that ERAS-0015 and ERAS-4001 would both become clinical stage programs, we conducted a broader pipeline review. Following this review, in order to prioritize organizational focus and resources to advance our differentiated RAS-targeting franchise, we decided to evaluate strategic alternatives for our naporafenib program, which we in-licensed from Novartis Pharma AG (Novartis). After evaluating the clinical progress of our RAS franchise, we made a decision to stop development of naporafenib. In March 2026, we sent a notice to Novartis to terminate our exclusive license agreement with Novartis (as amended, the Novartis Agreement) pursuant to which we acquired exclusive rights to develop naporafenib. The effective date of the termination of the Novartis Agreement is June 3, 2026. In connection with such termination, we and Novartis have entered into a termination agreement, pursuant to which Novartis and we have agreed that we shall continue to ensure that the patients currently enrolled in the SEACRAFT-1 and SEACRAFT-2 trials will be permitted to continue to receive treatment for the foreseeable future.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2022, we entered into an Open Market Sale Agreement (the Sale Agreement) with Jefferies LLC (the Agent), pursuant to which we could offer and sell shares of our common stock having an aggregate offering price of up to $200 million from time to time, in an “at-the-market offering” (ATM Program)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year ended December 31, 2024, we sold 9,231,114 shares of our common stock under the Sale Agreement at a weighted-average price of $2.37 per share. Proceeds from the ATM Program during the year ended December 31, 2024 were $21.0 million, net of commissions and expenses of $0.8 million.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August 2025, we entered into an Amended and Restated Open Market Sale Agreement (the 2025 Sale Agreement) with the Agent, pursuant to which we may offer and sell shares of our common stock having an aggregate offering price of up to $200 million from time to time, in the ATM Program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June 30, 2026, we had $200.0 million of shares available for sale under the ATM Program.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January 2026, we completed the sale and issuance of 25,875,000 shares of our common stock, including the exercise in full by the underwriters of their option to purchase 3,375,000 shares of our common stock, at a price to the public of $10.00 per share (the January 2026 Offering). Our aggregate net proceeds from the January 2026 Offering were $242.7 million, net of underwriting discounts and commissions and offering costs of $16.0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2026, we completed the sale and issuance of 36,142,857 shares of our common stock, including the exercise in full by the underwriters of their option to purchase 4,714,285 shares of our common stock, at a price to the public of $17.50 per share (the July 2026 Offering). Our aggregate net proceeds from the July 2026 Offering were $593.5 million, net of underwriting discounts and commissions and estimated offering costs of $38.9 million.</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June 30, 2026, we have raised a total of $1.3 billion to fund our operations, comprised primarily of gross proceeds from our IPO, underwritten offerings, a private placement of our common stock, and the sale and issuance of convertible preferred stock. As of June 30, 2026, we had cash, cash equivalents, and marketable securities of $384.3 million. In July 2026, we completed our July 2026 Offering with aggregate net proceeds of $593.5 million, net of underwriting discounts and commissions and estimated offering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incurred significant operating losses since inception. Our net losses were $44.1 million and $33.9 million for the three months ended June 30, 2026 and 2025, respectively, and $227.5 million and $64.8 million for the six months ended June 30, 2026 and 2025, respectively. As of June 30, 2026, we had an accumulated deficit of $1.1 billion.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our product candidates. Our net losses may fluctuate significantly from quarter-to-quarter and year-to-year, depending on the timing of our clinical trials and preclinical studies and our expenditures on other research and development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Based upon our current operating plans, we believe that our cash, cash equivalents, and marketable securities as of June 30, 2026, together with the net proceeds of $593.5 million received from the July 2026 Offering, will be sufficient to achieve the anticipated corporate milestones set forth in this quarterly report, including reporting data from the ongoing Phase 1 clinical trial of ERAS-0015; initiating potentially registration-enabling clinical trials of ERAS-0015 in 2L+ NSCLC, 1L PDAC and RASm NSCLC; reporting data from the ongoing Phase 1 clinical trial of ERAS-4001 as monotherapy; and initiating monotherapy expansion cohorts and combination dose escalation cohorts of ERAS-4001.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condition and results of operations may also be impacted by other factors we may not be able to control, such as geopolitical and economic events. We do not believe that such factors had a material adverse impact on our results of operations during the three and six months ended June 30, 2026.</w:t>
      </w:r>
    </w:p>
    <w:p>
      <w:pPr>
        <w:pStyle w:val="TextBody"/>
        <w:bidi w:val="0"/>
        <w:spacing w:before="360" w:after="283"/>
        <w:jc w:val="left"/>
        <w:rPr>
          <w:rFonts w:ascii="Times New Roman" w:hAnsi="Times New Roman"/>
          <w:sz w:val="20"/>
        </w:rPr>
      </w:pPr>
      <w:r>
        <w:rPr>
          <w:rFonts w:ascii="Arial" w:hAnsi="Arial"/>
          <w:b/>
          <w:color w:val="000000"/>
          <w:sz w:val="20"/>
        </w:rPr>
        <w:t>Our acquisition and license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entered into in-license and acquisition agreements pursuant to which we in-licensed or acquired certain intellectual property rights related to our product candidates and development programs.</w:t>
      </w:r>
    </w:p>
    <w:p>
      <w:pPr>
        <w:pStyle w:val="TextBody"/>
        <w:bidi w:val="0"/>
        <w:jc w:val="left"/>
        <w:rPr>
          <w:rFonts w:ascii="Arial" w:hAnsi="Arial"/>
          <w:color w:val="000000"/>
          <w:sz w:val="20"/>
        </w:rPr>
      </w:pPr>
      <w:r>
        <w:rPr>
          <w:rFonts w:ascii="Arial" w:hAnsi="Arial"/>
          <w:color w:val="000000"/>
          <w:sz w:val="20"/>
        </w:rPr>
        <w:t>For additional information regarding our in-license and acquisition agreements, see the section titled “Business—Our acquisition and license agreements” in our Annual Report on Form 10-K for the year ended December 31, 2025 filed with the SEC on March 12,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Components of results of operations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pStyle w:val="TextBody"/>
        <w:bidi w:val="0"/>
        <w:spacing w:before="360" w:after="283"/>
        <w:jc w:val="left"/>
        <w:rPr>
          <w:rFonts w:ascii="Arial" w:hAnsi="Arial"/>
          <w:b/>
          <w:color w:val="000000"/>
          <w:sz w:val="20"/>
        </w:rPr>
      </w:pPr>
      <w:r>
        <w:rPr>
          <w:rFonts w:ascii="Arial" w:hAnsi="Arial"/>
          <w:b/>
          <w:color w:val="000000"/>
          <w:sz w:val="20"/>
        </w:rPr>
        <w:t>Operating expenses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Research and development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external costs, including expenses incurred under arrangements with third parties, such as contract research organizations (CROs), contract manufacturing organizations (CMOs), consultants, and our scientific advisors;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internal costs,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employee-related expenses, including salaries, benefits, and stock-based compensation for those individuals involved in research and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the costs of laboratory supplies and acquiring, developing, and manufacturing preclinical study materials;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facilities and depreciation, which include direct and allocated expenses for rent of facilities and depreciation.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research and development expenses incurred for the following periods (in thousands):</w:t>
      </w:r>
    </w:p>
    <w:p>
      <w:pPr>
        <w:pStyle w:val="TextBody"/>
        <w:bidi w:val="0"/>
        <w:jc w:val="left"/>
        <w:rPr/>
      </w:pPr>
      <w:r>
        <w:rPr/>
        <w:t> </w:t>
      </w:r>
    </w:p>
    <w:tbl>
      <w:tblPr>
        <w:tblW w:w="9606" w:type="dxa"/>
        <w:jc w:val="left"/>
        <w:tblInd w:w="0" w:type="dxa"/>
        <w:tblLayout w:type="fixed"/>
        <w:tblCellMar>
          <w:top w:w="28" w:type="dxa"/>
          <w:left w:w="28" w:type="dxa"/>
          <w:bottom w:w="28" w:type="dxa"/>
          <w:right w:w="28" w:type="dxa"/>
        </w:tblCellMar>
      </w:tblPr>
      <w:tblGrid>
        <w:gridCol w:w="3811"/>
        <w:gridCol w:w="146"/>
        <w:gridCol w:w="160"/>
        <w:gridCol w:w="232"/>
        <w:gridCol w:w="759"/>
        <w:gridCol w:w="160"/>
        <w:gridCol w:w="160"/>
        <w:gridCol w:w="160"/>
        <w:gridCol w:w="232"/>
        <w:gridCol w:w="759"/>
        <w:gridCol w:w="146"/>
        <w:gridCol w:w="146"/>
        <w:gridCol w:w="146"/>
        <w:gridCol w:w="225"/>
        <w:gridCol w:w="740"/>
        <w:gridCol w:w="156"/>
        <w:gridCol w:w="156"/>
        <w:gridCol w:w="156"/>
        <w:gridCol w:w="225"/>
        <w:gridCol w:w="740"/>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6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ERAS-0015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39,909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ERAS-4001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clinical programs</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discovery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3,448</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35,900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63,165</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6"/>
        </w:rPr>
      </w:pPr>
      <w:r>
        <w:rPr>
          <w:rFonts w:ascii="Arial" w:hAnsi="Arial"/>
          <w:color w:val="000000"/>
          <w:sz w:val="16"/>
        </w:rPr>
        <w:t>(1) Other clinical programs include naporafenib.</w:t>
      </w:r>
    </w:p>
    <w:p>
      <w:pPr>
        <w:pStyle w:val="TextBody"/>
        <w:bidi w:val="0"/>
        <w:spacing w:before="360" w:after="283"/>
        <w:jc w:val="left"/>
        <w:rPr>
          <w:rFonts w:ascii="Arial" w:hAnsi="Arial"/>
          <w:color w:val="000000"/>
          <w:sz w:val="20"/>
        </w:rPr>
      </w:pPr>
      <w:r>
        <w:rPr>
          <w:rFonts w:ascii="Arial" w:hAnsi="Arial"/>
          <w:color w:val="000000"/>
          <w:sz w:val="20"/>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timelines and costs associated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development costs may vary significantly based on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scope of preclinical and IND-enabling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trials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duration of patient participation in the trials and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timing of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phase of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efficacy and safety profile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receipt, and terms of any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 continued acceptable safety profile of our products following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any interruptions to our operations or to those of third parties with whom we work due to geopolitical and economic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establish additional collaboration, license or other arrangements.</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consist primarily of our upfront payments, milestone payments, and our stock issuances in connection with our acquisition and in-license agreements.</w:t>
      </w:r>
    </w:p>
    <w:p>
      <w:pPr>
        <w:pStyle w:val="TextBody"/>
        <w:bidi w:val="0"/>
        <w:spacing w:before="360" w:after="283"/>
        <w:jc w:val="left"/>
        <w:rPr>
          <w:rFonts w:ascii="Arial" w:hAnsi="Arial"/>
          <w:b/>
          <w:color w:val="000000"/>
          <w:sz w:val="20"/>
        </w:rPr>
      </w:pPr>
      <w:r>
        <w:rPr>
          <w:rFonts w:ascii="Arial" w:hAnsi="Arial"/>
          <w:b/>
          <w:color w:val="000000"/>
          <w:sz w:val="20"/>
        </w:rPr>
        <w:t>General and administrative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income consists primarily of interest earned on our cash, cash equivalents, and marketable securities.</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Comparison of the three months ended June 30, 2026 and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results of operations for the three months ended June 30, 2026 and 2025 (in thousands):</w:t>
      </w:r>
    </w:p>
    <w:p>
      <w:pPr>
        <w:pStyle w:val="TextBody"/>
        <w:bidi w:val="0"/>
        <w:jc w:val="left"/>
        <w:rPr/>
      </w:pPr>
      <w:r>
        <w:rPr/>
        <w:t> </w:t>
      </w:r>
    </w:p>
    <w:tbl>
      <w:tblPr>
        <w:tblW w:w="8463" w:type="dxa"/>
        <w:jc w:val="left"/>
        <w:tblInd w:w="0" w:type="dxa"/>
        <w:tblLayout w:type="fixed"/>
        <w:tblCellMar>
          <w:top w:w="28" w:type="dxa"/>
          <w:left w:w="28" w:type="dxa"/>
          <w:bottom w:w="28" w:type="dxa"/>
          <w:right w:w="28" w:type="dxa"/>
        </w:tblCellMar>
      </w:tblPr>
      <w:tblGrid>
        <w:gridCol w:w="3671"/>
        <w:gridCol w:w="146"/>
        <w:gridCol w:w="247"/>
        <w:gridCol w:w="881"/>
        <w:gridCol w:w="194"/>
        <w:gridCol w:w="171"/>
        <w:gridCol w:w="247"/>
        <w:gridCol w:w="881"/>
        <w:gridCol w:w="166"/>
        <w:gridCol w:w="146"/>
        <w:gridCol w:w="211"/>
        <w:gridCol w:w="751"/>
        <w:gridCol w:w="75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14,730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47,619</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9,494</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(10,203</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color w:val="000000"/>
          <w:sz w:val="20"/>
        </w:rPr>
      </w:pPr>
      <w:r>
        <w:rPr>
          <w:rFonts w:ascii="Arial" w:hAnsi="Arial"/>
          <w:b/>
          <w:color w:val="000000"/>
          <w:sz w:val="20"/>
        </w:rPr>
        <w:t>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were $35.9 million for the three months ended June 30, 2026 compared to $21.2 million for the three months ended June 30, 2025. The increase of $14.7 million was primarily driven by increases of $8.2 million in expenses incurred in connection with clinical trials, preclinical studies, and discovery activities, $3.7 million in outsourced services and consulting fees, and $2.8 million in personnel costs, including stock-based compensation expense.</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were $0 for the three months ended June 30, 2026 compared to $7.5 million for the three months ended June 30, 2025. In-process research and development expenses for the three months ended June 30, 2025 were related to the achievement of milestones in connection with our license agreement with Joyo.</w:t>
      </w:r>
    </w:p>
    <w:p>
      <w:pPr>
        <w:pStyle w:val="TextBody"/>
        <w:bidi w:val="0"/>
        <w:spacing w:before="360" w:after="283"/>
        <w:jc w:val="left"/>
        <w:rPr>
          <w:rFonts w:ascii="Arial" w:hAnsi="Arial"/>
          <w:b/>
          <w:color w:val="000000"/>
          <w:sz w:val="20"/>
        </w:rPr>
      </w:pPr>
      <w:r>
        <w:rPr>
          <w:rFonts w:ascii="Arial" w:hAnsi="Arial"/>
          <w:b/>
          <w:color w:val="000000"/>
          <w:sz w:val="20"/>
        </w:rPr>
        <w:t>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were $11.7 million for the three months ended June 30, 2026 compared to $9.5 million for the three months ended June 30, 2025. The increase of $2.3 million was primarily driven by increases of $1.5 million in personnel costs, including stock-based compensation expense, and $0.7 million in legal costs.</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(expense), net was $3.5 million for the three months ended June 30, 2026 compared to $4.2 million for the three months ended June 30, 2025. The decrease of $0.7 million was primarily related to a decrease in interest earned on our cash, cash equivalents, and marketable securities during the three months ended June 30, 2026.</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Comparison of the six months ended June 30, 2026 and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results of operations for the six months ended June 30, 2026 and 2025 (in thousands):</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3671"/>
        <w:gridCol w:w="146"/>
        <w:gridCol w:w="216"/>
        <w:gridCol w:w="877"/>
        <w:gridCol w:w="170"/>
        <w:gridCol w:w="149"/>
        <w:gridCol w:w="216"/>
        <w:gridCol w:w="770"/>
        <w:gridCol w:w="166"/>
        <w:gridCol w:w="146"/>
        <w:gridCol w:w="211"/>
        <w:gridCol w:w="856"/>
        <w:gridCol w:w="75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142,500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235,530</w:t>
            </w:r>
          </w:p>
        </w:tc>
        <w:tc>
          <w:tcPr>
            <w:tcW w:w="17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161,775</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(235,530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(161,775</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(227,519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(162,677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color w:val="000000"/>
          <w:sz w:val="20"/>
        </w:rPr>
      </w:pPr>
      <w:r>
        <w:rPr>
          <w:rFonts w:ascii="Arial" w:hAnsi="Arial"/>
          <w:b/>
          <w:color w:val="000000"/>
          <w:sz w:val="20"/>
        </w:rPr>
        <w:t>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were $63.2 million for the six months ended June 30, 2026 compared to $47.1 million for the six months ended June 30, 2025. The increase of $16.0 million was primarily driven by increases of $9.2 million in expenses incurred in connection with clinical trials, preclinical studies, and discovery activities, $4.5 million in personnel costs, including stock-based compensation expense, and $2.6 million in outsourced services and consulting fees.</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were $150.0 million for the six months ended June 30, 2026 compared to $7.5 million for the six months ended June 30, 2025. In-process research and development expenses for the six months ended June 30, 2026 related to our exercise of the option to expand our territory under the license agreement with Joyo. In-process research and development expenses for the six months ended June 30, 2025 were related to the achievement of milestones in connection with our license agreement with Joyo.</w:t>
      </w:r>
    </w:p>
    <w:p>
      <w:pPr>
        <w:pStyle w:val="TextBody"/>
        <w:bidi w:val="0"/>
        <w:spacing w:before="360" w:after="283"/>
        <w:jc w:val="left"/>
        <w:rPr>
          <w:rFonts w:ascii="Arial" w:hAnsi="Arial"/>
          <w:b/>
          <w:color w:val="000000"/>
          <w:sz w:val="20"/>
        </w:rPr>
      </w:pPr>
      <w:r>
        <w:rPr>
          <w:rFonts w:ascii="Arial" w:hAnsi="Arial"/>
          <w:b/>
          <w:color w:val="000000"/>
          <w:sz w:val="20"/>
        </w:rPr>
        <w:t>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were $22.4 million for the six months ended June 30, 2026 compared to $19.1 million for the six months ended June 30, 2025. The increase of $3.2 million was primarily driven by increases of $2.4 million in personnel costs, including stock-based compensation expense, and $0.8 million in legal fees.</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(expense), net was $8.0 million for the six months ended June 30, 2026 compared to $8.9 million for the six months ended June 30, 2025. The decrease of $0.9 million was primarily related to a decrease in interest earned on our cash, cash equivalents, and marketable securities during the six months ended June 30, 2026.</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Sources of liquidity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$317.0 million, net of underwriting discounts and commissions of $24.2 million and offering costs of $3.8 million. Prior to the IPO, we received aggregate gross proceeds of $320.4 million from the sale of shares of our convertible preferred stock.</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pStyle w:val="TextBody"/>
        <w:bidi w:val="0"/>
        <w:jc w:val="left"/>
        <w:rPr>
          <w:rFonts w:ascii="Arial" w:hAnsi="Arial"/>
          <w:color w:val="000000"/>
          <w:sz w:val="20"/>
        </w:rPr>
      </w:pPr>
      <w:r>
        <w:rPr>
          <w:rFonts w:ascii="Arial" w:hAnsi="Arial"/>
          <w:color w:val="000000"/>
          <w:sz w:val="20"/>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2022, we entered into the Sale Agreement with the Agent, pursuant to which we could offer and sell shares of our common stock having an aggregate offering price of up to $200 million from time to time, in an ATM Program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year ended December 31, 2024, we sold 9,231,114 shares of our common stock under the Sale Agreement at a weighted-average price of $2.37 per share. Proceeds from the ATM Program during the year ended December 31, 2024 were $21.0 million, net of commissions and expenses of $0.8 million.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August 2025, we entered into the 2025 Sale Agreement with the Agent, pursuant to which we may offer and sell shares of our common stock having an aggregate offering price of up to $200 million from time to time, in ATM Program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June 30, 2026, we had $200.0 million of shares available for sale under the ATM Program.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January 2026, we completed the sale and issuance of 25,875,000 shares of our common stock, including the exercise in full by the underwriters of their option to purchase 3,375,000 shares of our common stock, at a price to the public of $10.00 per share. Our aggregate net proceeds from the January 2026 Offering were $242.7 million, net of underwriting discounts and commissions and offering costs of $16.0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2026, we completed the sale and issuance of 36,142,857 shares of our common stock, including the exercise in full by the underwriters of their option to purchase 4,714,285 shares of our common stock, at a price to the public of $17.50 per share. Our aggregate net proceeds from the July 2026 Offering were $593.5 million, net of underwriting discounts and commissions and estimated offering costs of $38.9 million.</w:t>
      </w:r>
    </w:p>
    <w:p>
      <w:pPr>
        <w:pStyle w:val="TextBody"/>
        <w:bidi w:val="0"/>
        <w:spacing w:before="360" w:after="283"/>
        <w:jc w:val="left"/>
        <w:rPr>
          <w:rFonts w:ascii="Arial" w:hAnsi="Arial"/>
          <w:b/>
          <w:color w:val="000000"/>
          <w:sz w:val="20"/>
        </w:rPr>
      </w:pPr>
      <w:r>
        <w:rPr>
          <w:rFonts w:ascii="Arial" w:hAnsi="Arial"/>
          <w:b/>
          <w:color w:val="000000"/>
          <w:sz w:val="20"/>
        </w:rPr>
        <w:t>Future capital requirements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we had cash, cash equivalents, and marketable securities of $384.3 million. Based upon our current operating plans, we believe that our cash, cash equivalents, and marketable securities, together with the net proceeds of $593.5 million received from the July 2026 Offering, will be sufficient to fund our operations for at least the next twelve months.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future capital requirements are difficult to forecast and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manufacturing for our product candidates with CMOs, including commercial manufacturing, if any product candidate is approved;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obtaining, maintaining, and enforcing our patents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efforts to enhance operational systems and hire additional personnel to satisfy our obligations as a public company, including enhanced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associated with hiring additional personnel, consultants, and CROs as our preclinical and clinical activities increase;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amount of the milestone or other payments we must make to the licensors and other third parties from whom we have in-licensed our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establishing or securing sales and marketing capabilities if any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patients’ willingness to pay out-of-pocket for any approved products in the absence of coverage and/or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terms and timing of establishing and maintaining collaborations, licenses, and other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delays and cost increases that result from geopolitical and economic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evolving government regulation that impacts the way we operate, including the potential negative effects of changes in United States tariff and import/export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associated with any products or technologies that we may in-license or acquire.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no other committed sources of capital. Until we can generate a sufficient amount of product revenue to finance our cash requirements, if ever, we expect to finance our future cash needs primarily through equity offerings (including through the 2025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pStyle w:val="TextBody"/>
        <w:bidi w:val="0"/>
        <w:spacing w:before="360" w:after="283"/>
        <w:jc w:val="left"/>
        <w:rPr>
          <w:rFonts w:ascii="Arial" w:hAnsi="Arial"/>
          <w:b/>
          <w:color w:val="000000"/>
          <w:sz w:val="20"/>
        </w:rPr>
      </w:pPr>
      <w:r>
        <w:rPr>
          <w:rFonts w:ascii="Arial" w:hAnsi="Arial"/>
          <w:b/>
          <w:color w:val="000000"/>
          <w:sz w:val="20"/>
        </w:rPr>
        <w:t>Cash flows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shows a summary of our cash flows for the periods presented (in thousands):</w:t>
      </w:r>
    </w:p>
    <w:p>
      <w:pPr>
        <w:pStyle w:val="TextBody"/>
        <w:bidi w:val="0"/>
        <w:jc w:val="left"/>
        <w:rPr/>
      </w:pPr>
      <w:r>
        <w:rPr/>
        <w:t> </w:t>
      </w:r>
    </w:p>
    <w:tbl>
      <w:tblPr>
        <w:tblW w:w="8096" w:type="dxa"/>
        <w:jc w:val="left"/>
        <w:tblInd w:w="0" w:type="dxa"/>
        <w:tblLayout w:type="fixed"/>
        <w:tblCellMar>
          <w:top w:w="28" w:type="dxa"/>
          <w:left w:w="28" w:type="dxa"/>
          <w:bottom w:w="28" w:type="dxa"/>
          <w:right w:w="28" w:type="dxa"/>
        </w:tblCellMar>
      </w:tblPr>
      <w:tblGrid>
        <w:gridCol w:w="5341"/>
        <w:gridCol w:w="146"/>
        <w:gridCol w:w="216"/>
        <w:gridCol w:w="877"/>
        <w:gridCol w:w="170"/>
        <w:gridCol w:w="149"/>
        <w:gridCol w:w="216"/>
        <w:gridCol w:w="770"/>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(224,338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247,728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(31,263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Operating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used in operating activities was $54.7 million during the six months ended June 30, 2026, primarily resulting from a net loss of $227.5 million and accretion on marketable securities of $1.3 million, partially reduced by in-process research and development expenses of $150.0 million related to our exercise of the option to expand our territory under the license agreement with Joyo, which are reflected in investing activities, stock-based compensation expense of $18.1 million, changes in operating assets and liabilities of $4.7 million, and depreciation and amortization expense of $1.4 million. Net cash provided by changes in operating assets and liabilities consisted primarily of an increase in accounts payable, accrued expenses, and other current and long-term liabilities of $4.4 million and a decrease in prepaid expenses and other current and long-term assets of $1.2 million, partially offset by a decrease in operating assets and liabilities, net of $0.9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used in operating activities was $52.1 million during the six months ended June 30, 2025, primarily resulting from a net loss of $64.8 million, changes in operating assets and liabilities of $6.0 million, and accretion on marketable securities of $3.5 million, partially reduced by stock-based compensation expense of $13.1 million, in-process research and development expenses of $7.5 million, which are reflected in noncash and investing activities, and depreciation and amortization expense of $1.6 million. Net cash used from changes in operating assets and liabilities consisted primarily of decreases in accrued expenses and other current and long-term liabilities of $6.6 million and operating lease assets and liabilities, net of $1.1 million, partially offset by an increase in accounts payable of $1.2 million and a decrease in prepaid expenses and other current and long-term assets of $0.5 million.</w:t>
      </w:r>
    </w:p>
    <w:p>
      <w:pPr>
        <w:pStyle w:val="TextBody"/>
        <w:bidi w:val="0"/>
        <w:spacing w:before="360" w:after="283"/>
        <w:jc w:val="left"/>
        <w:rPr>
          <w:rFonts w:ascii="Arial" w:hAnsi="Arial"/>
          <w:b/>
          <w:color w:val="000000"/>
          <w:sz w:val="20"/>
        </w:rPr>
      </w:pPr>
      <w:r>
        <w:rPr>
          <w:rFonts w:ascii="Arial" w:hAnsi="Arial"/>
          <w:b/>
          <w:color w:val="000000"/>
          <w:sz w:val="20"/>
        </w:rPr>
        <w:t>Investing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used in investing activities was $224.3 million during the six months ended June 30, 2026 as compared to net cash provided by investing activities of $50.0 million during the six months ended June 30, 2025. The increase in cash used in investing activities of $274.3 million was primarily the result of increases in purchases of marketable securities of $186.0 million and in-process research and development of $144.5 million, and a decrease in maturities of marketable securities of $44.8 million, partially offset by an increase in sales of marketable securities of $100.8 million.</w:t>
      </w:r>
    </w:p>
    <w:p>
      <w:pPr>
        <w:pStyle w:val="TextBody"/>
        <w:bidi w:val="0"/>
        <w:spacing w:before="360" w:after="283"/>
        <w:jc w:val="left"/>
        <w:rPr>
          <w:rFonts w:ascii="Arial" w:hAnsi="Arial"/>
          <w:b/>
          <w:color w:val="000000"/>
          <w:sz w:val="20"/>
        </w:rPr>
      </w:pPr>
      <w:r>
        <w:rPr>
          <w:rFonts w:ascii="Arial" w:hAnsi="Arial"/>
          <w:b/>
          <w:color w:val="000000"/>
          <w:sz w:val="20"/>
        </w:rPr>
        <w:t>Financing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provided by financing activities was $247.7 million during the six months ended June 30, 2026 as compared to $0.5 million during the six months ended June 30, 2025. During the six months ended June 30, 2026, we received $242.7 million in net proceeds for the issuance of common stock from the January 2026 Offering, $4.6 million from the exercise of stock options, and $0.8 million from the issuance of common stock under our ESPP. During the six months ended June 30, 2025, we received $0.4 million from the issuance of common stock under our ESPP and $0.1 million from the exercise of stock options.</w:t>
      </w:r>
    </w:p>
    <w:p>
      <w:pPr>
        <w:pStyle w:val="TextBody"/>
        <w:bidi w:val="0"/>
        <w:spacing w:before="360" w:after="283"/>
        <w:jc w:val="left"/>
        <w:rPr>
          <w:rFonts w:ascii="Arial" w:hAnsi="Arial"/>
          <w:b/>
          <w:color w:val="000000"/>
          <w:sz w:val="20"/>
        </w:rPr>
      </w:pPr>
      <w:r>
        <w:rPr>
          <w:rFonts w:ascii="Arial" w:hAnsi="Arial"/>
          <w:b/>
          <w:color w:val="000000"/>
          <w:sz w:val="20"/>
        </w:rPr>
        <w:t>Contractual obligations and commitments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there have been no material changes outside the ordinary course of our business to the contractual obligations we reported in “Management’s discussion and analysis of financial condition and results of operations – Cash requirements due to contractual obligations and other commitments,” included in our Annual Report on Form 10-K for the year ended December 31, 2025 filed with the SEC on March 12, 2026.</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and estimates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management discussion and analysis of financial condition and results of operations is based on our condensed consolidated financial statements, which have been prepared in accordance with US GAAP. The preparation of these condensed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As of June 30, 2026, there have been no material changes to our critical accounting policies and estimates from those disclosed in “Management’s discussion and analysis of financial condition and results of operations – Critical accounting policies and estimates,” included in our Annual Report on Form 10-K for the year ended December 31, 2025 filed with the SEC on March 12,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Recently issued and adopted accounting pronouncements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See Note 2 to our condensed consolidated financial statements included elsewhere in this Quarterly Report on Form 10-Q for recently issued and adopted accounting pronouncements.</w:t>
      </w:r>
    </w:p>
    <w:p>
      <w:pPr>
        <w:pStyle w:val="TextBody"/>
        <w:bidi w:val="0"/>
        <w:spacing w:before="360" w:after="283"/>
        <w:jc w:val="left"/>
        <w:rPr>
          <w:rFonts w:ascii="Arial" w:hAnsi="Arial"/>
          <w:b/>
          <w:color w:val="000000"/>
          <w:sz w:val="20"/>
        </w:rPr>
      </w:pPr>
      <w:r>
        <w:rPr>
          <w:rFonts w:ascii="Arial" w:hAnsi="Arial"/>
          <w:b/>
          <w:color w:val="000000"/>
          <w:sz w:val="20"/>
        </w:rPr>
        <w:t>Emerging growth company and smaller reporting company status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condensed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360" w:after="283"/>
        <w:jc w:val="left"/>
        <w:rPr>
          <w:rFonts w:ascii="Arial" w:hAnsi="Arial"/>
          <w:b/>
          <w:color w:val="000000"/>
          <w:sz w:val="20"/>
        </w:rPr>
      </w:pPr>
      <w:bookmarkStart w:id="8" w:name="i_item3"/>
      <w:bookmarkEnd w:id="8"/>
      <w:r>
        <w:rPr>
          <w:rFonts w:ascii="Arial" w:hAnsi="Arial"/>
          <w:b/>
          <w:color w:val="000000"/>
          <w:sz w:val="20"/>
        </w:rPr>
        <w:t>Item 3. Quantitative and Qualitative Disclosures About Market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our Annual Report on Form 10-K for the year ended December 31, 2025 filed with the SEC on March 12, 2026.</w:t>
      </w:r>
    </w:p>
    <w:p>
      <w:pPr>
        <w:pStyle w:val="TextBody"/>
        <w:bidi w:val="0"/>
        <w:spacing w:before="360" w:after="283"/>
        <w:jc w:val="left"/>
        <w:rPr>
          <w:rFonts w:ascii="Arial" w:hAnsi="Arial"/>
          <w:b/>
          <w:color w:val="000000"/>
          <w:sz w:val="20"/>
        </w:rPr>
      </w:pPr>
      <w:bookmarkStart w:id="9" w:name="i_item4"/>
      <w:bookmarkEnd w:id="9"/>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June 30, 2026, our disclosure controls and procedures were effective at the reasonable assurance level.</w:t>
      </w:r>
    </w:p>
    <w:p>
      <w:pPr>
        <w:pStyle w:val="TextBody"/>
        <w:bidi w:val="0"/>
        <w:spacing w:before="36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II—OTHER INFORMATION</w:t>
      </w:r>
    </w:p>
    <w:p>
      <w:pPr>
        <w:pStyle w:val="TextBody"/>
        <w:bidi w:val="0"/>
        <w:spacing w:before="360" w:after="283"/>
        <w:jc w:val="left"/>
        <w:rPr>
          <w:rFonts w:ascii="Arial" w:hAnsi="Arial"/>
          <w:b/>
          <w:color w:val="000000"/>
          <w:sz w:val="20"/>
        </w:rPr>
      </w:pPr>
      <w:bookmarkStart w:id="10" w:name="ii_item1"/>
      <w:bookmarkEnd w:id="10"/>
      <w:r>
        <w:rPr>
          <w:rFonts w:ascii="Arial" w:hAnsi="Arial"/>
          <w:b/>
          <w:color w:val="000000"/>
          <w:sz w:val="20"/>
        </w:rPr>
        <w:t>Item 1. Legal Proceedings.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10, 2026, a purported securities class action complaint was filed against us and certain of our officers in the United States District Court for the Southern District of California. The complaint alleges violations of the federal securities laws and seeks damages, costs, and other unspecified relief. No lead plaintiff has been appointed, and no class has been certified. We believe the claims are without merit and intend to defend the matter vigorously.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August 2026, a putative stockholder derivative complaint was filed in the United States District Court for the Southern District of California, captioned ES Trust v. Lim, et al., Case No. 3:26-cv-04517-WQH-JAC. The complaint named us as a nominal defendant and our current directors and Chief Financial Officer and Chief Business Officer as defendants. The complaint includes allegations of breaches of fiduciary duty and violations of Section 14(a) of the Exchange Act in connection with our oversight of, and public disclosures concerning ERAS-0015. The lawsuit seeks unspecified damages, costs, and other unspecified relief. The matter is at an early stage, and we are unable to predict the outcome of this proceeding or estimate a possible loss or range of loss, if any, at this time. We and the individual defendants dispute the allegations in the derivative action and intend to vigorously defend against the matter.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360" w:after="283"/>
        <w:jc w:val="left"/>
        <w:rPr>
          <w:rFonts w:ascii="Arial" w:hAnsi="Arial"/>
          <w:b/>
          <w:color w:val="000000"/>
          <w:sz w:val="20"/>
        </w:rPr>
      </w:pPr>
      <w:bookmarkStart w:id="11" w:name="ii_item1a"/>
      <w:bookmarkEnd w:id="11"/>
      <w:r>
        <w:rPr>
          <w:rFonts w:ascii="Arial" w:hAnsi="Arial"/>
          <w:b/>
          <w:color w:val="000000"/>
          <w:sz w:val="20"/>
        </w:rPr>
        <w:t>Item 1A. Risk Factors.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material changes to the risk factors set forth in Part I, Item 1A of our Annual Report on Form 10-K for the year ended December 31, 2025 filed with the SEC on March 12, 2026, other than as set forth below.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Third-party claims of intellectual property infringement, misappropriation or other violations against us or our collaborators may negatively impact our business, including the prevention or delay of the development and commercialization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April 24, 2026, we received a letter from legal counsel for Revolution Medicines, Inc. (RevMed). In the letter, RevMed alleged that (1) ERAS-0015 is “substantially equivalent” to certain compositions claimed in RevMed’s U.S. Patent No. 12,409,225 (the ‘225 Patent) and that ERAS-0015 infringes the ‘225 Patent under the doctrine of equivalents; (2) a third party misappropriated RevMed’s alleged trade secrets in connection with a patent relating to ERAS-0015, and that we are allegedly liable under the trade secret laws as a licensee; and (3) we have improperly compared preclinical data of ERAS-0015 and RMC-6236 in public disclosures. RevMed demanded that, among other things, we immediately cease all making, using, offering for sale, selling, and importation of ERAS-0015 in the United States for any purpose not protected by the Hatch-Waxman safe harbor and cease making any deceptive and untrue comparative statements comparing ERAS-0015 and RMC-6236. Although we believe such claims are without merit and intend to defend our position vigorously, RevMed may seek to initiate litigation against us. Any such proceedings could result in determinations that are materially adverse to us, including findings that RevMed's patents are valid, enforceable, and infringed by us or that ERAS-0015 was derived from RevMed's trade secrets. While we believe that we have strong defenses, litigation is inherently uncertain and may involve substantial costs and diversion of management’s attention. In the event of a successful claim of infringement or derivation against us, remedies could include injunctive relief or monetary damages, which could have a material adverse effect on our business, financial condition, results of operations, and prospects. In addition, we may be required to obtain licenses, modify our products or processes, or otherwise adjust our development or commercialization plans. We believe there are multiple potential pathways to address such outcomes, including licenses or other strategic alternatives; however, there can be no assurance as to the availability or terms of any such options. Any of these developments, if they were to occur, could have a materially adverse effect on our business, financial condition, results of operations, or prospects.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are subject to securities class action litigation and a stockholder derivative complaint, and may become subject to additional litigation, which could result in substantial costs and divert management's attention.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10, 2026, a purported securities class action complaint was filed against us and certain of our officers in the United States District Court for the Southern District of California. The complaint alleges violations of the federal securities laws and seeks damages, costs, and other unspecified relief. In August 2026, a purported stockholder derivative complaint was filed against us, our board of directors, and certain of our officers in the United States District Court for the Southern District of California. The complaint includes allegations of breaches of fiduciary duty and violations of federal securities laws and seeks damages, costs, and other unspecified relief. We believe the claims raised in both complaints are without merit and intend to defend each of the matters vigorously. However, litigation is inherently uncertain, and we cannot predict the outcome of either of these matters or any future litigation. Securities litigation and other legal proceedings can be expensive, time-consuming, and disruptive to normal business operations. Regardless of the outcome, such proceedings may result in substantial legal fees and other costs, divert management's attention from our business and operations, harm our reputation, affect our ability to attract and retain employees, and adversely impact our relationships with business partners, clinical investigators, patients, and investors. In addition, unfavorable outcomes could result in substantial monetary damages, judgments, settlements, fines, penalties, or other remedies that could have a material adverse effect on our business, financial condition, results of operations, and cash flows. We may also be subject to additional lawsuits, derivative actions, regulatory inquiries, or investigations relating to the same or similar subject matter. Any such proceedings could increase our costs and expose us to additional risks and uncertainties.</w:t>
      </w:r>
    </w:p>
    <w:p>
      <w:pPr>
        <w:pStyle w:val="TextBody"/>
        <w:bidi w:val="0"/>
        <w:spacing w:before="360" w:after="283"/>
        <w:jc w:val="left"/>
        <w:rPr>
          <w:rFonts w:ascii="Arial" w:hAnsi="Arial"/>
          <w:b/>
          <w:color w:val="000000"/>
          <w:sz w:val="20"/>
        </w:rPr>
      </w:pPr>
      <w:bookmarkStart w:id="12" w:name="ii_item2"/>
      <w:bookmarkEnd w:id="12"/>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20"/>
        </w:rPr>
      </w:pPr>
      <w:bookmarkStart w:id="13" w:name="ii_item3"/>
      <w:bookmarkEnd w:id="13"/>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14" w:name="ii_item4"/>
      <w:bookmarkEnd w:id="14"/>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15" w:name="ii_item5"/>
      <w:bookmarkEnd w:id="15"/>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Rule 10b5-1 Trading Plans</w:t>
      </w:r>
    </w:p>
    <w:p>
      <w:pPr>
        <w:pStyle w:val="TextBody"/>
        <w:bidi w:val="0"/>
        <w:jc w:val="left"/>
        <w:rPr>
          <w:rFonts w:ascii="Times New Roman" w:hAnsi="Times New Roman"/>
          <w:sz w:val="20"/>
        </w:rPr>
      </w:pPr>
      <w:r>
        <w:rPr>
          <w:rFonts w:ascii="Arial" w:hAnsi="Arial"/>
          <w:color w:val="000000"/>
          <w:sz w:val="20"/>
        </w:rPr>
        <w:t>During the three months ended June 30, 2026, none of our officers (as defined in Rule 16a–1(f)) or directors adopted, materially modified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Rule 10b5-1 trading arrangement or non-Rule 10b5-1 trading arrangement, as each such term is defined in Item 408 of Regulation S-K.</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i_item6"/>
      <w:bookmarkEnd w:id="16"/>
      <w:r>
        <w:rPr>
          <w:rFonts w:ascii="Arial" w:hAnsi="Arial"/>
          <w:b/>
          <w:color w:val="000000"/>
          <w:sz w:val="20"/>
        </w:rPr>
        <w:t>Item 6.</w:t>
      </w:r>
      <w:r>
        <w:rPr>
          <w:rFonts w:ascii="Times New Roman" w:hAnsi="Times New Roman"/>
          <w:color w:val="000000"/>
          <w:sz w:val="20"/>
        </w:rPr>
        <w:t xml:space="preserve"> </w:t>
      </w:r>
      <w:r>
        <w:rPr>
          <w:rFonts w:ascii="Arial" w:hAnsi="Arial"/>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5851"/>
        <w:gridCol w:w="146"/>
        <w:gridCol w:w="526"/>
        <w:gridCol w:w="146"/>
        <w:gridCol w:w="623"/>
        <w:gridCol w:w="146"/>
        <w:gridCol w:w="736"/>
        <w:gridCol w:w="146"/>
        <w:gridCol w:w="95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5"/>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Filed Herewith</w:t>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Amended and Restated Certificate of Incorporation of Erasca,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7/20/2021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Amended and Restated Bylaws of Erasca,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7/20/2021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Amended and Restated Stockholders Agreement, dated April 15, 2020,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5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Underwriting Agreement, dated July 13, 2026, by and among the Registrant and J.P. Morgan Securities LLC, Morgan Stanley &amp; Co. LLC, Jefferies LLC and Evercore Group L.L.C., as representatives of the several underwriters named therein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7/14/2026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w:anchor="eras-ex31_1.htm">
              <w:r>
                <w:rPr>
                  <w:rStyle w:val="InternetLink"/>
                  <w:rFonts w:ascii="Arial" w:hAnsi="Arial"/>
                  <w:color w:val="0000FF"/>
                  <w:sz w:val="20"/>
                  <w:u w:val="single"/>
                </w:rPr>
                <w:t>Certification of Chief Executive Officer of Erasca,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w:anchor="eras-ex31_2.htm">
              <w:r>
                <w:rPr>
                  <w:rStyle w:val="InternetLink"/>
                  <w:rFonts w:ascii="Arial" w:hAnsi="Arial"/>
                  <w:color w:val="0000FF"/>
                  <w:sz w:val="20"/>
                  <w:u w:val="single"/>
                </w:rPr>
                <w:t>Certification of Chief Financial Officer of Erasca,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w:anchor="eras-ex32_1.htm">
              <w:r>
                <w:rPr>
                  <w:rStyle w:val="InternetLink"/>
                  <w:rFonts w:ascii="Arial" w:hAnsi="Arial"/>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pPr>
            <w:hyperlink w:anchor="eras-ex32_2.htm">
              <w:r>
                <w:rPr>
                  <w:rStyle w:val="InternetLink"/>
                  <w:rFonts w:ascii="Arial" w:hAnsi="Arial"/>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7" w:name="signatures"/>
      <w:bookmarkEnd w:id="17"/>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2071"/>
        <w:gridCol w:w="146"/>
        <w:gridCol w:w="406"/>
        <w:gridCol w:w="456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Erasca,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Jonathan E. Lim,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Jonathan E. Lim,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Chairman, Chief Executive Officer and Co-Founder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18"/>
              </w:rPr>
              <w:t>(Principal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M. Chacko,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David M. Chacko,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 and Chief Business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18"/>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right"/>
        <w:rPr/>
      </w:pPr>
      <w:bookmarkStart w:id="18" w:name="eras-ex31_1.htm"/>
      <w:bookmarkStart w:id="19" w:name="kserasex31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Arial" w:hAnsi="Arial"/>
          <w:b/>
          <w:color w:val="000000"/>
          <w:sz w:val="18"/>
        </w:rPr>
        <w:t>CERTIFICATION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 Jonathan E. Lim, M.D., certify that:</w:t>
      </w:r>
    </w:p>
    <w:p>
      <w:pPr>
        <w:pStyle w:val="TextBody"/>
        <w:bidi w:val="0"/>
        <w:spacing w:before="60" w:after="283"/>
        <w:jc w:val="left"/>
        <w:rPr>
          <w:rFonts w:ascii="Arial" w:hAnsi="Arial"/>
          <w:color w:val="000000"/>
          <w:sz w:val="18"/>
        </w:rPr>
      </w:pPr>
      <w:r>
        <w:rPr>
          <w:rFonts w:ascii="Arial" w:hAnsi="Arial"/>
          <w:color w:val="000000"/>
          <w:sz w:val="18"/>
        </w:rPr>
        <w:t>1.</w:t>
      </w:r>
    </w:p>
    <w:p>
      <w:pPr>
        <w:pStyle w:val="TextBody"/>
        <w:bidi w:val="0"/>
        <w:spacing w:before="60" w:after="283"/>
        <w:jc w:val="left"/>
        <w:rPr>
          <w:rFonts w:ascii="Arial" w:hAnsi="Arial"/>
          <w:color w:val="000000"/>
          <w:sz w:val="18"/>
        </w:rPr>
      </w:pPr>
      <w:r>
        <w:rPr>
          <w:rFonts w:ascii="Arial" w:hAnsi="Arial"/>
          <w:color w:val="000000"/>
          <w:sz w:val="18"/>
        </w:rPr>
        <w:t>I have reviewed this Quarterly Report on Form 10-Q of Erasca, Inc.;</w:t>
      </w:r>
    </w:p>
    <w:p>
      <w:pPr>
        <w:pStyle w:val="TextBody"/>
        <w:bidi w:val="0"/>
        <w:spacing w:before="60" w:after="283"/>
        <w:jc w:val="left"/>
        <w:rPr>
          <w:rFonts w:ascii="Arial" w:hAnsi="Arial"/>
          <w:color w:val="000000"/>
          <w:sz w:val="18"/>
        </w:rPr>
      </w:pPr>
      <w:r>
        <w:rPr>
          <w:rFonts w:ascii="Arial" w:hAnsi="Arial"/>
          <w:color w:val="000000"/>
          <w:sz w:val="18"/>
        </w:rPr>
        <w:t>2.</w:t>
      </w:r>
    </w:p>
    <w:p>
      <w:pPr>
        <w:pStyle w:val="TextBody"/>
        <w:bidi w:val="0"/>
        <w:spacing w:before="6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Arial" w:hAnsi="Arial"/>
          <w:color w:val="000000"/>
          <w:sz w:val="18"/>
        </w:rPr>
      </w:pPr>
      <w:r>
        <w:rPr>
          <w:rFonts w:ascii="Arial" w:hAnsi="Arial"/>
          <w:color w:val="000000"/>
          <w:sz w:val="18"/>
        </w:rPr>
        <w:t>3.</w:t>
      </w:r>
    </w:p>
    <w:p>
      <w:pPr>
        <w:pStyle w:val="TextBody"/>
        <w:bidi w:val="0"/>
        <w:spacing w:before="6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Arial" w:hAnsi="Arial"/>
          <w:color w:val="000000"/>
          <w:sz w:val="18"/>
        </w:rPr>
      </w:pPr>
      <w:r>
        <w:rPr>
          <w:rFonts w:ascii="Arial" w:hAnsi="Arial"/>
          <w:color w:val="000000"/>
          <w:sz w:val="18"/>
        </w:rPr>
        <w:t>4.</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Arial" w:hAnsi="Arial"/>
          <w:color w:val="000000"/>
          <w:sz w:val="18"/>
        </w:rPr>
      </w:pPr>
      <w:r>
        <w:rPr>
          <w:rFonts w:ascii="Arial" w:hAnsi="Arial"/>
          <w:color w:val="000000"/>
          <w:sz w:val="18"/>
        </w:rPr>
        <w:t>(c)</w:t>
      </w:r>
    </w:p>
    <w:p>
      <w:pPr>
        <w:pStyle w:val="TextBody"/>
        <w:bidi w:val="0"/>
        <w:spacing w:before="6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Arial" w:hAnsi="Arial"/>
          <w:color w:val="000000"/>
          <w:sz w:val="18"/>
        </w:rPr>
      </w:pPr>
      <w:r>
        <w:rPr>
          <w:rFonts w:ascii="Arial" w:hAnsi="Arial"/>
          <w:color w:val="000000"/>
          <w:sz w:val="18"/>
        </w:rPr>
        <w:t>(d)</w:t>
      </w:r>
    </w:p>
    <w:p>
      <w:pPr>
        <w:pStyle w:val="TextBody"/>
        <w:bidi w:val="0"/>
        <w:spacing w:before="6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Arial" w:hAnsi="Arial"/>
          <w:color w:val="000000"/>
          <w:sz w:val="18"/>
        </w:rPr>
      </w:pPr>
      <w:r>
        <w:rPr>
          <w:rFonts w:ascii="Arial" w:hAnsi="Arial"/>
          <w:color w:val="000000"/>
          <w:sz w:val="18"/>
        </w:rPr>
        <w:t>5.</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88" w:type="dxa"/>
        <w:jc w:val="left"/>
        <w:tblInd w:w="0" w:type="dxa"/>
        <w:tblLayout w:type="fixed"/>
        <w:tblCellMar>
          <w:top w:w="28" w:type="dxa"/>
          <w:left w:w="28" w:type="dxa"/>
          <w:bottom w:w="28" w:type="dxa"/>
          <w:right w:w="28" w:type="dxa"/>
        </w:tblCellMar>
      </w:tblPr>
      <w:tblGrid>
        <w:gridCol w:w="1936"/>
        <w:gridCol w:w="361"/>
        <w:gridCol w:w="4291"/>
      </w:tblGrid>
      <w:tr>
        <w:trPr/>
        <w:tc>
          <w:tcPr>
            <w:tcW w:w="19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Date: August 11, 2026</w:t>
            </w:r>
          </w:p>
        </w:tc>
        <w:tc>
          <w:tcPr>
            <w:tcW w:w="3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By:</w:t>
            </w:r>
          </w:p>
        </w:tc>
        <w:tc>
          <w:tcPr>
            <w:tcW w:w="429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8"/>
              </w:rPr>
            </w:pPr>
            <w:r>
              <w:rPr>
                <w:rFonts w:ascii="Arial" w:hAnsi="Arial"/>
                <w:color w:val="000000"/>
                <w:sz w:val="18"/>
              </w:rPr>
              <w:t>/s/ Jonathan E. Lim, M.D.</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8"/>
              </w:rPr>
            </w:pPr>
            <w:r>
              <w:rPr>
                <w:rFonts w:ascii="Arial" w:hAnsi="Arial"/>
                <w:color w:val="000000"/>
                <w:sz w:val="18"/>
              </w:rPr>
              <w:t>Jonathan E. Lim, M.D.</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30"/>
              <w:jc w:val="center"/>
              <w:rPr>
                <w:rFonts w:ascii="Arial" w:hAnsi="Arial"/>
                <w:color w:val="000000"/>
                <w:sz w:val="18"/>
              </w:rPr>
            </w:pPr>
            <w:r>
              <w:rPr>
                <w:rFonts w:ascii="Arial" w:hAnsi="Arial"/>
                <w:color w:val="000000"/>
                <w:sz w:val="18"/>
              </w:rPr>
              <w:t>Chairman, Chief Executive Officer and Co-Founder</w:t>
            </w:r>
          </w:p>
          <w:p>
            <w:pPr>
              <w:pStyle w:val="TableContents"/>
              <w:bidi w:val="0"/>
              <w:spacing w:before="0" w:after="30"/>
              <w:jc w:val="center"/>
              <w:rPr>
                <w:rFonts w:ascii="Arial" w:hAnsi="Arial"/>
                <w:color w:val="000000"/>
                <w:sz w:val="18"/>
              </w:rPr>
            </w:pPr>
            <w:r>
              <w:rPr>
                <w:rFonts w:ascii="Arial" w:hAnsi="Arial"/>
                <w:color w:val="000000"/>
                <w:sz w:val="18"/>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0" w:name="eras-ex31_2.htm"/>
      <w:bookmarkStart w:id="21" w:name="kserasex31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Arial" w:hAnsi="Arial"/>
          <w:b/>
          <w:color w:val="000000"/>
          <w:sz w:val="18"/>
        </w:rPr>
        <w:t>CERTIFICATION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 David M. Chacko, M.D., certify that:</w:t>
      </w:r>
    </w:p>
    <w:p>
      <w:pPr>
        <w:pStyle w:val="TextBody"/>
        <w:bidi w:val="0"/>
        <w:spacing w:before="60" w:after="283"/>
        <w:jc w:val="left"/>
        <w:rPr>
          <w:rFonts w:ascii="Arial" w:hAnsi="Arial"/>
          <w:color w:val="000000"/>
          <w:sz w:val="18"/>
        </w:rPr>
      </w:pPr>
      <w:r>
        <w:rPr>
          <w:rFonts w:ascii="Arial" w:hAnsi="Arial"/>
          <w:color w:val="000000"/>
          <w:sz w:val="18"/>
        </w:rPr>
        <w:t>1.</w:t>
      </w:r>
    </w:p>
    <w:p>
      <w:pPr>
        <w:pStyle w:val="TextBody"/>
        <w:bidi w:val="0"/>
        <w:spacing w:before="60" w:after="283"/>
        <w:jc w:val="left"/>
        <w:rPr>
          <w:rFonts w:ascii="Arial" w:hAnsi="Arial"/>
          <w:color w:val="000000"/>
          <w:sz w:val="18"/>
        </w:rPr>
      </w:pPr>
      <w:r>
        <w:rPr>
          <w:rFonts w:ascii="Arial" w:hAnsi="Arial"/>
          <w:color w:val="000000"/>
          <w:sz w:val="18"/>
        </w:rPr>
        <w:t>I have reviewed this Quarterly Report on Form 10-Q of Erasca, Inc.;</w:t>
      </w:r>
    </w:p>
    <w:p>
      <w:pPr>
        <w:pStyle w:val="TextBody"/>
        <w:bidi w:val="0"/>
        <w:spacing w:before="60" w:after="283"/>
        <w:jc w:val="left"/>
        <w:rPr>
          <w:rFonts w:ascii="Arial" w:hAnsi="Arial"/>
          <w:color w:val="000000"/>
          <w:sz w:val="18"/>
        </w:rPr>
      </w:pPr>
      <w:r>
        <w:rPr>
          <w:rFonts w:ascii="Arial" w:hAnsi="Arial"/>
          <w:color w:val="000000"/>
          <w:sz w:val="18"/>
        </w:rPr>
        <w:t>2.</w:t>
      </w:r>
    </w:p>
    <w:p>
      <w:pPr>
        <w:pStyle w:val="TextBody"/>
        <w:bidi w:val="0"/>
        <w:spacing w:before="6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Arial" w:hAnsi="Arial"/>
          <w:color w:val="000000"/>
          <w:sz w:val="18"/>
        </w:rPr>
      </w:pPr>
      <w:r>
        <w:rPr>
          <w:rFonts w:ascii="Arial" w:hAnsi="Arial"/>
          <w:color w:val="000000"/>
          <w:sz w:val="18"/>
        </w:rPr>
        <w:t>3.</w:t>
      </w:r>
    </w:p>
    <w:p>
      <w:pPr>
        <w:pStyle w:val="TextBody"/>
        <w:bidi w:val="0"/>
        <w:spacing w:before="6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Arial" w:hAnsi="Arial"/>
          <w:color w:val="000000"/>
          <w:sz w:val="18"/>
        </w:rPr>
      </w:pPr>
      <w:r>
        <w:rPr>
          <w:rFonts w:ascii="Arial" w:hAnsi="Arial"/>
          <w:color w:val="000000"/>
          <w:sz w:val="18"/>
        </w:rPr>
        <w:t>4.</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Arial" w:hAnsi="Arial"/>
          <w:color w:val="000000"/>
          <w:sz w:val="18"/>
        </w:rPr>
      </w:pPr>
      <w:r>
        <w:rPr>
          <w:rFonts w:ascii="Arial" w:hAnsi="Arial"/>
          <w:color w:val="000000"/>
          <w:sz w:val="18"/>
        </w:rPr>
        <w:t>(c)</w:t>
      </w:r>
    </w:p>
    <w:p>
      <w:pPr>
        <w:pStyle w:val="TextBody"/>
        <w:bidi w:val="0"/>
        <w:spacing w:before="6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Arial" w:hAnsi="Arial"/>
          <w:color w:val="000000"/>
          <w:sz w:val="18"/>
        </w:rPr>
      </w:pPr>
      <w:r>
        <w:rPr>
          <w:rFonts w:ascii="Arial" w:hAnsi="Arial"/>
          <w:color w:val="000000"/>
          <w:sz w:val="18"/>
        </w:rPr>
        <w:t>(d)</w:t>
      </w:r>
    </w:p>
    <w:p>
      <w:pPr>
        <w:pStyle w:val="TextBody"/>
        <w:bidi w:val="0"/>
        <w:spacing w:before="6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Arial" w:hAnsi="Arial"/>
          <w:color w:val="000000"/>
          <w:sz w:val="18"/>
        </w:rPr>
      </w:pPr>
      <w:r>
        <w:rPr>
          <w:rFonts w:ascii="Arial" w:hAnsi="Arial"/>
          <w:color w:val="000000"/>
          <w:sz w:val="18"/>
        </w:rPr>
        <w:t>5.</w:t>
      </w:r>
    </w:p>
    <w:p>
      <w:pPr>
        <w:pStyle w:val="TextBody"/>
        <w:bidi w:val="0"/>
        <w:spacing w:before="60" w:after="283"/>
        <w:jc w:val="left"/>
        <w:rPr>
          <w:rFonts w:ascii="Arial" w:hAnsi="Arial"/>
          <w:color w:val="000000"/>
          <w:sz w:val="18"/>
        </w:rPr>
      </w:pPr>
      <w:r>
        <w:rPr>
          <w:rFonts w:ascii="Arial" w:hAnsi="Arial"/>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Arial" w:hAnsi="Arial"/>
          <w:color w:val="000000"/>
          <w:sz w:val="18"/>
        </w:rPr>
      </w:pPr>
      <w:r>
        <w:rPr>
          <w:rFonts w:ascii="Arial" w:hAnsi="Arial"/>
          <w:color w:val="000000"/>
          <w:sz w:val="18"/>
        </w:rPr>
        <w:t>(a)</w:t>
      </w:r>
    </w:p>
    <w:p>
      <w:pPr>
        <w:pStyle w:val="TextBody"/>
        <w:bidi w:val="0"/>
        <w:spacing w:before="6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Arial" w:hAnsi="Arial"/>
          <w:color w:val="000000"/>
          <w:sz w:val="18"/>
        </w:rPr>
      </w:pPr>
      <w:r>
        <w:rPr>
          <w:rFonts w:ascii="Arial" w:hAnsi="Arial"/>
          <w:color w:val="000000"/>
          <w:sz w:val="18"/>
        </w:rPr>
        <w:t>(b)</w:t>
      </w:r>
    </w:p>
    <w:p>
      <w:pPr>
        <w:pStyle w:val="TextBody"/>
        <w:bidi w:val="0"/>
        <w:spacing w:before="6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53" w:type="dxa"/>
        <w:jc w:val="left"/>
        <w:tblInd w:w="0" w:type="dxa"/>
        <w:tblLayout w:type="fixed"/>
        <w:tblCellMar>
          <w:top w:w="28" w:type="dxa"/>
          <w:left w:w="28" w:type="dxa"/>
          <w:bottom w:w="28" w:type="dxa"/>
          <w:right w:w="28" w:type="dxa"/>
        </w:tblCellMar>
      </w:tblPr>
      <w:tblGrid>
        <w:gridCol w:w="1936"/>
        <w:gridCol w:w="361"/>
        <w:gridCol w:w="4156"/>
      </w:tblGrid>
      <w:tr>
        <w:trPr/>
        <w:tc>
          <w:tcPr>
            <w:tcW w:w="19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Date: August 11, 2026</w:t>
            </w:r>
          </w:p>
        </w:tc>
        <w:tc>
          <w:tcPr>
            <w:tcW w:w="36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8"/>
              </w:rPr>
            </w:pPr>
            <w:r>
              <w:rPr>
                <w:rFonts w:ascii="Arial" w:hAnsi="Arial"/>
                <w:color w:val="000000"/>
                <w:sz w:val="18"/>
              </w:rPr>
              <w:t>By:</w:t>
            </w:r>
          </w:p>
        </w:tc>
        <w:tc>
          <w:tcPr>
            <w:tcW w:w="415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8"/>
              </w:rPr>
            </w:pPr>
            <w:r>
              <w:rPr>
                <w:rFonts w:ascii="Arial" w:hAnsi="Arial"/>
                <w:color w:val="000000"/>
                <w:sz w:val="18"/>
              </w:rPr>
              <w:t>/s/ David M. Chacko, M.D.</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8"/>
              </w:rPr>
            </w:pPr>
            <w:r>
              <w:rPr>
                <w:rFonts w:ascii="Arial" w:hAnsi="Arial"/>
                <w:color w:val="000000"/>
                <w:sz w:val="18"/>
              </w:rPr>
              <w:t>David M. Chacko, M.D.</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shd w:fill="FFFFFF" w:val="clear"/>
            <w:tcMar>
              <w:top w:w="0" w:type="dxa"/>
              <w:left w:w="0" w:type="dxa"/>
              <w:bottom w:w="0" w:type="dxa"/>
              <w:right w:w="0" w:type="dxa"/>
            </w:tcMar>
            <w:vAlign w:val="center"/>
          </w:tcPr>
          <w:p>
            <w:pPr>
              <w:pStyle w:val="TableContents"/>
              <w:bidi w:val="0"/>
              <w:spacing w:before="75" w:after="283"/>
              <w:jc w:val="center"/>
              <w:rPr>
                <w:rFonts w:ascii="Arial" w:hAnsi="Arial"/>
                <w:color w:val="000000"/>
                <w:sz w:val="18"/>
              </w:rPr>
            </w:pPr>
            <w:r>
              <w:rPr>
                <w:rFonts w:ascii="Arial" w:hAnsi="Arial"/>
                <w:color w:val="000000"/>
                <w:sz w:val="18"/>
              </w:rPr>
              <w:t>Chief Financial Officer and Chief Business Officer</w:t>
            </w:r>
          </w:p>
          <w:p>
            <w:pPr>
              <w:pStyle w:val="TableContents"/>
              <w:bidi w:val="0"/>
              <w:spacing w:before="0" w:after="30"/>
              <w:jc w:val="center"/>
              <w:rPr>
                <w:rFonts w:ascii="Arial" w:hAnsi="Arial"/>
                <w:color w:val="000000"/>
                <w:sz w:val="18"/>
              </w:rPr>
            </w:pPr>
            <w:r>
              <w:rPr>
                <w:rFonts w:ascii="Arial" w:hAnsi="Arial"/>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2" w:name="eras-ex32_1.htm"/>
      <w:bookmarkStart w:id="23" w:name="kserasex32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Arial" w:hAnsi="Arial"/>
          <w:b/>
          <w:color w:val="000000"/>
          <w:sz w:val="19"/>
        </w:rPr>
      </w:pPr>
      <w:r>
        <w:rPr>
          <w:rFonts w:ascii="Arial" w:hAnsi="Arial"/>
          <w:b/>
          <w:color w:val="000000"/>
          <w:sz w:val="19"/>
        </w:rPr>
        <w:t>CERTIFICATION PURSUANT TO</w:t>
      </w:r>
    </w:p>
    <w:p>
      <w:pPr>
        <w:pStyle w:val="TextBody"/>
        <w:bidi w:val="0"/>
        <w:jc w:val="center"/>
        <w:rPr>
          <w:rFonts w:ascii="Arial" w:hAnsi="Arial"/>
          <w:b/>
          <w:color w:val="000000"/>
          <w:sz w:val="19"/>
        </w:rPr>
      </w:pPr>
      <w:r>
        <w:rPr>
          <w:rFonts w:ascii="Arial" w:hAnsi="Arial"/>
          <w:b/>
          <w:color w:val="000000"/>
          <w:sz w:val="19"/>
        </w:rPr>
        <w:t>18 U.S.C. SECTION 1350, AS ADOPTED PURSUANT TO</w:t>
      </w:r>
    </w:p>
    <w:p>
      <w:pPr>
        <w:pStyle w:val="TextBody"/>
        <w:bidi w:val="0"/>
        <w:jc w:val="center"/>
        <w:rPr>
          <w:rFonts w:ascii="Arial" w:hAnsi="Arial"/>
          <w:b/>
          <w:color w:val="000000"/>
          <w:sz w:val="19"/>
        </w:rPr>
      </w:pPr>
      <w:r>
        <w:rPr>
          <w:rFonts w:ascii="Arial" w:hAnsi="Arial"/>
          <w:b/>
          <w:color w:val="000000"/>
          <w:sz w:val="19"/>
        </w:rPr>
        <w:t>SECTION 906 OF THE SARBANES-OXLEY ACT OF 2002</w:t>
      </w:r>
    </w:p>
    <w:p>
      <w:pPr>
        <w:pStyle w:val="TextBody"/>
        <w:bidi w:val="0"/>
        <w:spacing w:before="240" w:after="283"/>
        <w:jc w:val="left"/>
        <w:rPr>
          <w:rFonts w:ascii="Arial" w:hAnsi="Arial"/>
          <w:color w:val="000000"/>
          <w:sz w:val="19"/>
        </w:rPr>
      </w:pPr>
      <w:r>
        <w:rPr>
          <w:rFonts w:ascii="Arial" w:hAnsi="Arial"/>
          <w:color w:val="000000"/>
          <w:sz w:val="19"/>
        </w:rPr>
        <w:t>In connection with the Quarterly Report on Form 10-Q of Erasca,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19"/>
        </w:rPr>
      </w:pPr>
      <w:r>
        <w:rPr>
          <w:rFonts w:ascii="Arial" w:hAnsi="Arial"/>
          <w:color w:val="000000"/>
          <w:sz w:val="19"/>
        </w:rPr>
        <w:t>(1)</w:t>
      </w:r>
    </w:p>
    <w:p>
      <w:pPr>
        <w:pStyle w:val="TextBody"/>
        <w:bidi w:val="0"/>
        <w:spacing w:before="240" w:after="283"/>
        <w:jc w:val="left"/>
        <w:rPr>
          <w:rFonts w:ascii="Arial" w:hAnsi="Arial"/>
          <w:color w:val="000000"/>
          <w:sz w:val="19"/>
        </w:rPr>
      </w:pPr>
      <w:r>
        <w:rPr>
          <w:rFonts w:ascii="Arial" w:hAnsi="Arial"/>
          <w:color w:val="000000"/>
          <w:sz w:val="19"/>
        </w:rPr>
        <w:t>The Report fully complies with the requirements of section 13(a) or 15(d) of the Securities Exchange Act of 1934; and</w:t>
      </w:r>
    </w:p>
    <w:p>
      <w:pPr>
        <w:pStyle w:val="TextBody"/>
        <w:bidi w:val="0"/>
        <w:spacing w:before="240" w:after="283"/>
        <w:jc w:val="left"/>
        <w:rPr>
          <w:rFonts w:ascii="Arial" w:hAnsi="Arial"/>
          <w:color w:val="000000"/>
          <w:sz w:val="19"/>
        </w:rPr>
      </w:pPr>
      <w:r>
        <w:rPr>
          <w:rFonts w:ascii="Arial" w:hAnsi="Arial"/>
          <w:color w:val="000000"/>
          <w:sz w:val="19"/>
        </w:rPr>
        <w:t>(2)</w:t>
      </w:r>
    </w:p>
    <w:p>
      <w:pPr>
        <w:pStyle w:val="TextBody"/>
        <w:bidi w:val="0"/>
        <w:spacing w:before="240" w:after="283"/>
        <w:jc w:val="left"/>
        <w:rPr>
          <w:rFonts w:ascii="Arial" w:hAnsi="Arial"/>
          <w:color w:val="000000"/>
          <w:sz w:val="19"/>
        </w:rPr>
      </w:pPr>
      <w:r>
        <w:rPr>
          <w:rFonts w:ascii="Arial" w:hAnsi="Arial"/>
          <w:color w:val="000000"/>
          <w:sz w:val="19"/>
        </w:rPr>
        <w:t>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7038" w:type="dxa"/>
        <w:jc w:val="left"/>
        <w:tblInd w:w="0" w:type="dxa"/>
        <w:tblLayout w:type="fixed"/>
        <w:tblCellMar>
          <w:top w:w="28" w:type="dxa"/>
          <w:left w:w="28" w:type="dxa"/>
          <w:bottom w:w="28" w:type="dxa"/>
          <w:right w:w="28" w:type="dxa"/>
        </w:tblCellMar>
      </w:tblPr>
      <w:tblGrid>
        <w:gridCol w:w="2071"/>
        <w:gridCol w:w="406"/>
        <w:gridCol w:w="4561"/>
      </w:tblGrid>
      <w:tr>
        <w:trPr/>
        <w:tc>
          <w:tcPr>
            <w:tcW w:w="20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Date: August 11,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By:</w:t>
            </w:r>
          </w:p>
        </w:tc>
        <w:tc>
          <w:tcPr>
            <w:tcW w:w="45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9"/>
              </w:rPr>
            </w:pPr>
            <w:r>
              <w:rPr>
                <w:rFonts w:ascii="Arial" w:hAnsi="Arial"/>
                <w:color w:val="000000"/>
                <w:sz w:val="19"/>
              </w:rPr>
              <w:t>/s/ Jonathan E. Lim, M.D.</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9"/>
              </w:rPr>
            </w:pPr>
            <w:r>
              <w:rPr>
                <w:rFonts w:ascii="Arial" w:hAnsi="Arial"/>
                <w:color w:val="000000"/>
                <w:sz w:val="19"/>
              </w:rPr>
              <w:t>Jonathan E. Lim, M.D.</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30"/>
              <w:jc w:val="center"/>
              <w:rPr>
                <w:rFonts w:ascii="Arial" w:hAnsi="Arial"/>
                <w:color w:val="000000"/>
                <w:sz w:val="19"/>
              </w:rPr>
            </w:pPr>
            <w:r>
              <w:rPr>
                <w:rFonts w:ascii="Arial" w:hAnsi="Arial"/>
                <w:color w:val="000000"/>
                <w:sz w:val="19"/>
              </w:rPr>
              <w:t>Chairman, Chief Executive Officer and Co-Founder</w:t>
            </w:r>
          </w:p>
          <w:p>
            <w:pPr>
              <w:pStyle w:val="TableContents"/>
              <w:bidi w:val="0"/>
              <w:spacing w:before="0" w:after="30"/>
              <w:jc w:val="center"/>
              <w:rPr>
                <w:rFonts w:ascii="Arial" w:hAnsi="Arial"/>
                <w:color w:val="000000"/>
                <w:sz w:val="18"/>
              </w:rPr>
            </w:pPr>
            <w:r>
              <w:rPr>
                <w:rFonts w:ascii="Arial" w:hAnsi="Arial"/>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4" w:name="eras-ex32_2.htm"/>
      <w:bookmarkStart w:id="25" w:name="kserasex32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Arial" w:hAnsi="Arial"/>
          <w:b/>
          <w:color w:val="000000"/>
          <w:sz w:val="19"/>
        </w:rPr>
      </w:pPr>
      <w:r>
        <w:rPr>
          <w:rFonts w:ascii="Arial" w:hAnsi="Arial"/>
          <w:b/>
          <w:color w:val="000000"/>
          <w:sz w:val="19"/>
        </w:rPr>
        <w:t>CERTIFICATION PURSUANT TO</w:t>
      </w:r>
    </w:p>
    <w:p>
      <w:pPr>
        <w:pStyle w:val="TextBody"/>
        <w:bidi w:val="0"/>
        <w:jc w:val="center"/>
        <w:rPr>
          <w:rFonts w:ascii="Arial" w:hAnsi="Arial"/>
          <w:b/>
          <w:color w:val="000000"/>
          <w:sz w:val="19"/>
        </w:rPr>
      </w:pPr>
      <w:r>
        <w:rPr>
          <w:rFonts w:ascii="Arial" w:hAnsi="Arial"/>
          <w:b/>
          <w:color w:val="000000"/>
          <w:sz w:val="19"/>
        </w:rPr>
        <w:t>18 U.S.C. SECTION 1350, AS ADOPTED PURSUANT TO</w:t>
      </w:r>
    </w:p>
    <w:p>
      <w:pPr>
        <w:pStyle w:val="TextBody"/>
        <w:bidi w:val="0"/>
        <w:jc w:val="center"/>
        <w:rPr>
          <w:rFonts w:ascii="Arial" w:hAnsi="Arial"/>
          <w:b/>
          <w:color w:val="000000"/>
          <w:sz w:val="19"/>
        </w:rPr>
      </w:pPr>
      <w:r>
        <w:rPr>
          <w:rFonts w:ascii="Arial" w:hAnsi="Arial"/>
          <w:b/>
          <w:color w:val="000000"/>
          <w:sz w:val="19"/>
        </w:rPr>
        <w:t>SECTION 906 OF THE SARBANES-OXLEY ACT OF 2002</w:t>
      </w:r>
    </w:p>
    <w:p>
      <w:pPr>
        <w:pStyle w:val="TextBody"/>
        <w:bidi w:val="0"/>
        <w:spacing w:before="240" w:after="283"/>
        <w:jc w:val="left"/>
        <w:rPr>
          <w:rFonts w:ascii="Arial" w:hAnsi="Arial"/>
          <w:color w:val="000000"/>
          <w:sz w:val="19"/>
        </w:rPr>
      </w:pPr>
      <w:r>
        <w:rPr>
          <w:rFonts w:ascii="Arial" w:hAnsi="Arial"/>
          <w:color w:val="000000"/>
          <w:sz w:val="19"/>
        </w:rPr>
        <w:t>In connection with the Quarterly Report on Form 10-Q of Erasca,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19"/>
        </w:rPr>
      </w:pPr>
      <w:r>
        <w:rPr>
          <w:rFonts w:ascii="Arial" w:hAnsi="Arial"/>
          <w:color w:val="000000"/>
          <w:sz w:val="19"/>
        </w:rPr>
        <w:t>(1)</w:t>
      </w:r>
    </w:p>
    <w:p>
      <w:pPr>
        <w:pStyle w:val="TextBody"/>
        <w:bidi w:val="0"/>
        <w:spacing w:before="240" w:after="283"/>
        <w:jc w:val="left"/>
        <w:rPr>
          <w:rFonts w:ascii="Arial" w:hAnsi="Arial"/>
          <w:color w:val="000000"/>
          <w:sz w:val="19"/>
        </w:rPr>
      </w:pPr>
      <w:r>
        <w:rPr>
          <w:rFonts w:ascii="Arial" w:hAnsi="Arial"/>
          <w:color w:val="000000"/>
          <w:sz w:val="19"/>
        </w:rPr>
        <w:t>The Report fully complies with the requirements of section 13(a) or 15(d) of the Securities Exchange Act of 1934; and</w:t>
      </w:r>
    </w:p>
    <w:p>
      <w:pPr>
        <w:pStyle w:val="TextBody"/>
        <w:bidi w:val="0"/>
        <w:spacing w:before="240" w:after="283"/>
        <w:jc w:val="left"/>
        <w:rPr>
          <w:rFonts w:ascii="Arial" w:hAnsi="Arial"/>
          <w:color w:val="000000"/>
          <w:sz w:val="19"/>
        </w:rPr>
      </w:pPr>
      <w:r>
        <w:rPr>
          <w:rFonts w:ascii="Arial" w:hAnsi="Arial"/>
          <w:color w:val="000000"/>
          <w:sz w:val="19"/>
        </w:rPr>
        <w:t>(2)</w:t>
      </w:r>
    </w:p>
    <w:p>
      <w:pPr>
        <w:pStyle w:val="TextBody"/>
        <w:bidi w:val="0"/>
        <w:spacing w:before="240" w:after="283"/>
        <w:jc w:val="left"/>
        <w:rPr>
          <w:rFonts w:ascii="Arial" w:hAnsi="Arial"/>
          <w:color w:val="000000"/>
          <w:sz w:val="19"/>
        </w:rPr>
      </w:pPr>
      <w:r>
        <w:rPr>
          <w:rFonts w:ascii="Arial" w:hAnsi="Arial"/>
          <w:color w:val="000000"/>
          <w:sz w:val="19"/>
        </w:rPr>
        <w:t>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6963" w:type="dxa"/>
        <w:jc w:val="left"/>
        <w:tblInd w:w="0" w:type="dxa"/>
        <w:tblLayout w:type="fixed"/>
        <w:tblCellMar>
          <w:top w:w="28" w:type="dxa"/>
          <w:left w:w="28" w:type="dxa"/>
          <w:bottom w:w="28" w:type="dxa"/>
          <w:right w:w="28" w:type="dxa"/>
        </w:tblCellMar>
      </w:tblPr>
      <w:tblGrid>
        <w:gridCol w:w="2071"/>
        <w:gridCol w:w="406"/>
        <w:gridCol w:w="4486"/>
      </w:tblGrid>
      <w:tr>
        <w:trPr/>
        <w:tc>
          <w:tcPr>
            <w:tcW w:w="20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Date: August 11, 2026</w:t>
            </w:r>
          </w:p>
        </w:tc>
        <w:tc>
          <w:tcPr>
            <w:tcW w:w="40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19"/>
              </w:rPr>
            </w:pPr>
            <w:r>
              <w:rPr>
                <w:rFonts w:ascii="Arial" w:hAnsi="Arial"/>
                <w:color w:val="000000"/>
                <w:sz w:val="19"/>
              </w:rPr>
              <w:t>By:</w:t>
            </w:r>
          </w:p>
        </w:tc>
        <w:tc>
          <w:tcPr>
            <w:tcW w:w="448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19"/>
              </w:rPr>
            </w:pPr>
            <w:r>
              <w:rPr>
                <w:rFonts w:ascii="Arial" w:hAnsi="Arial"/>
                <w:color w:val="000000"/>
                <w:sz w:val="19"/>
              </w:rPr>
              <w:t>/s/ David M. Chacko,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19"/>
              </w:rPr>
            </w:pPr>
            <w:r>
              <w:rPr>
                <w:rFonts w:ascii="Arial" w:hAnsi="Arial"/>
                <w:color w:val="000000"/>
                <w:sz w:val="19"/>
              </w:rPr>
              <w:t>David M. Chacko, M.D.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75" w:after="283"/>
              <w:jc w:val="center"/>
              <w:rPr>
                <w:rFonts w:ascii="Arial" w:hAnsi="Arial"/>
                <w:color w:val="000000"/>
                <w:sz w:val="19"/>
              </w:rPr>
            </w:pPr>
            <w:r>
              <w:rPr>
                <w:rFonts w:ascii="Arial" w:hAnsi="Arial"/>
                <w:color w:val="000000"/>
                <w:sz w:val="19"/>
              </w:rPr>
              <w:t>Chief Financial Officer and Chief Business Officer</w:t>
            </w:r>
          </w:p>
          <w:p>
            <w:pPr>
              <w:pStyle w:val="TableContents"/>
              <w:bidi w:val="0"/>
              <w:spacing w:before="0" w:after="30"/>
              <w:jc w:val="center"/>
              <w:rPr>
                <w:rFonts w:ascii="Arial" w:hAnsi="Arial"/>
                <w:color w:val="000000"/>
                <w:sz w:val="18"/>
              </w:rPr>
            </w:pPr>
            <w:r>
              <w:rPr>
                <w:rFonts w:ascii="Arial" w:hAnsi="Arial"/>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761918/000119312521219642/d81810dex31.htm" TargetMode="External"/><Relationship Id="rId9" Type="http://schemas.openxmlformats.org/officeDocument/2006/relationships/hyperlink" Target="https://www.sec.gov/Archives/edgar/data/1761918/000119312521219642/d81810dex32.htm" TargetMode="External"/><Relationship Id="rId10" Type="http://schemas.openxmlformats.org/officeDocument/2006/relationships/hyperlink" Target="https://www.sec.gov/Archives/edgar/data/1761918/000119312521200537/d176019dex41.htm" TargetMode="External"/><Relationship Id="rId11" Type="http://schemas.openxmlformats.org/officeDocument/2006/relationships/hyperlink" Target="https://www.sec.gov/Archives/edgar/data/1761918/000119312521200537/d176019dex42.htm" TargetMode="External"/><Relationship Id="rId12" Type="http://schemas.openxmlformats.org/officeDocument/2006/relationships/hyperlink" Target="https://www.sec.gov/Archives/edgar/data/1761918/000119312526303357/d371010dex1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23443</Words>
  <Characters>128892</Characters>
  <CharactersWithSpaces>153183</CharactersWithSpaces>
  <Paragraphs>4992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