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ras-20250930.htm"/>
      <w:bookmarkStart w:id="1" w:name="kseras20250930"/>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September 30, 2025</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transition period from _____________ to ______________</w:t>
      </w:r>
    </w:p>
    <w:p>
      <w:pPr>
        <w:pStyle w:val="TextBody"/>
        <w:bidi w:val="0"/>
        <w:spacing w:before="80" w:after="283"/>
        <w:jc w:val="center"/>
        <w:rPr>
          <w:rFonts w:ascii="Arial" w:hAnsi="Arial"/>
          <w:b/>
          <w:color w:val="000000"/>
          <w:sz w:val="20"/>
        </w:rPr>
      </w:pPr>
      <w:r>
        <w:rPr>
          <w:rFonts w:ascii="Arial" w:hAnsi="Arial"/>
          <w:b/>
          <w:color w:val="000000"/>
          <w:sz w:val="20"/>
        </w:rPr>
        <w:t>Commission File Number: 001-40602</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48"/>
        </w:rPr>
      </w:pPr>
      <w:r>
        <w:rPr>
          <w:rFonts w:ascii="Arial" w:hAnsi="Arial"/>
          <w:b/>
          <w:color w:val="000000"/>
          <w:sz w:val="48"/>
        </w:rPr>
        <w:t>ERASCA,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2971"/>
        <w:gridCol w:w="1291"/>
      </w:tblGrid>
      <w:tr>
        <w:trPr/>
        <w:tc>
          <w:tcPr>
            <w:tcW w:w="29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83-1217027</w:t>
            </w:r>
          </w:p>
        </w:tc>
      </w:tr>
      <w:tr>
        <w:trPr/>
        <w:tc>
          <w:tcPr>
            <w:tcW w:w="297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971"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20"/>
              </w:rPr>
            </w:pPr>
            <w:r>
              <w:rPr>
                <w:rFonts w:ascii="Arial" w:hAnsi="Arial"/>
                <w:b/>
                <w:color w:val="000000"/>
                <w:sz w:val="20"/>
              </w:rPr>
              <w:t>3115 Merryfield Row, Suite 300</w:t>
            </w:r>
          </w:p>
          <w:p>
            <w:pPr>
              <w:pStyle w:val="TableContents"/>
              <w:bidi w:val="0"/>
              <w:spacing w:before="0" w:after="15"/>
              <w:jc w:val="center"/>
              <w:rPr>
                <w:rFonts w:ascii="Arial" w:hAnsi="Arial"/>
                <w:b/>
                <w:color w:val="000000"/>
                <w:sz w:val="20"/>
              </w:rPr>
            </w:pPr>
            <w:r>
              <w:rPr>
                <w:rFonts w:ascii="Arial" w:hAnsi="Arial"/>
                <w:b/>
                <w:color w:val="000000"/>
                <w:sz w:val="20"/>
              </w:rPr>
              <w:t>San Diego,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92121</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(858) 465-6511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766"/>
        <w:gridCol w:w="146"/>
        <w:gridCol w:w="916"/>
        <w:gridCol w:w="146"/>
        <w:gridCol w:w="366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ERAS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Select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November 5, 2025, the registrant had</w:t>
      </w:r>
      <w:r>
        <w:rPr>
          <w:rFonts w:ascii="Times New Roman" w:hAnsi="Times New Roman"/>
          <w:color w:val="000000"/>
          <w:sz w:val="20"/>
        </w:rPr>
        <w:t xml:space="preserve"> </w:t>
      </w:r>
      <w:r>
        <w:rPr>
          <w:rFonts w:ascii="Arial" w:hAnsi="Arial"/>
          <w:color w:val="000000"/>
          <w:sz w:val="18"/>
        </w:rPr>
        <w:t>283,711,805</w:t>
      </w:r>
      <w:r>
        <w:rPr>
          <w:rFonts w:ascii="Times New Roman" w:hAnsi="Times New Roman"/>
          <w:color w:val="000000"/>
          <w:sz w:val="20"/>
        </w:rPr>
        <w:t xml:space="preserve"> </w:t>
      </w:r>
      <w:r>
        <w:rPr>
          <w:rFonts w:ascii="Arial" w:hAnsi="Arial"/>
          <w:color w:val="000000"/>
          <w:sz w:val="18"/>
        </w:rPr>
        <w:t>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1"/>
        <w:gridCol w:w="8725"/>
        <w:gridCol w:w="679"/>
      </w:tblGrid>
      <w:tr>
        <w:trPr/>
        <w:tc>
          <w:tcPr>
            <w:tcW w:w="801" w:type="dxa"/>
            <w:tcBorders/>
            <w:vAlign w:val="center"/>
          </w:tcPr>
          <w:p>
            <w:pPr>
              <w:pStyle w:val="TableContents"/>
              <w:bidi w:val="0"/>
              <w:spacing w:before="0" w:after="283"/>
              <w:jc w:val="left"/>
              <w:rPr>
                <w:sz w:val="4"/>
                <w:szCs w:val="4"/>
              </w:rPr>
            </w:pPr>
            <w:r>
              <w:rPr>
                <w:sz w:val="4"/>
                <w:szCs w:val="4"/>
              </w:rPr>
            </w:r>
          </w:p>
        </w:tc>
        <w:tc>
          <w:tcPr>
            <w:tcW w:w="872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7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Arial" w:hAnsi="Arial"/>
                <w:b/>
                <w:color w:val="000000"/>
                <w:sz w:val="16"/>
              </w:rPr>
            </w:pPr>
            <w:r>
              <w:rPr>
                <w:rFonts w:ascii="Arial" w:hAnsi="Arial"/>
                <w:b/>
                <w:color w:val="000000"/>
                <w:sz w:val="16"/>
              </w:rPr>
              <w:t>Page</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FINANCIAL INFORMATION</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Arial" w:hAnsi="Arial"/>
                  <w:color w:val="0563C1"/>
                  <w:sz w:val="20"/>
                  <w:u w:val="single"/>
                </w:rPr>
                <w:t>Financial Statements (Unaudited)</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Arial" w:hAnsi="Arial"/>
                  <w:color w:val="0563C1"/>
                  <w:sz w:val="20"/>
                  <w:u w:val="single"/>
                </w:rPr>
                <w:t>Condensed Consolidated Balance Sheets as of September 30, 2025 and December 31, 2024</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Arial" w:hAnsi="Arial"/>
                  <w:color w:val="0563C1"/>
                  <w:sz w:val="20"/>
                  <w:u w:val="single"/>
                </w:rPr>
                <w:t>Condensed Consolidated Statements of Operations and Comprehensive Loss for the three and nine months ended September 30, 2025 and 2024</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_and_stockholders_deficit">
              <w:r>
                <w:rPr>
                  <w:rStyle w:val="InternetLink"/>
                  <w:rFonts w:ascii="Arial" w:hAnsi="Arial"/>
                  <w:color w:val="0563C1"/>
                  <w:sz w:val="20"/>
                  <w:u w:val="single"/>
                </w:rPr>
                <w:t>Condensed Consolidated Statements of Stockholders’ Equity for the three and nine months ended September 30, 2025 and 2024</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Arial" w:hAnsi="Arial"/>
                  <w:color w:val="0563C1"/>
                  <w:sz w:val="20"/>
                  <w:u w:val="single"/>
                </w:rPr>
                <w:t>Condensed Consolidated Statements of Cash Flows for the nine months ended September 30, 2025 and 2024</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Arial" w:hAnsi="Arial"/>
                  <w:color w:val="0563C1"/>
                  <w:sz w:val="20"/>
                  <w:u w:val="single"/>
                </w:rPr>
                <w:t>Notes to Condensed Consolidated Financial Statements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Arial" w:hAnsi="Arial"/>
                  <w:color w:val="0563C1"/>
                  <w:sz w:val="20"/>
                  <w:u w:val="single"/>
                </w:rPr>
                <w:t>Management’s Discussion and Analysis of Financial Condition and Results of Operations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Arial" w:hAnsi="Arial"/>
                  <w:color w:val="0563C1"/>
                  <w:sz w:val="20"/>
                  <w:u w:val="single"/>
                </w:rPr>
                <w:t>Quantitative and Qualitative Disclosures About Market Risk</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Arial" w:hAnsi="Arial"/>
                  <w:color w:val="0563C1"/>
                  <w:sz w:val="20"/>
                  <w:u w:val="single"/>
                </w:rPr>
                <w:t>Controls and Procedures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INFORMATION</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Arial" w:hAnsi="Arial"/>
                  <w:color w:val="0563C1"/>
                  <w:sz w:val="20"/>
                  <w:u w:val="single"/>
                </w:rPr>
                <w:t>Legal Proceedings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Arial" w:hAnsi="Arial"/>
                  <w:color w:val="0563C1"/>
                  <w:sz w:val="20"/>
                  <w:u w:val="single"/>
                </w:rPr>
                <w:t>Risk Factors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Arial" w:hAnsi="Arial"/>
                  <w:color w:val="0563C1"/>
                  <w:sz w:val="20"/>
                  <w:u w:val="single"/>
                </w:rPr>
                <w:t>Unregistered Sales of Equity Securities and Use of Proceeds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Arial" w:hAnsi="Arial"/>
                  <w:color w:val="0563C1"/>
                  <w:sz w:val="20"/>
                  <w:u w:val="single"/>
                </w:rPr>
                <w:t>Defaults Upon Senior Securities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Arial" w:hAnsi="Arial"/>
                  <w:color w:val="0563C1"/>
                  <w:sz w:val="20"/>
                  <w:u w:val="single"/>
                </w:rPr>
                <w:t>Mine Safety Disclosures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Arial" w:hAnsi="Arial"/>
                  <w:color w:val="0563C1"/>
                  <w:sz w:val="20"/>
                  <w:u w:val="single"/>
                </w:rPr>
                <w:t>Other Information</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7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Arial" w:hAnsi="Arial"/>
                  <w:color w:val="0563C1"/>
                  <w:sz w:val="20"/>
                  <w:u w:val="single"/>
                </w:rPr>
                <w:t>Exhibits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9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563C1"/>
                  <w:sz w:val="20"/>
                  <w:u w:val="single"/>
                </w:rPr>
                <w:t>Signatures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I—FINANCIAL INFORMATION</w:t>
      </w:r>
    </w:p>
    <w:p>
      <w:pPr>
        <w:pStyle w:val="TextBody"/>
        <w:bidi w:val="0"/>
        <w:jc w:val="left"/>
        <w:rPr>
          <w:rFonts w:ascii="Arial" w:hAnsi="Arial"/>
          <w:b/>
          <w:color w:val="000000"/>
          <w:sz w:val="20"/>
        </w:rPr>
      </w:pPr>
      <w:bookmarkStart w:id="2" w:name="i_item1"/>
      <w:bookmarkEnd w:id="2"/>
      <w:r>
        <w:rPr>
          <w:rFonts w:ascii="Arial" w:hAnsi="Arial"/>
          <w:b/>
          <w:color w:val="000000"/>
          <w:sz w:val="20"/>
        </w:rPr>
        <w:t>Item 1. Financial Statements.</w:t>
      </w:r>
    </w:p>
    <w:p>
      <w:pPr>
        <w:pStyle w:val="TextBody"/>
        <w:bidi w:val="0"/>
        <w:spacing w:before="360" w:after="283"/>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par value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3"/>
        <w:gridCol w:w="426"/>
        <w:gridCol w:w="222"/>
        <w:gridCol w:w="1012"/>
        <w:gridCol w:w="166"/>
        <w:gridCol w:w="146"/>
        <w:gridCol w:w="218"/>
        <w:gridCol w:w="998"/>
        <w:gridCol w:w="474"/>
      </w:tblGrid>
      <w:tr>
        <w:trPr/>
        <w:tc>
          <w:tcPr>
            <w:tcW w:w="65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67,739</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230,570</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10,484</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308,793</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marketable securities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142,164</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16,321</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32,218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502,526</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26,308</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4,619</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31,395</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net of current portion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47,270</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79,027</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80,000,000</w:t>
            </w:r>
            <w:r>
              <w:rPr>
                <w:rFonts w:ascii="Times New Roman" w:hAnsi="Times New Roman"/>
                <w:color w:val="000000"/>
                <w:sz w:val="20"/>
              </w:rPr>
              <w:t> </w:t>
            </w:r>
            <w:r>
              <w:rPr>
                <w:rFonts w:ascii="Arial" w:hAnsi="Arial"/>
                <w:color w:val="000000"/>
                <w:sz w:val="20"/>
              </w:rPr>
              <w:t>shares authorized at September 30, 2025 and December 31, 2024; no</w:t>
            </w:r>
            <w:r>
              <w:rPr>
                <w:rFonts w:ascii="Times New Roman" w:hAnsi="Times New Roman"/>
                <w:color w:val="000000"/>
                <w:sz w:val="20"/>
              </w:rPr>
              <w:t> </w:t>
            </w:r>
            <w:r>
              <w:rPr>
                <w:rFonts w:ascii="Arial" w:hAnsi="Arial"/>
                <w:color w:val="000000"/>
                <w:sz w:val="20"/>
              </w:rPr>
              <w:t>shares issued and outstanding at September 30, 2025 and December 31, 2024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800,000,000</w:t>
            </w:r>
            <w:r>
              <w:rPr>
                <w:rFonts w:ascii="Times New Roman" w:hAnsi="Times New Roman"/>
                <w:color w:val="000000"/>
                <w:sz w:val="20"/>
              </w:rPr>
              <w:t> </w:t>
            </w:r>
            <w:r>
              <w:rPr>
                <w:rFonts w:ascii="Arial" w:hAnsi="Arial"/>
                <w:color w:val="000000"/>
                <w:sz w:val="20"/>
              </w:rPr>
              <w:t>shares authorized at September 30, 2025 and December 31, 2024; 283,711,805</w:t>
            </w:r>
            <w:r>
              <w:rPr>
                <w:rFonts w:ascii="Times New Roman" w:hAnsi="Times New Roman"/>
                <w:color w:val="000000"/>
                <w:sz w:val="20"/>
              </w:rPr>
              <w:t> </w:t>
            </w:r>
            <w:r>
              <w:rPr>
                <w:rFonts w:ascii="Arial" w:hAnsi="Arial"/>
                <w:color w:val="000000"/>
                <w:sz w:val="20"/>
              </w:rPr>
              <w:t>and 283,218,344</w:t>
            </w:r>
            <w:r>
              <w:rPr>
                <w:rFonts w:ascii="Times New Roman" w:hAnsi="Times New Roman"/>
                <w:color w:val="000000"/>
                <w:sz w:val="20"/>
              </w:rPr>
              <w:t> </w:t>
            </w:r>
            <w:r>
              <w:rPr>
                <w:rFonts w:ascii="Arial" w:hAnsi="Arial"/>
                <w:color w:val="000000"/>
                <w:sz w:val="20"/>
              </w:rPr>
              <w:t>shares issued and outstanding at September 30, 2025 and December 31, 2024, respectively</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1,210,326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1,190,729</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(767,663</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423,499</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502,526</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bookmarkStart w:id="3" w:name="statement_of_operations"/>
      <w:bookmarkEnd w:id="3"/>
      <w:r>
        <w:rPr>
          <w:rFonts w:ascii="Arial" w:hAnsi="Arial"/>
          <w:b/>
          <w:color w:val="000000"/>
          <w:sz w:val="20"/>
        </w:rPr>
        <w:t>Condensed Consolidated Statements of 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3"/>
        <w:gridCol w:w="706"/>
        <w:gridCol w:w="213"/>
        <w:gridCol w:w="1186"/>
        <w:gridCol w:w="168"/>
        <w:gridCol w:w="147"/>
        <w:gridCol w:w="213"/>
        <w:gridCol w:w="1186"/>
        <w:gridCol w:w="166"/>
        <w:gridCol w:w="146"/>
        <w:gridCol w:w="212"/>
        <w:gridCol w:w="1182"/>
        <w:gridCol w:w="167"/>
        <w:gridCol w:w="147"/>
        <w:gridCol w:w="212"/>
        <w:gridCol w:w="1182"/>
        <w:gridCol w:w="479"/>
      </w:tblGrid>
      <w:tr>
        <w:trPr/>
        <w:tc>
          <w:tcPr>
            <w:tcW w:w="249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3"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4"/>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89,237</w:t>
            </w:r>
          </w:p>
        </w:tc>
        <w:tc>
          <w:tcPr>
            <w:tcW w:w="4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4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29,188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32,138</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34,546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108,301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143,875</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14,810</w:t>
            </w:r>
          </w:p>
        </w:tc>
        <w:tc>
          <w:tcPr>
            <w:tcW w:w="4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income, net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14,457</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(95,454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(129,418</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(0.60</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used in computing net loss per share, basic and diluted</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283,681,570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282,384,964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283,434,073</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217,355,959</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on marketable securities, net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(30,378</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(95,210</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(127,670</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4" w:name="stock_and_stockholders_deficit"/>
      <w:bookmarkEnd w:id="4"/>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57"/>
        <w:gridCol w:w="146"/>
        <w:gridCol w:w="146"/>
        <w:gridCol w:w="1006"/>
        <w:gridCol w:w="146"/>
        <w:gridCol w:w="146"/>
        <w:gridCol w:w="271"/>
        <w:gridCol w:w="480"/>
        <w:gridCol w:w="146"/>
        <w:gridCol w:w="146"/>
        <w:gridCol w:w="196"/>
        <w:gridCol w:w="826"/>
        <w:gridCol w:w="146"/>
        <w:gridCol w:w="146"/>
        <w:gridCol w:w="418"/>
        <w:gridCol w:w="933"/>
        <w:gridCol w:w="166"/>
        <w:gridCol w:w="146"/>
        <w:gridCol w:w="239"/>
        <w:gridCol w:w="917"/>
        <w:gridCol w:w="166"/>
        <w:gridCol w:w="146"/>
        <w:gridCol w:w="255"/>
        <w:gridCol w:w="902"/>
        <w:gridCol w:w="413"/>
      </w:tblGrid>
      <w:tr>
        <w:trPr/>
        <w:tc>
          <w:tcPr>
            <w:tcW w:w="1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283,218,344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423,499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(30,966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283,265,716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1,197,475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(798,629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399,502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283,650,139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1,204,320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372,258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5,965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283,711,805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1,210,326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347,886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 - Continued</w:t>
      </w:r>
    </w:p>
    <w:p>
      <w:pPr>
        <w:pStyle w:val="TextBody"/>
        <w:bidi w:val="0"/>
        <w:jc w:val="center"/>
        <w:rPr>
          <w:rFonts w:ascii="Arial" w:hAnsi="Arial"/>
          <w:b/>
          <w:color w:val="000000"/>
          <w:sz w:val="20"/>
        </w:rPr>
      </w:pPr>
      <w:r>
        <w:rPr>
          <w:rFonts w:ascii="Arial" w:hAnsi="Arial"/>
          <w:b/>
          <w:color w:val="000000"/>
          <w:sz w:val="20"/>
        </w:rPr>
        <w:t>(In thousands, except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58"/>
        <w:gridCol w:w="146"/>
        <w:gridCol w:w="146"/>
        <w:gridCol w:w="1006"/>
        <w:gridCol w:w="146"/>
        <w:gridCol w:w="146"/>
        <w:gridCol w:w="271"/>
        <w:gridCol w:w="480"/>
        <w:gridCol w:w="146"/>
        <w:gridCol w:w="146"/>
        <w:gridCol w:w="196"/>
        <w:gridCol w:w="826"/>
        <w:gridCol w:w="146"/>
        <w:gridCol w:w="146"/>
        <w:gridCol w:w="373"/>
        <w:gridCol w:w="978"/>
        <w:gridCol w:w="166"/>
        <w:gridCol w:w="146"/>
        <w:gridCol w:w="239"/>
        <w:gridCol w:w="917"/>
        <w:gridCol w:w="166"/>
        <w:gridCol w:w="146"/>
        <w:gridCol w:w="255"/>
        <w:gridCol w:w="902"/>
        <w:gridCol w:w="412"/>
      </w:tblGrid>
      <w:tr>
        <w:trPr/>
        <w:tc>
          <w:tcPr>
            <w:tcW w:w="1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151,462,103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316,686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(35,017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151,497,138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929,634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(641,030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288,409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Issuance of common stock in private placement, net of $1,396</w:t>
            </w:r>
            <w:r>
              <w:rPr>
                <w:rFonts w:ascii="Times New Roman" w:hAnsi="Times New Roman"/>
                <w:color w:val="000000"/>
                <w:sz w:val="20"/>
              </w:rPr>
              <w:t> </w:t>
            </w:r>
            <w:r>
              <w:rPr>
                <w:rFonts w:ascii="Arial" w:hAnsi="Arial"/>
                <w:color w:val="000000"/>
                <w:sz w:val="16"/>
              </w:rPr>
              <w:t>in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21,844,660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43,604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Issuance of common stock in underwritten offering, net of $9,574</w:t>
            </w:r>
            <w:r>
              <w:rPr>
                <w:rFonts w:ascii="Times New Roman" w:hAnsi="Times New Roman"/>
                <w:color w:val="000000"/>
                <w:sz w:val="20"/>
              </w:rPr>
              <w:t> </w:t>
            </w:r>
            <w:r>
              <w:rPr>
                <w:rFonts w:ascii="Arial" w:hAnsi="Arial"/>
                <w:color w:val="000000"/>
                <w:sz w:val="16"/>
              </w:rPr>
              <w:t>in discounts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99,459,458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174,426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273,163,958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451,087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Issuance of common stock in ATM offering, net of $847</w:t>
            </w:r>
            <w:r>
              <w:rPr>
                <w:rFonts w:ascii="Times New Roman" w:hAnsi="Times New Roman"/>
                <w:color w:val="000000"/>
                <w:sz w:val="20"/>
              </w:rPr>
              <w:t> </w:t>
            </w:r>
            <w:r>
              <w:rPr>
                <w:rFonts w:ascii="Arial" w:hAnsi="Arial"/>
                <w:color w:val="000000"/>
                <w:sz w:val="16"/>
              </w:rPr>
              <w:t>in commissions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9,231,114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6,637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282,690,975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1,183,620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(735,431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450,042</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5" w:name="statement_of_cash_flows"/>
      <w:bookmarkEnd w:id="5"/>
      <w:r>
        <w:rPr>
          <w:rFonts w:ascii="Arial" w:hAnsi="Arial"/>
          <w:b/>
          <w:color w:val="000000"/>
          <w:sz w:val="20"/>
        </w:rPr>
        <w:t>Condensed Consolidated Statements of Cash</w:t>
      </w:r>
      <w:r>
        <w:rPr>
          <w:rFonts w:ascii="Times New Roman" w:hAnsi="Times New Roman"/>
          <w:color w:val="000000"/>
          <w:sz w:val="20"/>
        </w:rPr>
        <w:t xml:space="preserve"> </w:t>
      </w:r>
      <w:r>
        <w:rPr>
          <w:rFonts w:ascii="Arial" w:hAnsi="Arial"/>
          <w:b/>
          <w:color w:val="000000"/>
          <w:sz w:val="20"/>
        </w:rPr>
        <w:t>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2"/>
        <w:gridCol w:w="146"/>
        <w:gridCol w:w="260"/>
        <w:gridCol w:w="1055"/>
        <w:gridCol w:w="204"/>
        <w:gridCol w:w="179"/>
        <w:gridCol w:w="260"/>
        <w:gridCol w:w="1055"/>
        <w:gridCol w:w="634"/>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(95,454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(129,418</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2,973</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20,665</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(7,237</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Impairment charge on operating lease assets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4,653</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Impairment charge on investment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Prepaid expenses and other current and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Accrued expenses and other current and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3,158</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Operating lease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(73,744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(84,853</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(108,744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(336,091</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194,077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179,575</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made for 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(179,233</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private placement, net of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43,604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underwritten offering, net of discounts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174,426</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ATM offering, net of commissions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21,031</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239,896</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(24,190</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68,147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93,483</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70,638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69,293</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Vesting of early exercised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Obligation accrued for investment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bookmarkStart w:id="6" w:name="notes_financial_statements"/>
      <w:bookmarkEnd w:id="6"/>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360" w:after="283"/>
        <w:jc w:val="left"/>
        <w:rPr>
          <w:rFonts w:ascii="Times New Roman" w:hAnsi="Times New Roman"/>
          <w:sz w:val="20"/>
        </w:rPr>
      </w:pPr>
      <w:r>
        <w:rPr>
          <w:rFonts w:ascii="Arial" w:hAnsi="Arial"/>
          <w:b/>
          <w:color w:val="000000"/>
          <w:sz w:val="20"/>
        </w:rPr>
        <w:t>Note 1. Organization and 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Organization and nature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September 30, 2025, the Company had $362.4</w:t>
      </w:r>
      <w:r>
        <w:rPr>
          <w:rFonts w:ascii="Times New Roman" w:hAnsi="Times New Roman"/>
          <w:color w:val="000000"/>
          <w:sz w:val="20"/>
        </w:rPr>
        <w:t xml:space="preserve"> </w:t>
      </w:r>
      <w:r>
        <w:rPr>
          <w:rFonts w:ascii="Arial" w:hAnsi="Arial"/>
          <w:color w:val="000000"/>
          <w:sz w:val="20"/>
        </w:rPr>
        <w:t>million in cash, cash equivalents and marketable securities. As of September 30, 2025, the Company had an accumulated deficit of $863.1</w:t>
      </w:r>
      <w:r>
        <w:rPr>
          <w:rFonts w:ascii="Times New Roman" w:hAnsi="Times New Roman"/>
          <w:color w:val="000000"/>
          <w:sz w:val="20"/>
        </w:rPr>
        <w:t xml:space="preserve"> </w:t>
      </w:r>
      <w:r>
        <w:rPr>
          <w:rFonts w:ascii="Arial" w:hAnsi="Arial"/>
          <w:color w:val="000000"/>
          <w:sz w:val="20"/>
        </w:rPr>
        <w:t>million. The Company has incurred significant operating losses and negative cash flows from operations. From its inception through September 30, 2025, the Company’s financial support has primarily been provided from the sale of its convertible preferred stock and the sale of its common stock in its initial public offering (IPO), underwritten offerings, a private placement of common stock, and "at the market" offerings.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September 30, 2025 will be sufficient for the Company to fund operations for at least one year from the issuance date of these condensed consolidated financial statements.</w:t>
      </w:r>
    </w:p>
    <w:p>
      <w:pPr>
        <w:pStyle w:val="TextBody"/>
        <w:bidi w:val="0"/>
        <w:spacing w:before="360" w:after="283"/>
        <w:jc w:val="left"/>
        <w:rPr>
          <w:rFonts w:ascii="Arial" w:hAnsi="Arial"/>
          <w:b/>
          <w:color w:val="000000"/>
          <w:sz w:val="20"/>
        </w:rPr>
      </w:pPr>
      <w:r>
        <w:rPr>
          <w:rFonts w:ascii="Arial" w:hAnsi="Arial"/>
          <w:b/>
          <w:color w:val="000000"/>
          <w:sz w:val="20"/>
        </w:rPr>
        <w:t>Basis of presentation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accompanying unaudited condensed consolidated financial statements have been prepared in accordance with US generally accepted accounting principles (US GAAP) for interim financial information and pursuant to Form 10-Q and Article 10 of Regulation S-X of the Securities and Exchange Commission (SEC). Accordingly, they do not include all of the information and notes required by US GAAP for complete financial statements. Any reference in these notes to applicable guidance is meant to refer to US GAAP as found in the Accounting Standards Codification (ASC) and Accounting Standards Updates (ASU) promulgated by the Financial Accounting Standards Board (FASB). The Company’s condensed consolidated financial statements include the accounts of the Company and its wholly-owned subsidiaries, Erasca Australia, ASN, and Erasca Ventures. All intercompany balances and transactions have been eliminated.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2. Summary of significant accounting policies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Use of estimates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preparation of the Company’s condensed consolidated financial statements in conformity with US GAAP requires the Company to make estimates and assumptions that impact the reported amounts of assets, liabilities, expenses, and the disclosure of contingent assets and liabilities in the condensed consolidated financial statements and accompanying notes. Accounting estimates and management judgments reflected in the condensed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pStyle w:val="TextBody"/>
        <w:bidi w:val="0"/>
        <w:spacing w:before="360" w:after="283"/>
        <w:jc w:val="left"/>
        <w:rPr>
          <w:rFonts w:ascii="Arial" w:hAnsi="Arial"/>
          <w:b/>
          <w:color w:val="000000"/>
          <w:sz w:val="20"/>
        </w:rPr>
      </w:pPr>
      <w:r>
        <w:rPr>
          <w:rFonts w:ascii="Arial" w:hAnsi="Arial"/>
          <w:b/>
          <w:color w:val="000000"/>
          <w:sz w:val="20"/>
        </w:rPr>
        <w:t>Unaudited interim financial information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balance sheet as of September 30, 2025, the condensed consolidated statements of operations and comprehensive loss for the three and nine months ended September 30, 2025 and 2024, the condensed consolidated statements of stockholders’ equity for the three and nine months ended September 30, 2025 and 2024 and the condensed consolidated statements of cash flows for the nine months ended September 30, 2025 and 2024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condensed consolidated financial position as of September 30, 2025 and the condensed consolidated results of its operations and cash flows for the three and nine months ended September 30, 2025 and 2024. The condensed consolidated financial data and other information disclosed in these notes related to the three and nine months ended September 30, 2025 and 2024 are unaudited. The condensed consolidated results for the three and nine months ended September 30, 2025 are not necessarily indicative of results to be expected for the year ending December 31, 2025, any other interim periods, or any future year or period. These unaudited condensed consolidated financial statements should be read in conjunction with the Company's audited consolidated financial statements included in its Annual Report on Form 10-K for the year ended December 31, 2024 filed with the SEC on March 20, 2025.</w:t>
      </w:r>
    </w:p>
    <w:p>
      <w:pPr>
        <w:pStyle w:val="TextBody"/>
        <w:bidi w:val="0"/>
        <w:spacing w:before="360" w:after="283"/>
        <w:jc w:val="left"/>
        <w:rPr>
          <w:rFonts w:ascii="Arial" w:hAnsi="Arial"/>
          <w:b/>
          <w:color w:val="000000"/>
          <w:sz w:val="20"/>
        </w:rPr>
      </w:pPr>
      <w:r>
        <w:rPr>
          <w:rFonts w:ascii="Arial" w:hAnsi="Arial"/>
          <w:b/>
          <w:color w:val="000000"/>
          <w:sz w:val="20"/>
        </w:rPr>
        <w:t>Concentration of credit risk and off-balance sheet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pStyle w:val="TextBody"/>
        <w:bidi w:val="0"/>
        <w:spacing w:before="360" w:after="283"/>
        <w:jc w:val="left"/>
        <w:rPr>
          <w:rFonts w:ascii="Arial" w:hAnsi="Arial"/>
          <w:b/>
          <w:color w:val="000000"/>
          <w:sz w:val="20"/>
        </w:rPr>
      </w:pPr>
      <w:r>
        <w:rPr>
          <w:rFonts w:ascii="Arial" w:hAnsi="Arial"/>
          <w:b/>
          <w:color w:val="000000"/>
          <w:sz w:val="20"/>
        </w:rPr>
        <w:t>Cash, cash equivalents and restricted cash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had deposited cash of</w:t>
      </w:r>
      <w:r>
        <w:rPr>
          <w:rFonts w:ascii="Times New Roman" w:hAnsi="Times New Roman"/>
          <w:color w:val="000000"/>
          <w:sz w:val="20"/>
        </w:rPr>
        <w:t xml:space="preserve"> </w:t>
      </w:r>
      <w:r>
        <w:rPr>
          <w:rFonts w:ascii="Arial" w:hAnsi="Arial"/>
          <w:color w:val="000000"/>
          <w:sz w:val="20"/>
        </w:rPr>
        <w:t>$408,000</w:t>
      </w:r>
      <w:r>
        <w:rPr>
          <w:rFonts w:ascii="Times New Roman" w:hAnsi="Times New Roman"/>
          <w:color w:val="000000"/>
          <w:sz w:val="20"/>
        </w:rPr>
        <w:t xml:space="preserve"> </w:t>
      </w:r>
      <w:r>
        <w:rPr>
          <w:rFonts w:ascii="Arial" w:hAnsi="Arial"/>
          <w:color w:val="000000"/>
          <w:sz w:val="20"/>
        </w:rPr>
        <w:t>as of September 30, 2025 and December 31, 2024 to secure a letter of credit in connection with the lease of the Company’s facilities (see Note 11). The Company has classified the restricted cash as a noncurrent asset on its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provides a reconciliation of cash, cash equivalents and restricted cash reported within the condensed consolidated balance sheets that sum to the total of the same amounts shown in the condensed consolidated statements of cash flows (in thousands):</w:t>
      </w:r>
    </w:p>
    <w:p>
      <w:pPr>
        <w:pStyle w:val="TextBody"/>
        <w:bidi w:val="0"/>
        <w:jc w:val="left"/>
        <w:rPr/>
      </w:pPr>
      <w:r>
        <w:rPr/>
        <w:t> </w:t>
      </w:r>
    </w:p>
    <w:tbl>
      <w:tblPr>
        <w:tblW w:w="6638" w:type="dxa"/>
        <w:jc w:val="left"/>
        <w:tblInd w:w="0" w:type="dxa"/>
        <w:tblLayout w:type="fixed"/>
        <w:tblCellMar>
          <w:top w:w="28" w:type="dxa"/>
          <w:left w:w="28" w:type="dxa"/>
          <w:bottom w:w="28" w:type="dxa"/>
          <w:right w:w="28" w:type="dxa"/>
        </w:tblCellMar>
      </w:tblPr>
      <w:tblGrid>
        <w:gridCol w:w="4351"/>
        <w:gridCol w:w="211"/>
        <w:gridCol w:w="691"/>
        <w:gridCol w:w="146"/>
        <w:gridCol w:w="146"/>
        <w:gridCol w:w="211"/>
        <w:gridCol w:w="69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Marketable securities and investments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or expense. The cost of securities sold is based on the specific identification method. Interest and dividends on securities classified as available-for-sale are included in 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Accrued interest related to the Company's available-for-sale securities is presented within prepaid expenses and other current assets on the Company's condensed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pStyle w:val="TextBody"/>
        <w:bidi w:val="0"/>
        <w:jc w:val="left"/>
        <w:rPr>
          <w:rFonts w:ascii="Arial" w:hAnsi="Arial"/>
          <w:color w:val="000000"/>
          <w:sz w:val="20"/>
        </w:rPr>
      </w:pPr>
      <w:r>
        <w:rPr>
          <w:rFonts w:ascii="Arial" w:hAnsi="Arial"/>
          <w:color w:val="000000"/>
          <w:sz w:val="20"/>
        </w:rPr>
        <w:br/>
        <w:t>Through its wholly-owned subsidiary, Erasca Ventures, the Company has also invested in equity securities of companies whose securities are not publicly traded and whose fair value is not readily available (see Note 3).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condensed consolidated balance sheets.</w:t>
      </w:r>
    </w:p>
    <w:p>
      <w:pPr>
        <w:pStyle w:val="TextBody"/>
        <w:bidi w:val="0"/>
        <w:spacing w:before="360" w:after="283"/>
        <w:jc w:val="left"/>
        <w:rPr>
          <w:rFonts w:ascii="Arial" w:hAnsi="Arial"/>
          <w:b/>
          <w:color w:val="000000"/>
          <w:sz w:val="20"/>
        </w:rPr>
      </w:pPr>
      <w:r>
        <w:rPr>
          <w:rFonts w:ascii="Arial" w:hAnsi="Arial"/>
          <w:b/>
          <w:color w:val="000000"/>
          <w:sz w:val="20"/>
        </w:rPr>
        <w:t>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1—Unadjusted quoted prices in active markets that are accessible at the measurement date for identical, unrestricted assets or liabilities.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2—Quoted prices for similar assets and liabilities in active markets, quoted prices in markets that are not active, or inputs which are observable, either directly or indirectly, for substantially the full term of the asset or liability.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3—Prices or valuation techniques that require inputs that are both significant to the fair value measurement and unobservable (i.e., supported by little or no market activity).</w:t>
      </w:r>
    </w:p>
    <w:p>
      <w:pPr>
        <w:pStyle w:val="TextBody"/>
        <w:bidi w:val="0"/>
        <w:spacing w:before="360" w:after="283"/>
        <w:jc w:val="left"/>
        <w:rPr>
          <w:rFonts w:ascii="Arial" w:hAnsi="Arial"/>
          <w:b/>
          <w:color w:val="000000"/>
          <w:sz w:val="20"/>
        </w:rPr>
      </w:pPr>
      <w:r>
        <w:rPr>
          <w:rFonts w:ascii="Arial" w:hAnsi="Arial"/>
          <w:b/>
          <w:color w:val="000000"/>
          <w:sz w:val="20"/>
        </w:rPr>
        <w:t>Recently issued accounting pronouncements not yet adopted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December 2023, the FASB issued ASU 2023-09, Income Taxes (Topic 740): Improvements to Income Tax Disclosures,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the Company in its annual period beginning after December 15, 2025 and early adoption is permitted. The standard allows for adoption on a prospective basis, with a retrospective option. The Company will be adopting the standard for the year ended December 31, 2025. The Company is currently evaluating the standard and does not expect it to have a material impact on the Company's consolidated financial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financial assets measured at fair value on a recurring basis and their respective input levels based on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3"/>
        <w:gridCol w:w="146"/>
        <w:gridCol w:w="266"/>
        <w:gridCol w:w="1008"/>
        <w:gridCol w:w="146"/>
        <w:gridCol w:w="146"/>
        <w:gridCol w:w="304"/>
        <w:gridCol w:w="1148"/>
        <w:gridCol w:w="210"/>
        <w:gridCol w:w="210"/>
        <w:gridCol w:w="319"/>
        <w:gridCol w:w="1148"/>
        <w:gridCol w:w="210"/>
        <w:gridCol w:w="210"/>
        <w:gridCol w:w="483"/>
        <w:gridCol w:w="793"/>
        <w:gridCol w:w="475"/>
      </w:tblGrid>
      <w:tr>
        <w:trPr/>
        <w:tc>
          <w:tcPr>
            <w:tcW w:w="2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 measurements as of September 30, 2025 using</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Quoted prices in</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active markets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unobservable</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identical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observable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 (level 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 (level 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Money market funds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91,087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64,218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Yankee debt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46,377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Sovereign debt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196,625</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154,688</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Included as cash and cash equivalents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Included as short-term marketable securities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Included as long-term marketable securities on the condensed consolidated balance sheets.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146"/>
        <w:gridCol w:w="258"/>
        <w:gridCol w:w="976"/>
        <w:gridCol w:w="146"/>
        <w:gridCol w:w="146"/>
        <w:gridCol w:w="304"/>
        <w:gridCol w:w="1148"/>
        <w:gridCol w:w="210"/>
        <w:gridCol w:w="210"/>
        <w:gridCol w:w="318"/>
        <w:gridCol w:w="1148"/>
        <w:gridCol w:w="210"/>
        <w:gridCol w:w="210"/>
        <w:gridCol w:w="483"/>
        <w:gridCol w:w="793"/>
        <w:gridCol w:w="477"/>
      </w:tblGrid>
      <w:tr>
        <w:trPr/>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 measurements as of December 31, 2024 using</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Quoted prices in</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active markets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unobservable</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identical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observable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 (level 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 (level 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Money market funds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63,101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Corporate debt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Yankee debt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71,784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177,734</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258,101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Included as cash and cash equivalents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Included as short-term marketable securities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Included as long-term marketable securities on the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the Company’s financial instruments, including cash, prepaid expenses and other current assets, accounts payable and accrued expenses and other current liabilities, approximate fair value due to their short maturities. As of September 30, 2025 and December 31, 2024, the Company's equity investment in Affini-T Therapeutics, Inc. (Affini-T) was fair valued at $0</w:t>
      </w:r>
      <w:r>
        <w:rPr>
          <w:rFonts w:ascii="Times New Roman" w:hAnsi="Times New Roman"/>
          <w:color w:val="000000"/>
          <w:sz w:val="20"/>
        </w:rPr>
        <w:t xml:space="preserve"> </w:t>
      </w:r>
      <w:r>
        <w:rPr>
          <w:rFonts w:ascii="Arial" w:hAnsi="Arial"/>
          <w:color w:val="000000"/>
          <w:sz w:val="20"/>
        </w:rPr>
        <w:t>which represents cost, less impairment. To date, $2.2</w:t>
      </w:r>
      <w:r>
        <w:rPr>
          <w:rFonts w:ascii="Times New Roman" w:hAnsi="Times New Roman"/>
          <w:color w:val="000000"/>
          <w:sz w:val="20"/>
        </w:rPr>
        <w:t xml:space="preserve"> </w:t>
      </w:r>
      <w:r>
        <w:rPr>
          <w:rFonts w:ascii="Arial" w:hAnsi="Arial"/>
          <w:color w:val="000000"/>
          <w:sz w:val="20"/>
        </w:rPr>
        <w:t>million of impairment adjustments have been recorded related to the value of the Company’s equity investment in Affini-T. No</w:t>
      </w:r>
      <w:r>
        <w:rPr>
          <w:rFonts w:ascii="Times New Roman" w:hAnsi="Times New Roman"/>
          <w:color w:val="000000"/>
          <w:sz w:val="20"/>
        </w:rPr>
        <w:t xml:space="preserve"> </w:t>
      </w:r>
      <w:r>
        <w:rPr>
          <w:rFonts w:ascii="Arial" w:hAnsi="Arial"/>
          <w:color w:val="000000"/>
          <w:sz w:val="20"/>
        </w:rPr>
        <w:t>adjustment was made to the value of the Company’s equity investment in Affini-T during the three and nine months ended September 30, 2025. An impairment adjustment of $0</w:t>
      </w:r>
      <w:r>
        <w:rPr>
          <w:rFonts w:ascii="Times New Roman" w:hAnsi="Times New Roman"/>
          <w:color w:val="000000"/>
          <w:sz w:val="20"/>
        </w:rPr>
        <w:t xml:space="preserve"> </w:t>
      </w:r>
      <w:r>
        <w:rPr>
          <w:rFonts w:ascii="Arial" w:hAnsi="Arial"/>
          <w:color w:val="000000"/>
          <w:sz w:val="20"/>
        </w:rPr>
        <w:t>and $402,000</w:t>
      </w:r>
      <w:r>
        <w:rPr>
          <w:rFonts w:ascii="Times New Roman" w:hAnsi="Times New Roman"/>
          <w:color w:val="000000"/>
          <w:sz w:val="20"/>
        </w:rPr>
        <w:t xml:space="preserve"> </w:t>
      </w:r>
      <w:r>
        <w:rPr>
          <w:rFonts w:ascii="Arial" w:hAnsi="Arial"/>
          <w:color w:val="000000"/>
          <w:sz w:val="20"/>
        </w:rPr>
        <w:t>was recorded related to the value of the Company’s equity investment in Affini-T during the three and nine months ended September 30, 2024, respectively. As of December 31, 2024, the Company reassessed the fair value of its equity investment in Affini-T using a market approach which represented a Level 3 nonrecurring fair value measurement. Calculating the fair value of the equity investment involved unobservable inputs, including the terms and preferences of Affini-T's financings, cash flow projections and significant estimates and assumptions. Changes in the estimates and assumptions used could materially affect the amount of impairment losses recognized in the periods the equity investment is considered impaired. No</w:t>
      </w:r>
      <w:r>
        <w:rPr>
          <w:rFonts w:ascii="Times New Roman" w:hAnsi="Times New Roman"/>
          <w:color w:val="000000"/>
          <w:sz w:val="20"/>
        </w:rPr>
        <w:t xml:space="preserve"> </w:t>
      </w:r>
      <w:r>
        <w:rPr>
          <w:rFonts w:ascii="Arial" w:hAnsi="Arial"/>
          <w:color w:val="000000"/>
          <w:sz w:val="20"/>
        </w:rPr>
        <w:t>transfers between levels have occurred during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equivalents consist of money market funds, short-term marketable securities consist of US treasury securities, US government agency securities, corporate debt securities, commercial paper, and Yankee debt securities, and long-term marketable securities consist of US treasury securities, US government agency securities, and sovereign debt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Marketable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marketable securities accounted for as available-for-sale securities (in thousands, except years):</w:t>
      </w:r>
    </w:p>
    <w:p>
      <w:pPr>
        <w:pStyle w:val="TextBody"/>
        <w:bidi w:val="0"/>
        <w:jc w:val="left"/>
        <w:rPr/>
      </w:pPr>
      <w:r>
        <w:rPr/>
        <w:t> </w:t>
      </w:r>
    </w:p>
    <w:tbl>
      <w:tblPr>
        <w:tblW w:w="9412" w:type="dxa"/>
        <w:jc w:val="left"/>
        <w:tblInd w:w="0" w:type="dxa"/>
        <w:tblLayout w:type="fixed"/>
        <w:tblCellMar>
          <w:top w:w="28" w:type="dxa"/>
          <w:left w:w="28" w:type="dxa"/>
          <w:bottom w:w="28" w:type="dxa"/>
          <w:right w:w="28" w:type="dxa"/>
        </w:tblCellMar>
      </w:tblPr>
      <w:tblGrid>
        <w:gridCol w:w="3061"/>
        <w:gridCol w:w="146"/>
        <w:gridCol w:w="916"/>
        <w:gridCol w:w="146"/>
        <w:gridCol w:w="211"/>
        <w:gridCol w:w="796"/>
        <w:gridCol w:w="146"/>
        <w:gridCol w:w="146"/>
        <w:gridCol w:w="340"/>
        <w:gridCol w:w="681"/>
        <w:gridCol w:w="146"/>
        <w:gridCol w:w="146"/>
        <w:gridCol w:w="367"/>
        <w:gridCol w:w="654"/>
        <w:gridCol w:w="166"/>
        <w:gridCol w:w="146"/>
        <w:gridCol w:w="211"/>
        <w:gridCol w:w="79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Yankee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Sovereign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12" w:type="dxa"/>
        <w:jc w:val="left"/>
        <w:tblInd w:w="0" w:type="dxa"/>
        <w:tblLayout w:type="fixed"/>
        <w:tblCellMar>
          <w:top w:w="28" w:type="dxa"/>
          <w:left w:w="28" w:type="dxa"/>
          <w:bottom w:w="28" w:type="dxa"/>
          <w:right w:w="28" w:type="dxa"/>
        </w:tblCellMar>
      </w:tblPr>
      <w:tblGrid>
        <w:gridCol w:w="3061"/>
        <w:gridCol w:w="146"/>
        <w:gridCol w:w="916"/>
        <w:gridCol w:w="146"/>
        <w:gridCol w:w="211"/>
        <w:gridCol w:w="796"/>
        <w:gridCol w:w="146"/>
        <w:gridCol w:w="146"/>
        <w:gridCol w:w="340"/>
        <w:gridCol w:w="681"/>
        <w:gridCol w:w="146"/>
        <w:gridCol w:w="146"/>
        <w:gridCol w:w="311"/>
        <w:gridCol w:w="710"/>
        <w:gridCol w:w="166"/>
        <w:gridCol w:w="146"/>
        <w:gridCol w:w="211"/>
        <w:gridCol w:w="79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Yankee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color w:val="000000"/>
          <w:sz w:val="20"/>
        </w:rPr>
      </w:pPr>
      <w:r>
        <w:rPr>
          <w:rFonts w:ascii="Arial" w:hAnsi="Arial"/>
          <w:color w:val="000000"/>
          <w:sz w:val="20"/>
        </w:rPr>
        <w:t>The following tables present fair values and gross unrealized losses for those available-for-sale securities that were in an unrealized loss position as of September 30, 2025 and December 31, 2024, aggregated by category and the length of time that the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1"/>
        <w:gridCol w:w="146"/>
        <w:gridCol w:w="267"/>
        <w:gridCol w:w="874"/>
        <w:gridCol w:w="184"/>
        <w:gridCol w:w="184"/>
        <w:gridCol w:w="456"/>
        <w:gridCol w:w="743"/>
        <w:gridCol w:w="166"/>
        <w:gridCol w:w="146"/>
        <w:gridCol w:w="311"/>
        <w:gridCol w:w="494"/>
        <w:gridCol w:w="208"/>
        <w:gridCol w:w="208"/>
        <w:gridCol w:w="550"/>
        <w:gridCol w:w="649"/>
        <w:gridCol w:w="146"/>
        <w:gridCol w:w="146"/>
        <w:gridCol w:w="213"/>
        <w:gridCol w:w="700"/>
        <w:gridCol w:w="146"/>
        <w:gridCol w:w="146"/>
        <w:gridCol w:w="431"/>
        <w:gridCol w:w="768"/>
        <w:gridCol w:w="222"/>
      </w:tblGrid>
      <w:tr>
        <w:trPr/>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15,646</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0"/>
        <w:gridCol w:w="146"/>
        <w:gridCol w:w="250"/>
        <w:gridCol w:w="945"/>
        <w:gridCol w:w="173"/>
        <w:gridCol w:w="173"/>
        <w:gridCol w:w="396"/>
        <w:gridCol w:w="787"/>
        <w:gridCol w:w="166"/>
        <w:gridCol w:w="146"/>
        <w:gridCol w:w="303"/>
        <w:gridCol w:w="481"/>
        <w:gridCol w:w="202"/>
        <w:gridCol w:w="202"/>
        <w:gridCol w:w="547"/>
        <w:gridCol w:w="635"/>
        <w:gridCol w:w="146"/>
        <w:gridCol w:w="146"/>
        <w:gridCol w:w="211"/>
        <w:gridCol w:w="796"/>
        <w:gridCol w:w="146"/>
        <w:gridCol w:w="146"/>
        <w:gridCol w:w="360"/>
        <w:gridCol w:w="823"/>
        <w:gridCol w:w="219"/>
      </w:tblGrid>
      <w:tr>
        <w:trPr/>
        <w:tc>
          <w:tcPr>
            <w:tcW w:w="1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41,041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Yankee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34,101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135,017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color w:val="000000"/>
          <w:sz w:val="20"/>
        </w:rPr>
        <w:t>As of September 30, 2025, there were four</w:t>
      </w:r>
      <w:r>
        <w:rPr>
          <w:rFonts w:ascii="Times New Roman" w:hAnsi="Times New Roman"/>
          <w:color w:val="000000"/>
          <w:sz w:val="20"/>
        </w:rPr>
        <w:t xml:space="preserve"> </w:t>
      </w:r>
      <w:r>
        <w:rPr>
          <w:rFonts w:ascii="Arial" w:hAnsi="Arial"/>
          <w:color w:val="000000"/>
          <w:sz w:val="20"/>
        </w:rPr>
        <w:t>available-for-sale securities with an estimated fair value of $15.6</w:t>
      </w:r>
      <w:r>
        <w:rPr>
          <w:rFonts w:ascii="Times New Roman" w:hAnsi="Times New Roman"/>
          <w:color w:val="000000"/>
          <w:sz w:val="20"/>
        </w:rPr>
        <w:t xml:space="preserve"> </w:t>
      </w:r>
      <w:r>
        <w:rPr>
          <w:rFonts w:ascii="Arial" w:hAnsi="Arial"/>
          <w:color w:val="000000"/>
          <w:sz w:val="20"/>
        </w:rPr>
        <w:t>million in gross unrealized loss positions, none</w:t>
      </w:r>
      <w:r>
        <w:rPr>
          <w:rFonts w:ascii="Times New Roman" w:hAnsi="Times New Roman"/>
          <w:color w:val="000000"/>
          <w:sz w:val="20"/>
        </w:rPr>
        <w:t xml:space="preserve"> </w:t>
      </w:r>
      <w:r>
        <w:rPr>
          <w:rFonts w:ascii="Arial" w:hAnsi="Arial"/>
          <w:color w:val="000000"/>
          <w:sz w:val="20"/>
        </w:rPr>
        <w:t>of which were in an unrealized loss position for more than 12 months. As of December 31, 2024, there were 22</w:t>
      </w:r>
      <w:r>
        <w:rPr>
          <w:rFonts w:ascii="Times New Roman" w:hAnsi="Times New Roman"/>
          <w:color w:val="000000"/>
          <w:sz w:val="20"/>
        </w:rPr>
        <w:t xml:space="preserve"> </w:t>
      </w:r>
      <w:r>
        <w:rPr>
          <w:rFonts w:ascii="Arial" w:hAnsi="Arial"/>
          <w:color w:val="000000"/>
          <w:sz w:val="20"/>
        </w:rPr>
        <w:t>available-for-sale securities with an estimated fair value of $135.0</w:t>
      </w:r>
      <w:r>
        <w:rPr>
          <w:rFonts w:ascii="Times New Roman" w:hAnsi="Times New Roman"/>
          <w:color w:val="000000"/>
          <w:sz w:val="20"/>
        </w:rPr>
        <w:t xml:space="preserve"> </w:t>
      </w:r>
      <w:r>
        <w:rPr>
          <w:rFonts w:ascii="Arial" w:hAnsi="Arial"/>
          <w:color w:val="000000"/>
          <w:sz w:val="20"/>
        </w:rPr>
        <w:t>million in gross unrealized loss positions, none</w:t>
      </w:r>
      <w:r>
        <w:rPr>
          <w:rFonts w:ascii="Times New Roman" w:hAnsi="Times New Roman"/>
          <w:color w:val="000000"/>
          <w:sz w:val="20"/>
        </w:rPr>
        <w:t xml:space="preserve"> </w:t>
      </w:r>
      <w:r>
        <w:rPr>
          <w:rFonts w:ascii="Arial" w:hAnsi="Arial"/>
          <w:color w:val="000000"/>
          <w:sz w:val="20"/>
        </w:rPr>
        <w:t>of which were in an unrealized loss position for more than 12 months.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and December 31, 2024,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Accrued interest on the Company’s available-for-sale securities was $2.9</w:t>
      </w:r>
      <w:r>
        <w:rPr>
          <w:rFonts w:ascii="Times New Roman" w:hAnsi="Times New Roman"/>
          <w:color w:val="000000"/>
          <w:sz w:val="20"/>
        </w:rPr>
        <w:t xml:space="preserve"> </w:t>
      </w:r>
      <w:r>
        <w:rPr>
          <w:rFonts w:ascii="Arial" w:hAnsi="Arial"/>
          <w:color w:val="000000"/>
          <w:sz w:val="20"/>
        </w:rPr>
        <w:t>million and $2.3</w:t>
      </w:r>
      <w:r>
        <w:rPr>
          <w:rFonts w:ascii="Times New Roman" w:hAnsi="Times New Roman"/>
          <w:color w:val="000000"/>
          <w:sz w:val="20"/>
        </w:rPr>
        <w:t xml:space="preserve"> </w:t>
      </w:r>
      <w:r>
        <w:rPr>
          <w:rFonts w:ascii="Arial" w:hAnsi="Arial"/>
          <w:color w:val="000000"/>
          <w:sz w:val="20"/>
        </w:rPr>
        <w:t>million as of September 30, 2025 and December 31, 2024, respectively, and is included in prepaid expenses and other current assets</w:t>
      </w:r>
      <w:r>
        <w:rPr>
          <w:rFonts w:ascii="Times New Roman" w:hAnsi="Times New Roman"/>
          <w:color w:val="000000"/>
          <w:sz w:val="20"/>
        </w:rPr>
        <w:t xml:space="preserve"> </w:t>
      </w:r>
      <w:r>
        <w:rPr>
          <w:rFonts w:ascii="Arial" w:hAnsi="Arial"/>
          <w:color w:val="000000"/>
          <w:sz w:val="20"/>
        </w:rPr>
        <w:t>on the condensed consolidated balance sheets.</w:t>
      </w:r>
    </w:p>
    <w:p>
      <w:pPr>
        <w:pStyle w:val="TextBody"/>
        <w:bidi w:val="0"/>
        <w:spacing w:before="360" w:after="283"/>
        <w:jc w:val="left"/>
        <w:rPr>
          <w:rFonts w:ascii="Times New Roman" w:hAnsi="Times New Roman"/>
          <w:sz w:val="20"/>
        </w:rPr>
      </w:pPr>
      <w:r>
        <w:rPr>
          <w:rFonts w:ascii="Arial" w:hAnsi="Arial"/>
          <w:b/>
          <w:color w:val="000000"/>
          <w:sz w:val="20"/>
        </w:rPr>
        <w:t>Note 5.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Property and equipment, net consisted of the following (in thousands):</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4321"/>
        <w:gridCol w:w="146"/>
        <w:gridCol w:w="295"/>
        <w:gridCol w:w="1055"/>
        <w:gridCol w:w="166"/>
        <w:gridCol w:w="146"/>
        <w:gridCol w:w="285"/>
        <w:gridCol w:w="1020"/>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Property and equipment</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 and amortization</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Property and equipment, net</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Arial" w:hAnsi="Arial"/>
          <w:color w:val="000000"/>
          <w:sz w:val="20"/>
        </w:rPr>
        <w:t>Depreciation and amortization expense related to property and equipment was $755,000</w:t>
      </w:r>
      <w:r>
        <w:rPr>
          <w:rFonts w:ascii="Times New Roman" w:hAnsi="Times New Roman"/>
          <w:color w:val="000000"/>
          <w:sz w:val="20"/>
        </w:rPr>
        <w:t xml:space="preserve"> </w:t>
      </w:r>
      <w:r>
        <w:rPr>
          <w:rFonts w:ascii="Arial" w:hAnsi="Arial"/>
          <w:color w:val="000000"/>
          <w:sz w:val="20"/>
        </w:rPr>
        <w:t>and $2.4</w:t>
      </w:r>
      <w:r>
        <w:rPr>
          <w:rFonts w:ascii="Times New Roman" w:hAnsi="Times New Roman"/>
          <w:color w:val="000000"/>
          <w:sz w:val="20"/>
        </w:rPr>
        <w:t xml:space="preserve"> </w:t>
      </w:r>
      <w:r>
        <w:rPr>
          <w:rFonts w:ascii="Arial" w:hAnsi="Arial"/>
          <w:color w:val="000000"/>
          <w:sz w:val="20"/>
        </w:rPr>
        <w:t>million for the three and nine months ended September 30, 2025, respectively, and $842,000</w:t>
      </w:r>
      <w:r>
        <w:rPr>
          <w:rFonts w:ascii="Times New Roman" w:hAnsi="Times New Roman"/>
          <w:color w:val="000000"/>
          <w:sz w:val="20"/>
        </w:rPr>
        <w:t xml:space="preserve"> </w:t>
      </w:r>
      <w:r>
        <w:rPr>
          <w:rFonts w:ascii="Arial" w:hAnsi="Arial"/>
          <w:color w:val="000000"/>
          <w:sz w:val="20"/>
        </w:rPr>
        <w:t>and $3.0</w:t>
      </w:r>
      <w:r>
        <w:rPr>
          <w:rFonts w:ascii="Times New Roman" w:hAnsi="Times New Roman"/>
          <w:color w:val="000000"/>
          <w:sz w:val="20"/>
        </w:rPr>
        <w:t xml:space="preserve"> </w:t>
      </w:r>
      <w:r>
        <w:rPr>
          <w:rFonts w:ascii="Arial" w:hAnsi="Arial"/>
          <w:color w:val="000000"/>
          <w:sz w:val="20"/>
        </w:rPr>
        <w:t>million for the three and nine months ended September 30, 2024, respectively.</w:t>
      </w:r>
    </w:p>
    <w:p>
      <w:pPr>
        <w:pStyle w:val="TextBody"/>
        <w:bidi w:val="0"/>
        <w:spacing w:before="360" w:after="283"/>
        <w:jc w:val="left"/>
        <w:rPr>
          <w:rFonts w:ascii="Times New Roman" w:hAnsi="Times New Roman"/>
          <w:sz w:val="20"/>
        </w:rPr>
      </w:pPr>
      <w:r>
        <w:rPr>
          <w:rFonts w:ascii="Arial" w:hAnsi="Arial"/>
          <w:b/>
          <w:color w:val="000000"/>
          <w:sz w:val="20"/>
        </w:rPr>
        <w:t>Note 6. Accrued expenses and other current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Accrued expenses and other current liabilities consisted of the following (in thousands):</w:t>
      </w:r>
    </w:p>
    <w:p>
      <w:pPr>
        <w:pStyle w:val="TextBody"/>
        <w:bidi w:val="0"/>
        <w:jc w:val="left"/>
        <w:rPr/>
      </w:pPr>
      <w:r>
        <w:rPr/>
        <w:t> </w:t>
      </w:r>
    </w:p>
    <w:tbl>
      <w:tblPr>
        <w:tblW w:w="7380" w:type="dxa"/>
        <w:jc w:val="left"/>
        <w:tblInd w:w="0" w:type="dxa"/>
        <w:tblLayout w:type="fixed"/>
        <w:tblCellMar>
          <w:top w:w="28" w:type="dxa"/>
          <w:left w:w="28" w:type="dxa"/>
          <w:bottom w:w="28" w:type="dxa"/>
          <w:right w:w="28" w:type="dxa"/>
        </w:tblCellMar>
      </w:tblPr>
      <w:tblGrid>
        <w:gridCol w:w="4096"/>
        <w:gridCol w:w="146"/>
        <w:gridCol w:w="314"/>
        <w:gridCol w:w="1036"/>
        <w:gridCol w:w="146"/>
        <w:gridCol w:w="146"/>
        <w:gridCol w:w="305"/>
        <w:gridCol w:w="1000"/>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center"/>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7. Asset acquisitions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purchased assets were accounted for as asset acquisitions as substantially all of the fair value of the assets acquired were concentrated in a group of similar assets, and the acquired assets did not have outputs or employees. Because the assets had not yet received regulatory approval, the fair value attributable to these assets was recorded as in-process research and development expenses in the Company’s condensed consolidated statements of operations and comprehensive loss.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Asana BioSciences, LLC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2020, the Company entered into the Asana Merger Agreement, pursuant to which ASN became its wholly-owned subsidiary. Asana and ASN had previously entered into a license agreement, which was amended and restated prior to the closing of the merger transaction (the Asana License Agreement), pursuant to which ASN acquired an exclusive, worldwide license to certain intellectual property rights relating to inhibitors of ERK1 and ERK2 owned or controlled by Asana to develop and commercialize ERAS-007 and certain other related compounds for all applications. No</w:t>
      </w:r>
      <w:r>
        <w:rPr>
          <w:rFonts w:ascii="Times New Roman" w:hAnsi="Times New Roman"/>
          <w:color w:val="000000"/>
          <w:sz w:val="20"/>
        </w:rPr>
        <w:t xml:space="preserve"> </w:t>
      </w:r>
      <w:r>
        <w:rPr>
          <w:rFonts w:ascii="Arial" w:hAnsi="Arial"/>
          <w:color w:val="000000"/>
          <w:sz w:val="20"/>
        </w:rPr>
        <w:t>IPR&amp;D expense was recorded during the three and nine months ended September 30, 2025 and 2024. As of September 30, 2025 and December 31, 2024, no</w:t>
      </w:r>
      <w:r>
        <w:rPr>
          <w:rFonts w:ascii="Times New Roman" w:hAnsi="Times New Roman"/>
          <w:color w:val="000000"/>
          <w:sz w:val="20"/>
        </w:rPr>
        <w:t xml:space="preserve"> </w:t>
      </w:r>
      <w:r>
        <w:rPr>
          <w:rFonts w:ascii="Arial" w:hAnsi="Arial"/>
          <w:color w:val="000000"/>
          <w:sz w:val="20"/>
        </w:rPr>
        <w:t>milestones had been accrued as the underlying contingencies were not probable or estimable.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the Company announced a strategic reprioritization that included deprioritizing the final trial in the HERKULES series of clinical trials that was evaluating ERAS-007. In September 2025, the Company sent a notice to Asana to terminate the Asana License Agreement, with an effective termination date of November 8, 2025. In connection with such termination, the Company and Asana have agreed that the Company shall continue to ensure that the patients currently enrolled in the HERKULES series of trials will be permitted to continue to participate in such trials for the foreseeable future.</w:t>
      </w:r>
    </w:p>
    <w:p>
      <w:pPr>
        <w:pStyle w:val="TextBody"/>
        <w:bidi w:val="0"/>
        <w:spacing w:before="360" w:after="283"/>
        <w:jc w:val="left"/>
        <w:rPr>
          <w:rFonts w:ascii="Arial" w:hAnsi="Arial"/>
          <w:b/>
          <w:color w:val="000000"/>
          <w:sz w:val="20"/>
        </w:rPr>
      </w:pPr>
      <w:r>
        <w:rPr>
          <w:rFonts w:ascii="Arial" w:hAnsi="Arial"/>
          <w:b/>
          <w:color w:val="000000"/>
          <w:sz w:val="20"/>
        </w:rPr>
        <w:t>Note 8. License agreements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Novartis Pharma AG</w:t>
      </w:r>
    </w:p>
    <w:p>
      <w:pPr>
        <w:pStyle w:val="TextBody"/>
        <w:bidi w:val="0"/>
        <w:jc w:val="left"/>
        <w:rPr>
          <w:rFonts w:ascii="Times New Roman" w:hAnsi="Times New Roman"/>
          <w:sz w:val="20"/>
        </w:rPr>
      </w:pPr>
      <w:r>
        <w:rPr>
          <w:rFonts w:ascii="Arial" w:hAnsi="Arial"/>
          <w:color w:val="000000"/>
          <w:sz w:val="20"/>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 The Company has the right to sublicense (through multiple tiers) its rights under the Novartis Agreement, subject to certain limitations and conditions, and is required to use commercially reasonable efforts to commercialize licensed products in certain geographical markets.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license granted under the Novartis Agreement is subject to Novartis’ reserved right to: (i) develop, manufacture, use, and commercialize compounds unrelated to naporafenib under the licensed patent rights and know-how, (ii) use the licensed patent rights and know-how for non-clinical research purposes, and (iii) use the licensed patent rights and know-how to the extent necessary to perform ongoing clinical trials and perform its obligations under existing contracts and under the Novartis Agreement.</w:t>
      </w:r>
    </w:p>
    <w:p>
      <w:pPr>
        <w:pStyle w:val="TextBody"/>
        <w:bidi w:val="0"/>
        <w:jc w:val="left"/>
        <w:rPr>
          <w:rFonts w:ascii="Times New Roman" w:hAnsi="Times New Roman"/>
          <w:sz w:val="20"/>
        </w:rPr>
      </w:pPr>
      <w:r>
        <w:rPr>
          <w:rFonts w:ascii="Arial" w:hAnsi="Arial"/>
          <w:color w:val="000000"/>
          <w:sz w:val="20"/>
        </w:rPr>
        <w:t>Under the Novartis Agreement, the Company made an upfront cash payment to Novartis of $20.0</w:t>
      </w:r>
      <w:r>
        <w:rPr>
          <w:rFonts w:ascii="Times New Roman" w:hAnsi="Times New Roman"/>
          <w:color w:val="000000"/>
          <w:sz w:val="20"/>
        </w:rPr>
        <w:t xml:space="preserve"> </w:t>
      </w:r>
      <w:r>
        <w:rPr>
          <w:rFonts w:ascii="Arial" w:hAnsi="Arial"/>
          <w:color w:val="000000"/>
          <w:sz w:val="20"/>
        </w:rPr>
        <w:t>million and issued to Novartis 12,307,692</w:t>
      </w:r>
      <w:r>
        <w:rPr>
          <w:rFonts w:ascii="Times New Roman" w:hAnsi="Times New Roman"/>
          <w:color w:val="000000"/>
          <w:sz w:val="20"/>
        </w:rPr>
        <w:t xml:space="preserve"> </w:t>
      </w:r>
      <w:r>
        <w:rPr>
          <w:rFonts w:ascii="Arial" w:hAnsi="Arial"/>
          <w:color w:val="000000"/>
          <w:sz w:val="20"/>
        </w:rPr>
        <w:t>shares of common stock of the Company having an aggregate value of approximately $80.0</w:t>
      </w:r>
      <w:r>
        <w:rPr>
          <w:rFonts w:ascii="Times New Roman" w:hAnsi="Times New Roman"/>
          <w:color w:val="000000"/>
          <w:sz w:val="20"/>
        </w:rPr>
        <w:t xml:space="preserve"> </w:t>
      </w:r>
      <w:r>
        <w:rPr>
          <w:rFonts w:ascii="Arial" w:hAnsi="Arial"/>
          <w:color w:val="000000"/>
          <w:sz w:val="20"/>
        </w:rPr>
        <w:t>million. The Company is obligated to make future regulatory milestone payments of up to $80.0</w:t>
      </w:r>
      <w:r>
        <w:rPr>
          <w:rFonts w:ascii="Times New Roman" w:hAnsi="Times New Roman"/>
          <w:color w:val="000000"/>
          <w:sz w:val="20"/>
        </w:rPr>
        <w:t xml:space="preserve"> </w:t>
      </w:r>
      <w:r>
        <w:rPr>
          <w:rFonts w:ascii="Arial" w:hAnsi="Arial"/>
          <w:color w:val="000000"/>
          <w:sz w:val="20"/>
        </w:rPr>
        <w:t>million and sales milestone payments of up to $200.0</w:t>
      </w:r>
      <w:r>
        <w:rPr>
          <w:rFonts w:ascii="Times New Roman" w:hAnsi="Times New Roman"/>
          <w:color w:val="000000"/>
          <w:sz w:val="20"/>
        </w:rPr>
        <w:t xml:space="preserve"> </w:t>
      </w:r>
      <w:r>
        <w:rPr>
          <w:rFonts w:ascii="Arial" w:hAnsi="Arial"/>
          <w:color w:val="000000"/>
          <w:sz w:val="20"/>
        </w:rPr>
        <w:t>million. The Company is also obligated to pay royalties on net sales of all licensed products, in the low-single digit percentages, subject to certain reductions. No</w:t>
      </w:r>
      <w:r>
        <w:rPr>
          <w:rFonts w:ascii="Times New Roman" w:hAnsi="Times New Roman"/>
          <w:color w:val="000000"/>
          <w:sz w:val="20"/>
        </w:rPr>
        <w:t xml:space="preserve"> </w:t>
      </w:r>
      <w:r>
        <w:rPr>
          <w:rFonts w:ascii="Arial" w:hAnsi="Arial"/>
          <w:color w:val="000000"/>
          <w:sz w:val="20"/>
        </w:rPr>
        <w:t>IPR&amp;D expense was recorded during the three and nine months ended September 30, 2025 and 2024.</w:t>
      </w:r>
    </w:p>
    <w:p>
      <w:pPr>
        <w:pStyle w:val="TextBody"/>
        <w:bidi w:val="0"/>
        <w:spacing w:before="360" w:after="283"/>
        <w:jc w:val="left"/>
        <w:rPr>
          <w:rFonts w:ascii="Arial" w:hAnsi="Arial"/>
          <w:b/>
          <w:color w:val="000000"/>
          <w:sz w:val="20"/>
        </w:rPr>
      </w:pPr>
      <w:r>
        <w:rPr>
          <w:rFonts w:ascii="Arial" w:hAnsi="Arial"/>
          <w:b/>
          <w:color w:val="000000"/>
          <w:sz w:val="20"/>
        </w:rPr>
        <w:t>Guangzhou Joyo Pharmatech Co., Ltd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The Company has an option to expand the territory of the license to include mainland China, Hong Kong and Macau by making a $50.0</w:t>
      </w:r>
      <w:r>
        <w:rPr>
          <w:rFonts w:ascii="Times New Roman" w:hAnsi="Times New Roman"/>
          <w:color w:val="000000"/>
          <w:sz w:val="20"/>
        </w:rPr>
        <w:t xml:space="preserve"> </w:t>
      </w:r>
      <w:r>
        <w:rPr>
          <w:rFonts w:ascii="Arial" w:hAnsi="Arial"/>
          <w:color w:val="000000"/>
          <w:sz w:val="20"/>
        </w:rPr>
        <w:t>million payment to Joyo on or prior to the first dosing of the first patient in a Phase 2 clinical trial by either the Company or Joyo, or a payment of $150.0</w:t>
      </w:r>
      <w:r>
        <w:rPr>
          <w:rFonts w:ascii="Times New Roman" w:hAnsi="Times New Roman"/>
          <w:color w:val="000000"/>
          <w:sz w:val="20"/>
        </w:rPr>
        <w:t xml:space="preserve"> </w:t>
      </w:r>
      <w:r>
        <w:rPr>
          <w:rFonts w:ascii="Arial" w:hAnsi="Arial"/>
          <w:color w:val="000000"/>
          <w:sz w:val="20"/>
        </w:rPr>
        <w:t>million after the first dosing of the first patient in a Phase 2 clinical trial by either the Company or Joyo and before filing a new drug application (or the foreign equivalent) by either the Company or Joyo.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license granted under the Joyo License Agreement is subject to Joyo’s reserved right to develop, manufacture, use, and commercialize licensed products in mainland China, Hong Kong and Macau, unless the Company exercises its option to expand the license to include mainland China, Hong Kong and Macau.</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Under the Joyo License Agreement, the Company made an upfront cash payment to Joyo of $12.5</w:t>
      </w:r>
      <w:r>
        <w:rPr>
          <w:rFonts w:ascii="Times New Roman" w:hAnsi="Times New Roman"/>
          <w:color w:val="000000"/>
          <w:sz w:val="20"/>
        </w:rPr>
        <w:t xml:space="preserve"> </w:t>
      </w:r>
      <w:r>
        <w:rPr>
          <w:rFonts w:ascii="Arial" w:hAnsi="Arial"/>
          <w:color w:val="000000"/>
          <w:sz w:val="20"/>
        </w:rPr>
        <w:t>million. The Company is obligated to make development and regulatory milestone payments of up to $51.5</w:t>
      </w:r>
      <w:r>
        <w:rPr>
          <w:rFonts w:ascii="Times New Roman" w:hAnsi="Times New Roman"/>
          <w:color w:val="000000"/>
          <w:sz w:val="20"/>
        </w:rPr>
        <w:t xml:space="preserve"> </w:t>
      </w:r>
      <w:r>
        <w:rPr>
          <w:rFonts w:ascii="Arial" w:hAnsi="Arial"/>
          <w:color w:val="000000"/>
          <w:sz w:val="20"/>
        </w:rPr>
        <w:t>million (or up to $57.5</w:t>
      </w:r>
      <w:r>
        <w:rPr>
          <w:rFonts w:ascii="Times New Roman" w:hAnsi="Times New Roman"/>
          <w:color w:val="000000"/>
          <w:sz w:val="20"/>
        </w:rPr>
        <w:t xml:space="preserve"> </w:t>
      </w:r>
      <w:r>
        <w:rPr>
          <w:rFonts w:ascii="Arial" w:hAnsi="Arial"/>
          <w:color w:val="000000"/>
          <w:sz w:val="20"/>
        </w:rPr>
        <w:t>million if the Company’s territory is expanded to include mainland China, Hong Kong, and Macau) and commercial milestone payments of up to $125.0</w:t>
      </w:r>
      <w:r>
        <w:rPr>
          <w:rFonts w:ascii="Times New Roman" w:hAnsi="Times New Roman"/>
          <w:color w:val="000000"/>
          <w:sz w:val="20"/>
        </w:rPr>
        <w:t xml:space="preserve"> </w:t>
      </w:r>
      <w:r>
        <w:rPr>
          <w:rFonts w:ascii="Arial" w:hAnsi="Arial"/>
          <w:color w:val="000000"/>
          <w:sz w:val="20"/>
        </w:rPr>
        <w:t>million upon the achievement of the corresponding milestones. The Company is also obligated to pay tiered royalties on net sales of all licensed products, in the low- to mid-single digit percentages, subject to certain reductions. The Company recorded IPR&amp;D expense of $0</w:t>
      </w:r>
      <w:r>
        <w:rPr>
          <w:rFonts w:ascii="Times New Roman" w:hAnsi="Times New Roman"/>
          <w:color w:val="000000"/>
          <w:sz w:val="20"/>
        </w:rPr>
        <w:t xml:space="preserve"> </w:t>
      </w:r>
      <w:r>
        <w:rPr>
          <w:rFonts w:ascii="Arial" w:hAnsi="Arial"/>
          <w:color w:val="000000"/>
          <w:sz w:val="20"/>
        </w:rPr>
        <w:t>and $7.5</w:t>
      </w:r>
      <w:r>
        <w:rPr>
          <w:rFonts w:ascii="Times New Roman" w:hAnsi="Times New Roman"/>
          <w:color w:val="000000"/>
          <w:sz w:val="20"/>
        </w:rPr>
        <w:t xml:space="preserve"> </w:t>
      </w:r>
      <w:r>
        <w:rPr>
          <w:rFonts w:ascii="Arial" w:hAnsi="Arial"/>
          <w:color w:val="000000"/>
          <w:sz w:val="20"/>
        </w:rPr>
        <w:t>million related to the achievement of milestones during the three and nine months ended September 30, 2025, respectively. For the three and nine months ended September 30, 2024, the Company recorded $0</w:t>
      </w:r>
      <w:r>
        <w:rPr>
          <w:rFonts w:ascii="Times New Roman" w:hAnsi="Times New Roman"/>
          <w:color w:val="000000"/>
          <w:sz w:val="20"/>
        </w:rPr>
        <w:t xml:space="preserve"> </w:t>
      </w:r>
      <w:r>
        <w:rPr>
          <w:rFonts w:ascii="Arial" w:hAnsi="Arial"/>
          <w:color w:val="000000"/>
          <w:sz w:val="20"/>
        </w:rPr>
        <w:t>and $12.5</w:t>
      </w:r>
      <w:r>
        <w:rPr>
          <w:rFonts w:ascii="Times New Roman" w:hAnsi="Times New Roman"/>
          <w:color w:val="000000"/>
          <w:sz w:val="20"/>
        </w:rPr>
        <w:t xml:space="preserve"> </w:t>
      </w:r>
      <w:r>
        <w:rPr>
          <w:rFonts w:ascii="Arial" w:hAnsi="Arial"/>
          <w:color w:val="000000"/>
          <w:sz w:val="20"/>
        </w:rPr>
        <w:t>million in IPR&amp;D expense related to the upfront cash payment, respectively.</w:t>
      </w:r>
    </w:p>
    <w:p>
      <w:pPr>
        <w:pStyle w:val="TextBody"/>
        <w:bidi w:val="0"/>
        <w:spacing w:before="360" w:after="283"/>
        <w:jc w:val="left"/>
        <w:rPr>
          <w:rFonts w:ascii="Arial" w:hAnsi="Arial"/>
          <w:b/>
          <w:color w:val="000000"/>
          <w:sz w:val="20"/>
        </w:rPr>
      </w:pPr>
      <w:r>
        <w:rPr>
          <w:rFonts w:ascii="Arial" w:hAnsi="Arial"/>
          <w:b/>
          <w:color w:val="000000"/>
          <w:sz w:val="20"/>
        </w:rPr>
        <w:t>Medshine Discovery Inc.</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Under the Medshine License Agreement, the Company made an upfront cash payment to Medshine of $10.0</w:t>
      </w:r>
      <w:r>
        <w:rPr>
          <w:rFonts w:ascii="Times New Roman" w:hAnsi="Times New Roman"/>
          <w:color w:val="000000"/>
          <w:sz w:val="20"/>
        </w:rPr>
        <w:t xml:space="preserve"> </w:t>
      </w:r>
      <w:r>
        <w:rPr>
          <w:rFonts w:ascii="Arial" w:hAnsi="Arial"/>
          <w:color w:val="000000"/>
          <w:sz w:val="20"/>
        </w:rPr>
        <w:t>million. The Company is obligated to make development and regulatory milestone payments of up to $30.0</w:t>
      </w:r>
      <w:r>
        <w:rPr>
          <w:rFonts w:ascii="Times New Roman" w:hAnsi="Times New Roman"/>
          <w:color w:val="000000"/>
          <w:sz w:val="20"/>
        </w:rPr>
        <w:t xml:space="preserve"> </w:t>
      </w:r>
      <w:r>
        <w:rPr>
          <w:rFonts w:ascii="Arial" w:hAnsi="Arial"/>
          <w:color w:val="000000"/>
          <w:sz w:val="20"/>
        </w:rPr>
        <w:t>million and commercial milestone payments of up to $130.0</w:t>
      </w:r>
      <w:r>
        <w:rPr>
          <w:rFonts w:ascii="Times New Roman" w:hAnsi="Times New Roman"/>
          <w:color w:val="000000"/>
          <w:sz w:val="20"/>
        </w:rPr>
        <w:t xml:space="preserve"> </w:t>
      </w:r>
      <w:r>
        <w:rPr>
          <w:rFonts w:ascii="Arial" w:hAnsi="Arial"/>
          <w:color w:val="000000"/>
          <w:sz w:val="20"/>
        </w:rPr>
        <w:t>million upon the achievement of the corresponding milestones. The Company is also obligated to pay a low-single digit percentage royalty on net sales of all licensed products, subject to certain reductions. The Company recorded IPR&amp;D expense of $2.0</w:t>
      </w:r>
      <w:r>
        <w:rPr>
          <w:rFonts w:ascii="Times New Roman" w:hAnsi="Times New Roman"/>
          <w:color w:val="000000"/>
          <w:sz w:val="20"/>
        </w:rPr>
        <w:t xml:space="preserve"> </w:t>
      </w:r>
      <w:r>
        <w:rPr>
          <w:rFonts w:ascii="Arial" w:hAnsi="Arial"/>
          <w:color w:val="000000"/>
          <w:sz w:val="20"/>
        </w:rPr>
        <w:t>million related to the achievement of milestones during the three and nine months ended September 30, 2025. For the three and nine months ended September 30, 2024, the Company recorded $0</w:t>
      </w:r>
      <w:r>
        <w:rPr>
          <w:rFonts w:ascii="Times New Roman" w:hAnsi="Times New Roman"/>
          <w:color w:val="000000"/>
          <w:sz w:val="20"/>
        </w:rPr>
        <w:t xml:space="preserve"> </w:t>
      </w:r>
      <w:r>
        <w:rPr>
          <w:rFonts w:ascii="Arial" w:hAnsi="Arial"/>
          <w:color w:val="000000"/>
          <w:sz w:val="20"/>
        </w:rPr>
        <w:t>and $10.0</w:t>
      </w:r>
      <w:r>
        <w:rPr>
          <w:rFonts w:ascii="Times New Roman" w:hAnsi="Times New Roman"/>
          <w:color w:val="000000"/>
          <w:sz w:val="20"/>
        </w:rPr>
        <w:t xml:space="preserve"> </w:t>
      </w:r>
      <w:r>
        <w:rPr>
          <w:rFonts w:ascii="Arial" w:hAnsi="Arial"/>
          <w:color w:val="000000"/>
          <w:sz w:val="20"/>
        </w:rPr>
        <w:t>million in IPR&amp;D expense related to the upfront cash payment, respectively.</w:t>
      </w:r>
    </w:p>
    <w:p>
      <w:pPr>
        <w:pStyle w:val="TextBody"/>
        <w:bidi w:val="0"/>
        <w:spacing w:before="360" w:after="283"/>
        <w:jc w:val="left"/>
        <w:rPr>
          <w:rFonts w:ascii="Arial" w:hAnsi="Arial"/>
          <w:b/>
          <w:color w:val="000000"/>
          <w:sz w:val="20"/>
        </w:rPr>
      </w:pPr>
      <w:r>
        <w:rPr>
          <w:rFonts w:ascii="Arial" w:hAnsi="Arial"/>
          <w:b/>
          <w:color w:val="000000"/>
          <w:sz w:val="20"/>
        </w:rPr>
        <w:t>NiKang Therapeutics, Inc.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2020, the Company entered into a license agreement (the NiKang License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 No</w:t>
      </w:r>
      <w:r>
        <w:rPr>
          <w:rFonts w:ascii="Times New Roman" w:hAnsi="Times New Roman"/>
          <w:color w:val="000000"/>
          <w:sz w:val="20"/>
        </w:rPr>
        <w:t xml:space="preserve"> </w:t>
      </w:r>
      <w:r>
        <w:rPr>
          <w:rFonts w:ascii="Arial" w:hAnsi="Arial"/>
          <w:color w:val="000000"/>
          <w:sz w:val="20"/>
        </w:rPr>
        <w:t>IPR&amp;D expense was recorded during the three and nine months ended September 30, 2025 and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2023, the Company announced a strategic reprioritization that included deprioritizing the FLAGSHP-1 clinical trial that was evaluating ERAS-601. In September 2025, the Company sent a notice to NiKang to terminate the NiKang License Agreement, with an effective termination date of October 9, 2025. In connection with such termination, the Company and NiKang have agreed that the Company shall continue to ensure that the patients currently enrolled in the FLAGSHP-1 trial and an investigator-initiated trial of ERAS-601 will be permitted to continue to participate in such trials for the foreseeable future.</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Katmai Pharmaceuticals, Inc.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the Company announced a strategic reprioritization which included deprioritizing its THUNDERBBOLT-1 clinical trial evaluating ERAS-801 in patients with recurrent glioblastoma. In April 2025, the Company entered into a Termination Agreement (the Katmai Termination Agreement) with Katmai Pharmaceuticals, Inc. (Katmai). The Katmai Termination Agreement terminated the license agreement, dated March 12, 2020, between the Company and Katmai in which the Company obtained an exclusive worldwide license from Katmai to develop and commercialize ERAS-801 (the Katmai License Agreement). Pursuant to the Katmai Termination Agreement, the Katmai License Agreement was terminated as of April 1, 2025. Under the Katmai Termination Agreement, the Company has assigned to Katmai certain know-how, intellectual property rights, third-party vendor agreements, regulatory filings, and materials that the Company developed in connection with the development of ERAS-801 under the Katmai License Agreement, and Katmai is obligated to make payments to the Company upon the occurrence of specific events related to Katmai’s future development and commercialization of ERAS-801. In addition, the Company provided certain transition services to Katmai for a 90-day period, for which Katmai reimbursed the Company for its internal costs related to such services. No</w:t>
      </w:r>
      <w:r>
        <w:rPr>
          <w:rFonts w:ascii="Times New Roman" w:hAnsi="Times New Roman"/>
          <w:color w:val="000000"/>
          <w:sz w:val="20"/>
        </w:rPr>
        <w:t xml:space="preserve"> </w:t>
      </w:r>
      <w:r>
        <w:rPr>
          <w:rFonts w:ascii="Arial" w:hAnsi="Arial"/>
          <w:color w:val="000000"/>
          <w:sz w:val="20"/>
        </w:rPr>
        <w:t>IPR&amp;D expense was recorded during the three and nine months ended September 30, 2025 and 2024.</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and December 31, 2024, no</w:t>
      </w:r>
      <w:r>
        <w:rPr>
          <w:rFonts w:ascii="Times New Roman" w:hAnsi="Times New Roman"/>
          <w:color w:val="000000"/>
          <w:sz w:val="20"/>
        </w:rPr>
        <w:t xml:space="preserve"> </w:t>
      </w:r>
      <w:r>
        <w:rPr>
          <w:rFonts w:ascii="Arial" w:hAnsi="Arial"/>
          <w:color w:val="000000"/>
          <w:sz w:val="20"/>
        </w:rPr>
        <w:t>milestones had been accrued for any license agreement as the underlying contingencies were not probable or estimable.</w:t>
      </w:r>
    </w:p>
    <w:p>
      <w:pPr>
        <w:pStyle w:val="TextBody"/>
        <w:bidi w:val="0"/>
        <w:spacing w:before="360" w:after="283"/>
        <w:jc w:val="left"/>
        <w:rPr>
          <w:rFonts w:ascii="Arial" w:hAnsi="Arial"/>
          <w:b/>
          <w:color w:val="000000"/>
          <w:sz w:val="20"/>
        </w:rPr>
      </w:pPr>
      <w:r>
        <w:rPr>
          <w:rFonts w:ascii="Arial" w:hAnsi="Arial"/>
          <w:b/>
          <w:color w:val="000000"/>
          <w:sz w:val="20"/>
        </w:rPr>
        <w:t>Note 9.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Holders of the Company's common stock are entitled to one vote for each share held</w:t>
      </w:r>
      <w:r>
        <w:rPr>
          <w:rFonts w:ascii="Times New Roman" w:hAnsi="Times New Roman"/>
          <w:color w:val="000000"/>
          <w:sz w:val="20"/>
        </w:rPr>
        <w:t xml:space="preserve"> </w:t>
      </w:r>
      <w:r>
        <w:rPr>
          <w:rFonts w:ascii="Arial" w:hAnsi="Arial"/>
          <w:color w:val="000000"/>
          <w:sz w:val="20"/>
        </w:rPr>
        <w:t>on the applicable record date with respect to all matters submitted to a vote of stockholders, including the election of directors, and do not have cumulative voting rights. Common stockholders are entitled to receive dividends, as may be declared by the Company’s board of directors. As of September 30, 2025, no</w:t>
      </w:r>
      <w:r>
        <w:rPr>
          <w:rFonts w:ascii="Times New Roman" w:hAnsi="Times New Roman"/>
          <w:color w:val="000000"/>
          <w:sz w:val="20"/>
        </w:rPr>
        <w:t xml:space="preserve"> </w:t>
      </w:r>
      <w:r>
        <w:rPr>
          <w:rFonts w:ascii="Arial" w:hAnsi="Arial"/>
          <w:color w:val="000000"/>
          <w:sz w:val="20"/>
        </w:rPr>
        <w:t>dividends had been declared.</w:t>
      </w:r>
    </w:p>
    <w:p>
      <w:pPr>
        <w:pStyle w:val="TextBody"/>
        <w:bidi w:val="0"/>
        <w:spacing w:before="360" w:after="283"/>
        <w:jc w:val="left"/>
        <w:rPr>
          <w:rFonts w:ascii="Arial" w:hAnsi="Arial"/>
          <w:b/>
          <w:color w:val="000000"/>
          <w:sz w:val="20"/>
        </w:rPr>
      </w:pPr>
      <w:r>
        <w:rPr>
          <w:rFonts w:ascii="Arial" w:hAnsi="Arial"/>
          <w:b/>
          <w:color w:val="000000"/>
          <w:sz w:val="20"/>
        </w:rPr>
        <w:t>Common stock reserved for future issuance</w:t>
      </w:r>
    </w:p>
    <w:p>
      <w:pPr>
        <w:pStyle w:val="TextBody"/>
        <w:bidi w:val="0"/>
        <w:jc w:val="left"/>
        <w:rPr>
          <w:rFonts w:ascii="Arial" w:hAnsi="Arial"/>
          <w:color w:val="000000"/>
          <w:sz w:val="20"/>
        </w:rPr>
      </w:pPr>
      <w:r>
        <w:rPr>
          <w:rFonts w:ascii="Arial" w:hAnsi="Arial"/>
          <w:color w:val="000000"/>
          <w:sz w:val="20"/>
        </w:rPr>
        <w:t>Common stock reserved for future issuance consisted of the following as of September 30, 2025 and December 31, 2024:</w:t>
      </w:r>
    </w:p>
    <w:p>
      <w:pPr>
        <w:pStyle w:val="TextBody"/>
        <w:bidi w:val="0"/>
        <w:jc w:val="left"/>
        <w:rPr/>
      </w:pPr>
      <w:r>
        <w:rPr/>
        <w:t> </w:t>
      </w:r>
    </w:p>
    <w:tbl>
      <w:tblPr>
        <w:tblW w:w="7595" w:type="dxa"/>
        <w:jc w:val="left"/>
        <w:tblInd w:w="0" w:type="dxa"/>
        <w:tblLayout w:type="fixed"/>
        <w:tblCellMar>
          <w:top w:w="28" w:type="dxa"/>
          <w:left w:w="28" w:type="dxa"/>
          <w:bottom w:w="28" w:type="dxa"/>
          <w:right w:w="28" w:type="dxa"/>
        </w:tblCellMar>
      </w:tblPr>
      <w:tblGrid>
        <w:gridCol w:w="4171"/>
        <w:gridCol w:w="146"/>
        <w:gridCol w:w="162"/>
        <w:gridCol w:w="1188"/>
        <w:gridCol w:w="146"/>
        <w:gridCol w:w="146"/>
        <w:gridCol w:w="157"/>
        <w:gridCol w:w="1148"/>
        <w:gridCol w:w="33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7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33,910,721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Awards available for future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13,438,225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13,265,858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purchase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4,081,044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1,569,952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171" w:type="dxa"/>
            <w:tcBorders>
              <w:bottom w:val="double" w:sz="6" w:space="0" w:color="FFFFFF"/>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65,246,170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48,746,531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Arial" w:hAnsi="Arial"/>
          <w:b/>
          <w:color w:val="000000"/>
          <w:sz w:val="20"/>
        </w:rPr>
        <w:t>ATM offerings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2022, the Company entered into an Open Market Sale Agreement (the Sale Agreement) with Jefferies LLC (the Agent), pursuant to which the Company could offer and sell shares of its common stock having an aggregate offering price of up to $200</w:t>
      </w:r>
      <w:r>
        <w:rPr>
          <w:rFonts w:ascii="Times New Roman" w:hAnsi="Times New Roman"/>
          <w:color w:val="000000"/>
          <w:sz w:val="20"/>
        </w:rPr>
        <w:t xml:space="preserve"> </w:t>
      </w:r>
      <w:r>
        <w:rPr>
          <w:rFonts w:ascii="Arial" w:hAnsi="Arial"/>
          <w:color w:val="000000"/>
          <w:sz w:val="20"/>
        </w:rPr>
        <w:t>million from time to time, in an “at-the-market offering” (ATM Offering) through the Agent. Sales of the shares of common stock were made at prevailing market prices at the time of sale, or as otherwise agreed with the Agent. Pursuant to the Sale Agreement, the Agent received a commission from the Company of up to 3.0% of the gross proceeds of shares of common stock sold under the Sale Agreement. During the three and nine months ended September 30, 2024, the Company sold 9,231,114</w:t>
      </w:r>
      <w:r>
        <w:rPr>
          <w:rFonts w:ascii="Times New Roman" w:hAnsi="Times New Roman"/>
          <w:color w:val="000000"/>
          <w:sz w:val="20"/>
        </w:rPr>
        <w:t xml:space="preserve"> </w:t>
      </w:r>
      <w:r>
        <w:rPr>
          <w:rFonts w:ascii="Arial" w:hAnsi="Arial"/>
          <w:color w:val="000000"/>
          <w:sz w:val="20"/>
        </w:rPr>
        <w:t>shares of common stock at a weighted-average price of $2.37</w:t>
      </w:r>
      <w:r>
        <w:rPr>
          <w:rFonts w:ascii="Times New Roman" w:hAnsi="Times New Roman"/>
          <w:color w:val="000000"/>
          <w:sz w:val="20"/>
        </w:rPr>
        <w:t xml:space="preserve"> </w:t>
      </w:r>
      <w:r>
        <w:rPr>
          <w:rFonts w:ascii="Arial" w:hAnsi="Arial"/>
          <w:color w:val="000000"/>
          <w:sz w:val="20"/>
        </w:rPr>
        <w:t>per share under the Sale Agreement with the Agent. Proceeds from the ATM Offerings during the three and nine months ended September 30, 2024 were $21.0</w:t>
      </w:r>
      <w:r>
        <w:rPr>
          <w:rFonts w:ascii="Times New Roman" w:hAnsi="Times New Roman"/>
          <w:color w:val="000000"/>
          <w:sz w:val="20"/>
        </w:rPr>
        <w:t xml:space="preserve"> </w:t>
      </w:r>
      <w:r>
        <w:rPr>
          <w:rFonts w:ascii="Arial" w:hAnsi="Arial"/>
          <w:color w:val="000000"/>
          <w:sz w:val="20"/>
        </w:rPr>
        <w:t>million, net of commissions and expenses of $847,000.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August 2025, the Company entered into an Amended and Restated Open Market Sale Agreement (the 2025 Sale Agreement) with the Agent, pursuant to which the Company may offer and sell shares of the Company’s common stock having an aggregate offering price of up to $200</w:t>
      </w:r>
      <w:r>
        <w:rPr>
          <w:rFonts w:ascii="Times New Roman" w:hAnsi="Times New Roman"/>
          <w:color w:val="000000"/>
          <w:sz w:val="20"/>
        </w:rPr>
        <w:t xml:space="preserve"> </w:t>
      </w:r>
      <w:r>
        <w:rPr>
          <w:rFonts w:ascii="Arial" w:hAnsi="Arial"/>
          <w:color w:val="000000"/>
          <w:sz w:val="20"/>
        </w:rPr>
        <w:t>million from time to time, in ATM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2025 Sale Agreement. During the three and nine months ended September 30, 2025, the Company did not sell any shares of common stock under the 2025 Sale Agreement.</w:t>
      </w:r>
    </w:p>
    <w:p>
      <w:pPr>
        <w:pStyle w:val="TextBody"/>
        <w:bidi w:val="0"/>
        <w:spacing w:before="360" w:after="283"/>
        <w:jc w:val="left"/>
        <w:rPr>
          <w:rFonts w:ascii="Times New Roman" w:hAnsi="Times New Roman"/>
          <w:sz w:val="20"/>
        </w:rPr>
      </w:pPr>
      <w:r>
        <w:rPr>
          <w:rFonts w:ascii="Arial" w:hAnsi="Arial"/>
          <w:b/>
          <w:color w:val="000000"/>
          <w:sz w:val="20"/>
        </w:rPr>
        <w:t>2024 underwritten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the Company completed the sale and issuance of 99,459,458</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12,972,972</w:t>
      </w:r>
      <w:r>
        <w:rPr>
          <w:rFonts w:ascii="Times New Roman" w:hAnsi="Times New Roman"/>
          <w:color w:val="000000"/>
          <w:sz w:val="20"/>
        </w:rPr>
        <w:t xml:space="preserve"> </w:t>
      </w:r>
      <w:r>
        <w:rPr>
          <w:rFonts w:ascii="Arial" w:hAnsi="Arial"/>
          <w:color w:val="000000"/>
          <w:sz w:val="20"/>
        </w:rPr>
        <w:t>shares of its common stock, at a price to the public of $1.85</w:t>
      </w:r>
      <w:r>
        <w:rPr>
          <w:rFonts w:ascii="Times New Roman" w:hAnsi="Times New Roman"/>
          <w:color w:val="000000"/>
          <w:sz w:val="20"/>
        </w:rPr>
        <w:t xml:space="preserve"> </w:t>
      </w:r>
      <w:r>
        <w:rPr>
          <w:rFonts w:ascii="Arial" w:hAnsi="Arial"/>
          <w:color w:val="000000"/>
          <w:sz w:val="20"/>
        </w:rPr>
        <w:t>per share (the 2024 Offering). Proceeds from the 2024 Offering were $174.4</w:t>
      </w:r>
      <w:r>
        <w:rPr>
          <w:rFonts w:ascii="Times New Roman" w:hAnsi="Times New Roman"/>
          <w:color w:val="000000"/>
          <w:sz w:val="20"/>
        </w:rPr>
        <w:t xml:space="preserve"> </w:t>
      </w:r>
      <w:r>
        <w:rPr>
          <w:rFonts w:ascii="Arial" w:hAnsi="Arial"/>
          <w:color w:val="000000"/>
          <w:sz w:val="20"/>
        </w:rPr>
        <w:t>million, net of underwriting discounts and commissions and offering costs of $9.6</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2024 private placement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March 2024, the Company entered into a stock purchase agreement with the purchasers named therein for the private placement of 21,844,660</w:t>
      </w:r>
      <w:r>
        <w:rPr>
          <w:rFonts w:ascii="Times New Roman" w:hAnsi="Times New Roman"/>
          <w:color w:val="000000"/>
          <w:sz w:val="20"/>
        </w:rPr>
        <w:t xml:space="preserve"> </w:t>
      </w:r>
      <w:r>
        <w:rPr>
          <w:rFonts w:ascii="Arial" w:hAnsi="Arial"/>
          <w:color w:val="000000"/>
          <w:sz w:val="20"/>
        </w:rPr>
        <w:t>shares of its common stock at a price of $2.06</w:t>
      </w:r>
      <w:r>
        <w:rPr>
          <w:rFonts w:ascii="Times New Roman" w:hAnsi="Times New Roman"/>
          <w:color w:val="000000"/>
          <w:sz w:val="20"/>
        </w:rPr>
        <w:t xml:space="preserve"> </w:t>
      </w:r>
      <w:r>
        <w:rPr>
          <w:rFonts w:ascii="Arial" w:hAnsi="Arial"/>
          <w:color w:val="000000"/>
          <w:sz w:val="20"/>
        </w:rPr>
        <w:t>per share, which closed on April 2, 2024 (the 2024 Private Placement). Proceeds from the 2024 Private Placement were $43.6</w:t>
      </w:r>
      <w:r>
        <w:rPr>
          <w:rFonts w:ascii="Times New Roman" w:hAnsi="Times New Roman"/>
          <w:color w:val="000000"/>
          <w:sz w:val="20"/>
        </w:rPr>
        <w:t xml:space="preserve"> </w:t>
      </w:r>
      <w:r>
        <w:rPr>
          <w:rFonts w:ascii="Arial" w:hAnsi="Arial"/>
          <w:color w:val="000000"/>
          <w:sz w:val="20"/>
        </w:rPr>
        <w:t>million, after deducting placement agent fees and expenses of approximately $1.4</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left"/>
        <w:rPr>
          <w:rFonts w:ascii="Times New Roman" w:hAnsi="Times New Roman"/>
          <w:sz w:val="20"/>
        </w:rPr>
      </w:pPr>
      <w:r>
        <w:rPr>
          <w:rFonts w:ascii="Arial" w:hAnsi="Arial"/>
          <w:b/>
          <w:color w:val="000000"/>
          <w:sz w:val="20"/>
        </w:rPr>
        <w:t>Note 10. 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non-entity consultants of the Company. A total of 15,150,000</w:t>
      </w:r>
      <w:r>
        <w:rPr>
          <w:rFonts w:ascii="Times New Roman" w:hAnsi="Times New Roman"/>
          <w:color w:val="000000"/>
          <w:sz w:val="20"/>
        </w:rPr>
        <w:t xml:space="preserve"> </w:t>
      </w:r>
      <w:r>
        <w:rPr>
          <w:rFonts w:ascii="Arial" w:hAnsi="Arial"/>
          <w:color w:val="000000"/>
          <w:sz w:val="20"/>
        </w:rPr>
        <w:t>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September 30, 2025, there were 13,438,225</w:t>
      </w:r>
      <w:r>
        <w:rPr>
          <w:rFonts w:ascii="Times New Roman" w:hAnsi="Times New Roman"/>
          <w:color w:val="000000"/>
          <w:sz w:val="20"/>
        </w:rPr>
        <w:t xml:space="preserve"> </w:t>
      </w:r>
      <w:r>
        <w:rPr>
          <w:rFonts w:ascii="Arial" w:hAnsi="Arial"/>
          <w:color w:val="000000"/>
          <w:sz w:val="20"/>
        </w:rPr>
        <w:t>stock-based awards available for future grant under the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Subsequent to July 2021, no</w:t>
      </w:r>
      <w:r>
        <w:rPr>
          <w:rFonts w:ascii="Times New Roman" w:hAnsi="Times New Roman"/>
          <w:color w:val="000000"/>
          <w:sz w:val="20"/>
        </w:rPr>
        <w:t xml:space="preserve"> </w:t>
      </w:r>
      <w:r>
        <w:rPr>
          <w:rFonts w:ascii="Arial" w:hAnsi="Arial"/>
          <w:color w:val="000000"/>
          <w:sz w:val="20"/>
        </w:rPr>
        <w:t>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Options granted are exercisable at various dates as determined upon grant and will expire no more than ten years</w:t>
      </w:r>
      <w:r>
        <w:rPr>
          <w:rFonts w:ascii="Times New Roman" w:hAnsi="Times New Roman"/>
          <w:color w:val="000000"/>
          <w:sz w:val="20"/>
        </w:rPr>
        <w:t xml:space="preserve"> </w:t>
      </w:r>
      <w:r>
        <w:rPr>
          <w:rFonts w:ascii="Arial" w:hAnsi="Arial"/>
          <w:color w:val="000000"/>
          <w:sz w:val="20"/>
        </w:rPr>
        <w:t>from their date of grant. Stock options generally vest over a four-year</w:t>
      </w:r>
      <w:r>
        <w:rPr>
          <w:rFonts w:ascii="Times New Roman" w:hAnsi="Times New Roman"/>
          <w:color w:val="000000"/>
          <w:sz w:val="20"/>
        </w:rPr>
        <w:t xml:space="preserve"> </w:t>
      </w:r>
      <w:r>
        <w:rPr>
          <w:rFonts w:ascii="Arial" w:hAnsi="Arial"/>
          <w:color w:val="000000"/>
          <w:sz w:val="20"/>
        </w:rPr>
        <w:t>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pStyle w:val="TextBody"/>
        <w:bidi w:val="0"/>
        <w:spacing w:before="360" w:after="283"/>
        <w:jc w:val="left"/>
        <w:rPr>
          <w:rFonts w:ascii="Arial" w:hAnsi="Arial"/>
          <w:b/>
          <w:color w:val="000000"/>
          <w:sz w:val="20"/>
        </w:rPr>
      </w:pPr>
      <w:r>
        <w:rPr>
          <w:rFonts w:ascii="Arial" w:hAnsi="Arial"/>
          <w:b/>
          <w:color w:val="000000"/>
          <w:sz w:val="20"/>
        </w:rPr>
        <w:t>Stock options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summary of the Company’s stock option activity under the 2021 Plan and 2018 Plan is as follows (in thousands, except share and per share data and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8"/>
        <w:gridCol w:w="146"/>
        <w:gridCol w:w="146"/>
        <w:gridCol w:w="1066"/>
        <w:gridCol w:w="166"/>
        <w:gridCol w:w="146"/>
        <w:gridCol w:w="399"/>
        <w:gridCol w:w="914"/>
        <w:gridCol w:w="146"/>
        <w:gridCol w:w="146"/>
        <w:gridCol w:w="392"/>
        <w:gridCol w:w="1288"/>
        <w:gridCol w:w="146"/>
        <w:gridCol w:w="146"/>
        <w:gridCol w:w="235"/>
        <w:gridCol w:w="771"/>
        <w:gridCol w:w="194"/>
      </w:tblGrid>
      <w:tr>
        <w:trPr/>
        <w:tc>
          <w:tcPr>
            <w:tcW w:w="3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intrinsic</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8"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33,910,721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12,989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September 30, 2025</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47,726,901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8"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 at September 30, 2025</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24,444,507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color w:val="000000"/>
          <w:sz w:val="20"/>
        </w:rPr>
        <w:t>The weighted-average grant date fair value of options granted for the three and nine months ended September 30, 2025 was $0.98</w:t>
      </w:r>
      <w:r>
        <w:rPr>
          <w:rFonts w:ascii="Times New Roman" w:hAnsi="Times New Roman"/>
          <w:color w:val="000000"/>
          <w:sz w:val="20"/>
        </w:rPr>
        <w:t xml:space="preserve"> </w:t>
      </w:r>
      <w:r>
        <w:rPr>
          <w:rFonts w:ascii="Arial" w:hAnsi="Arial"/>
          <w:color w:val="000000"/>
          <w:sz w:val="20"/>
        </w:rPr>
        <w:t>and $1.24, respectively, and for the three and nine months ended September 30, 2024 was $1.86</w:t>
      </w:r>
      <w:r>
        <w:rPr>
          <w:rFonts w:ascii="Times New Roman" w:hAnsi="Times New Roman"/>
          <w:color w:val="000000"/>
          <w:sz w:val="20"/>
        </w:rPr>
        <w:t xml:space="preserve"> </w:t>
      </w:r>
      <w:r>
        <w:rPr>
          <w:rFonts w:ascii="Arial" w:hAnsi="Arial"/>
          <w:color w:val="000000"/>
          <w:sz w:val="20"/>
        </w:rPr>
        <w:t>and $1.29, respectively. As of September 30, 2025, the unrecognized compensation cost related to unvested stock option grants was $35.2</w:t>
      </w:r>
      <w:r>
        <w:rPr>
          <w:rFonts w:ascii="Times New Roman" w:hAnsi="Times New Roman"/>
          <w:color w:val="000000"/>
          <w:sz w:val="20"/>
        </w:rPr>
        <w:t xml:space="preserve"> </w:t>
      </w:r>
      <w:r>
        <w:rPr>
          <w:rFonts w:ascii="Arial" w:hAnsi="Arial"/>
          <w:color w:val="000000"/>
          <w:sz w:val="20"/>
        </w:rPr>
        <w:t>million and is expected to be recognized as expense over approximately 2.55</w:t>
      </w:r>
      <w:r>
        <w:rPr>
          <w:rFonts w:ascii="Times New Roman" w:hAnsi="Times New Roman"/>
          <w:color w:val="000000"/>
          <w:sz w:val="20"/>
        </w:rPr>
        <w:t xml:space="preserve"> </w:t>
      </w:r>
      <w:r>
        <w:rPr>
          <w:rFonts w:ascii="Arial" w:hAnsi="Arial"/>
          <w:color w:val="000000"/>
          <w:sz w:val="20"/>
        </w:rPr>
        <w:t>years. The intrinsic value of the options exercised for the three and nine months ended September 30, 2025 was $52,000</w:t>
      </w:r>
      <w:r>
        <w:rPr>
          <w:rFonts w:ascii="Times New Roman" w:hAnsi="Times New Roman"/>
          <w:color w:val="000000"/>
          <w:sz w:val="20"/>
        </w:rPr>
        <w:t xml:space="preserve"> </w:t>
      </w:r>
      <w:r>
        <w:rPr>
          <w:rFonts w:ascii="Arial" w:hAnsi="Arial"/>
          <w:color w:val="000000"/>
          <w:sz w:val="20"/>
        </w:rPr>
        <w:t>and $185,000, respectively. The intrinsic value of the options exercised for the three and nine months ended September 30, 2024 was $535,000</w:t>
      </w:r>
      <w:r>
        <w:rPr>
          <w:rFonts w:ascii="Times New Roman" w:hAnsi="Times New Roman"/>
          <w:color w:val="000000"/>
          <w:sz w:val="20"/>
        </w:rPr>
        <w:t xml:space="preserve"> </w:t>
      </w:r>
      <w:r>
        <w:rPr>
          <w:rFonts w:ascii="Arial" w:hAnsi="Arial"/>
          <w:color w:val="000000"/>
          <w:sz w:val="20"/>
        </w:rPr>
        <w:t>and $705,000,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assumptions used in the Black-Scholes option pricing model to determine the fair value of the employee and nonemployee stock option grants were as follows:</w:t>
      </w:r>
    </w:p>
    <w:p>
      <w:pPr>
        <w:pStyle w:val="TextBody"/>
        <w:bidi w:val="0"/>
        <w:jc w:val="left"/>
        <w:rPr/>
      </w:pPr>
      <w:r>
        <w:rPr/>
        <w:t> </w:t>
      </w:r>
    </w:p>
    <w:tbl>
      <w:tblPr>
        <w:tblW w:w="8870" w:type="dxa"/>
        <w:jc w:val="left"/>
        <w:tblInd w:w="0" w:type="dxa"/>
        <w:tblLayout w:type="fixed"/>
        <w:tblCellMar>
          <w:top w:w="28" w:type="dxa"/>
          <w:left w:w="28" w:type="dxa"/>
          <w:bottom w:w="28" w:type="dxa"/>
          <w:right w:w="28" w:type="dxa"/>
        </w:tblCellMar>
      </w:tblPr>
      <w:tblGrid>
        <w:gridCol w:w="2266"/>
        <w:gridCol w:w="146"/>
        <w:gridCol w:w="1501"/>
        <w:gridCol w:w="147"/>
        <w:gridCol w:w="1501"/>
        <w:gridCol w:w="146"/>
        <w:gridCol w:w="1486"/>
        <w:gridCol w:w="146"/>
        <w:gridCol w:w="15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r>
      <w:tr>
        <w:trPr/>
        <w:tc>
          <w:tcPr>
            <w:tcW w:w="22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7"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3.94%-4.07%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3.69%-4.45%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3.94%-4.43%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3.69%-4.64%</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81.43%-81.50%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81.57%-81.64%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79.48%-82.36%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81.57%-83.91%</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6.03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6.02-6.07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5.28-6.08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5.28-6.08</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spacing w:before="360" w:after="283"/>
        <w:jc w:val="left"/>
        <w:rPr>
          <w:rFonts w:ascii="Times New Roman" w:hAnsi="Times New Roman"/>
          <w:sz w:val="20"/>
        </w:rPr>
      </w:pPr>
      <w:r>
        <w:rPr>
          <w:rFonts w:ascii="Arial" w:hAnsi="Arial"/>
          <w:color w:val="000000"/>
          <w:sz w:val="20"/>
        </w:rPr>
        <w:t>Effective May 21, 2024, and in accordance with the terms of the 2021 Plan, the Company's board of directors approved a stock option repricing (the Option Repricing) whereby the exercise price of each Repriced Option (as defined below) was reduced to $2.35</w:t>
      </w:r>
      <w:r>
        <w:rPr>
          <w:rFonts w:ascii="Times New Roman" w:hAnsi="Times New Roman"/>
          <w:color w:val="000000"/>
          <w:sz w:val="20"/>
        </w:rPr>
        <w:t xml:space="preserve"> </w:t>
      </w:r>
      <w:r>
        <w:rPr>
          <w:rFonts w:ascii="Arial" w:hAnsi="Arial"/>
          <w:color w:val="000000"/>
          <w:sz w:val="20"/>
        </w:rPr>
        <w:t>per share, the closing stock price on May 21, 2024. For purposes of the Option Repricing, “Repriced Options” are 7,478,918</w:t>
      </w:r>
      <w:r>
        <w:rPr>
          <w:rFonts w:ascii="Times New Roman" w:hAnsi="Times New Roman"/>
          <w:color w:val="000000"/>
          <w:sz w:val="20"/>
        </w:rPr>
        <w:t xml:space="preserve"> </w:t>
      </w:r>
      <w:r>
        <w:rPr>
          <w:rFonts w:ascii="Arial" w:hAnsi="Arial"/>
          <w:color w:val="000000"/>
          <w:sz w:val="20"/>
        </w:rPr>
        <w:t>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general counsel) and the Company's board of directors.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To the extent a Repriced Option is exercised prior to the Premium End Date (as defined below), the eligible employee will be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will retain their existing terms and conditions as set forth in the 2021 Plan and the applicable award agreements. All repriced options will retain their original vesting schedule.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Option Repricing resulted in $1.1</w:t>
      </w:r>
      <w:r>
        <w:rPr>
          <w:rFonts w:ascii="Times New Roman" w:hAnsi="Times New Roman"/>
          <w:color w:val="000000"/>
          <w:sz w:val="20"/>
        </w:rPr>
        <w:t xml:space="preserve"> </w:t>
      </w:r>
      <w:r>
        <w:rPr>
          <w:rFonts w:ascii="Arial" w:hAnsi="Arial"/>
          <w:color w:val="000000"/>
          <w:sz w:val="20"/>
        </w:rPr>
        <w:t>million of incremental cost, which was calculated using the Black-Scholes option pricing model, of which $559,000</w:t>
      </w:r>
      <w:r>
        <w:rPr>
          <w:rFonts w:ascii="Times New Roman" w:hAnsi="Times New Roman"/>
          <w:color w:val="000000"/>
          <w:sz w:val="20"/>
        </w:rPr>
        <w:t xml:space="preserve"> </w:t>
      </w:r>
      <w:r>
        <w:rPr>
          <w:rFonts w:ascii="Arial" w:hAnsi="Arial"/>
          <w:color w:val="000000"/>
          <w:sz w:val="20"/>
        </w:rPr>
        <w:t>of the incremental cost will be recognized on a straight-line basis through the Premium End Date, and $558,000</w:t>
      </w:r>
      <w:r>
        <w:rPr>
          <w:rFonts w:ascii="Times New Roman" w:hAnsi="Times New Roman"/>
          <w:color w:val="000000"/>
          <w:sz w:val="20"/>
        </w:rPr>
        <w:t xml:space="preserve"> </w:t>
      </w:r>
      <w:r>
        <w:rPr>
          <w:rFonts w:ascii="Arial" w:hAnsi="Arial"/>
          <w:color w:val="000000"/>
          <w:sz w:val="20"/>
        </w:rPr>
        <w:t>of the incremental cost will be recognized on a straight-line basis over the greater of the period through the Premium End Date or the remaining service period. The incremental cost is included in general and administrative expense and research and development expense on the condensed consolidated statements of operations and comprehensive loss.</w:t>
      </w:r>
    </w:p>
    <w:p>
      <w:pPr>
        <w:pStyle w:val="TextBody"/>
        <w:bidi w:val="0"/>
        <w:spacing w:before="360" w:after="283"/>
        <w:jc w:val="left"/>
        <w:rPr>
          <w:rFonts w:ascii="Arial" w:hAnsi="Arial"/>
          <w:b/>
          <w:color w:val="000000"/>
          <w:sz w:val="20"/>
        </w:rPr>
      </w:pPr>
      <w:r>
        <w:rPr>
          <w:rFonts w:ascii="Arial" w:hAnsi="Arial"/>
          <w:b/>
          <w:color w:val="000000"/>
          <w:sz w:val="20"/>
        </w:rPr>
        <w:t>Employee stock purchase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the Company’s board of directors adopted and the Company’s stockholders approved the Company's 2021 Employee Stock Purchase Plan (the ESPP), which became effective in connection with the IPO. The ESPP permits participants to contribute up to a specified percentage of their eligible compensation during a series of offering periods of 24 months, each comprised of four six-month</w:t>
      </w:r>
      <w:r>
        <w:rPr>
          <w:rFonts w:ascii="Times New Roman" w:hAnsi="Times New Roman"/>
          <w:color w:val="000000"/>
          <w:sz w:val="20"/>
        </w:rPr>
        <w:t xml:space="preserve"> </w:t>
      </w:r>
      <w:r>
        <w:rPr>
          <w:rFonts w:ascii="Arial" w:hAnsi="Arial"/>
          <w:color w:val="000000"/>
          <w:sz w:val="20"/>
        </w:rPr>
        <w:t>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w:t>
      </w:r>
      <w:r>
        <w:rPr>
          <w:rFonts w:ascii="Times New Roman" w:hAnsi="Times New Roman"/>
          <w:color w:val="000000"/>
          <w:sz w:val="20"/>
        </w:rPr>
        <w:t xml:space="preserve"> </w:t>
      </w:r>
      <w:r>
        <w:rPr>
          <w:rFonts w:ascii="Arial" w:hAnsi="Arial"/>
          <w:color w:val="000000"/>
          <w:sz w:val="20"/>
        </w:rPr>
        <w:t>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recognized stock-based compensation expense related to the ESPP of $125,000</w:t>
      </w:r>
      <w:r>
        <w:rPr>
          <w:rFonts w:ascii="Times New Roman" w:hAnsi="Times New Roman"/>
          <w:color w:val="000000"/>
          <w:sz w:val="20"/>
        </w:rPr>
        <w:t xml:space="preserve"> </w:t>
      </w:r>
      <w:r>
        <w:rPr>
          <w:rFonts w:ascii="Arial" w:hAnsi="Arial"/>
          <w:color w:val="000000"/>
          <w:sz w:val="20"/>
        </w:rPr>
        <w:t>and $586,000</w:t>
      </w:r>
      <w:r>
        <w:rPr>
          <w:rFonts w:ascii="Times New Roman" w:hAnsi="Times New Roman"/>
          <w:color w:val="000000"/>
          <w:sz w:val="20"/>
        </w:rPr>
        <w:t xml:space="preserve"> </w:t>
      </w:r>
      <w:r>
        <w:rPr>
          <w:rFonts w:ascii="Arial" w:hAnsi="Arial"/>
          <w:color w:val="000000"/>
          <w:sz w:val="20"/>
        </w:rPr>
        <w:t>during the three and nine months ended September 30, 2025, respectively, and $156,000</w:t>
      </w:r>
      <w:r>
        <w:rPr>
          <w:rFonts w:ascii="Times New Roman" w:hAnsi="Times New Roman"/>
          <w:color w:val="000000"/>
          <w:sz w:val="20"/>
        </w:rPr>
        <w:t xml:space="preserve"> </w:t>
      </w:r>
      <w:r>
        <w:rPr>
          <w:rFonts w:ascii="Arial" w:hAnsi="Arial"/>
          <w:color w:val="000000"/>
          <w:sz w:val="20"/>
        </w:rPr>
        <w:t>and $600,000</w:t>
      </w:r>
      <w:r>
        <w:rPr>
          <w:rFonts w:ascii="Times New Roman" w:hAnsi="Times New Roman"/>
          <w:color w:val="000000"/>
          <w:sz w:val="20"/>
        </w:rPr>
        <w:t xml:space="preserve"> </w:t>
      </w:r>
      <w:r>
        <w:rPr>
          <w:rFonts w:ascii="Arial" w:hAnsi="Arial"/>
          <w:color w:val="000000"/>
          <w:sz w:val="20"/>
        </w:rPr>
        <w:t>during the three and nine months ended September 30, 2024, respectively. As of September 30, 2025, the unrecognized compensation cost related to the ESPP was $1.0</w:t>
      </w:r>
      <w:r>
        <w:rPr>
          <w:rFonts w:ascii="Times New Roman" w:hAnsi="Times New Roman"/>
          <w:color w:val="000000"/>
          <w:sz w:val="20"/>
        </w:rPr>
        <w:t xml:space="preserve"> </w:t>
      </w:r>
      <w:r>
        <w:rPr>
          <w:rFonts w:ascii="Arial" w:hAnsi="Arial"/>
          <w:color w:val="000000"/>
          <w:sz w:val="20"/>
        </w:rPr>
        <w:t>million and is expected to be recognized as expense over approximately 1.71</w:t>
      </w:r>
      <w:r>
        <w:rPr>
          <w:rFonts w:ascii="Times New Roman" w:hAnsi="Times New Roman"/>
          <w:color w:val="000000"/>
          <w:sz w:val="20"/>
        </w:rPr>
        <w:t xml:space="preserve"> </w:t>
      </w:r>
      <w:r>
        <w:rPr>
          <w:rFonts w:ascii="Arial" w:hAnsi="Arial"/>
          <w:color w:val="000000"/>
          <w:sz w:val="20"/>
        </w:rPr>
        <w:t>years. As of September 30, 2025 and December 31, 2024, $296,000</w:t>
      </w:r>
      <w:r>
        <w:rPr>
          <w:rFonts w:ascii="Times New Roman" w:hAnsi="Times New Roman"/>
          <w:color w:val="000000"/>
          <w:sz w:val="20"/>
        </w:rPr>
        <w:t xml:space="preserve"> </w:t>
      </w:r>
      <w:r>
        <w:rPr>
          <w:rFonts w:ascii="Arial" w:hAnsi="Arial"/>
          <w:color w:val="000000"/>
          <w:sz w:val="20"/>
        </w:rPr>
        <w:t>and $50,000</w:t>
      </w:r>
      <w:r>
        <w:rPr>
          <w:rFonts w:ascii="Times New Roman" w:hAnsi="Times New Roman"/>
          <w:color w:val="000000"/>
          <w:sz w:val="20"/>
        </w:rPr>
        <w:t xml:space="preserve"> </w:t>
      </w:r>
      <w:r>
        <w:rPr>
          <w:rFonts w:ascii="Arial" w:hAnsi="Arial"/>
          <w:color w:val="000000"/>
          <w:sz w:val="20"/>
        </w:rPr>
        <w:t>has been withheld on behalf of employees for future purchase under the ESPP, respectively, and is included in accrued expenses and other current liabilities on the condensed consolidated balance sheets. The Company issued and sold zero</w:t>
      </w:r>
      <w:r>
        <w:rPr>
          <w:rFonts w:ascii="Times New Roman" w:hAnsi="Times New Roman"/>
          <w:color w:val="000000"/>
          <w:sz w:val="20"/>
        </w:rPr>
        <w:t xml:space="preserve"> </w:t>
      </w:r>
      <w:r>
        <w:rPr>
          <w:rFonts w:ascii="Arial" w:hAnsi="Arial"/>
          <w:color w:val="000000"/>
          <w:sz w:val="20"/>
        </w:rPr>
        <w:t>and 321,091</w:t>
      </w:r>
      <w:r>
        <w:rPr>
          <w:rFonts w:ascii="Times New Roman" w:hAnsi="Times New Roman"/>
          <w:color w:val="000000"/>
          <w:sz w:val="20"/>
        </w:rPr>
        <w:t xml:space="preserve"> </w:t>
      </w:r>
      <w:r>
        <w:rPr>
          <w:rFonts w:ascii="Arial" w:hAnsi="Arial"/>
          <w:color w:val="000000"/>
          <w:sz w:val="20"/>
        </w:rPr>
        <w:t>shares under the ESPP during the three and nine months ended September 30, 2025, respectively, and zero</w:t>
      </w:r>
      <w:r>
        <w:rPr>
          <w:rFonts w:ascii="Times New Roman" w:hAnsi="Times New Roman"/>
          <w:color w:val="000000"/>
          <w:sz w:val="20"/>
        </w:rPr>
        <w:t xml:space="preserve"> </w:t>
      </w:r>
      <w:r>
        <w:rPr>
          <w:rFonts w:ascii="Arial" w:hAnsi="Arial"/>
          <w:color w:val="000000"/>
          <w:sz w:val="20"/>
        </w:rPr>
        <w:t>and 252,444</w:t>
      </w:r>
      <w:r>
        <w:rPr>
          <w:rFonts w:ascii="Times New Roman" w:hAnsi="Times New Roman"/>
          <w:color w:val="000000"/>
          <w:sz w:val="20"/>
        </w:rPr>
        <w:t xml:space="preserve"> </w:t>
      </w:r>
      <w:r>
        <w:rPr>
          <w:rFonts w:ascii="Arial" w:hAnsi="Arial"/>
          <w:color w:val="000000"/>
          <w:sz w:val="20"/>
        </w:rPr>
        <w:t>shares under the ESPP during the three and nine months ended September 30, 2024,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assumptions used in the Black-Scholes option pricing model to determine the fair value of the stock to be purchased under the ESPP were as follows:</w:t>
      </w:r>
    </w:p>
    <w:p>
      <w:pPr>
        <w:pStyle w:val="TextBody"/>
        <w:bidi w:val="0"/>
        <w:jc w:val="left"/>
        <w:rPr/>
      </w:pPr>
      <w:r>
        <w:rPr/>
        <w:t> </w:t>
      </w:r>
    </w:p>
    <w:tbl>
      <w:tblPr>
        <w:tblW w:w="8870" w:type="dxa"/>
        <w:jc w:val="left"/>
        <w:tblInd w:w="0" w:type="dxa"/>
        <w:tblLayout w:type="fixed"/>
        <w:tblCellMar>
          <w:top w:w="28" w:type="dxa"/>
          <w:left w:w="28" w:type="dxa"/>
          <w:bottom w:w="28" w:type="dxa"/>
          <w:right w:w="28" w:type="dxa"/>
        </w:tblCellMar>
      </w:tblPr>
      <w:tblGrid>
        <w:gridCol w:w="2266"/>
        <w:gridCol w:w="146"/>
        <w:gridCol w:w="1421"/>
        <w:gridCol w:w="307"/>
        <w:gridCol w:w="1421"/>
        <w:gridCol w:w="146"/>
        <w:gridCol w:w="1486"/>
        <w:gridCol w:w="146"/>
        <w:gridCol w:w="15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r>
      <w:tr>
        <w:trPr/>
        <w:tc>
          <w:tcPr>
            <w:tcW w:w="22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2025</w:t>
            </w:r>
            <w:r>
              <w:rPr>
                <w:rFonts w:ascii="Arial" w:hAnsi="Arial"/>
                <w:b/>
                <w:color w:val="000000"/>
                <w:sz w:val="12"/>
              </w:rPr>
              <w:t>(1)</w:t>
            </w:r>
          </w:p>
        </w:tc>
        <w:tc>
          <w:tcPr>
            <w:tcW w:w="307"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2024</w:t>
            </w:r>
            <w:r>
              <w:rPr>
                <w:rFonts w:ascii="Arial" w:hAnsi="Arial"/>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4.75%-5.39%</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76.13%-92.99%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68.73%-74.72%</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0.49-1.99</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jc w:val="left"/>
        <w:rPr>
          <w:rFonts w:ascii="sans-serif" w:hAnsi="sans-serif"/>
          <w:sz w:val="22"/>
        </w:rPr>
      </w:pPr>
      <w:r>
        <w:rPr>
          <w:rFonts w:ascii="Arial" w:hAnsi="Arial"/>
          <w:color w:val="000000"/>
          <w:sz w:val="16"/>
        </w:rPr>
        <w:t>No</w:t>
      </w:r>
      <w:r>
        <w:rPr>
          <w:rFonts w:ascii="sans-serif" w:hAnsi="sans-serif"/>
          <w:color w:val="000000"/>
          <w:sz w:val="22"/>
        </w:rPr>
        <w:t xml:space="preserve"> </w:t>
      </w:r>
      <w:r>
        <w:rPr>
          <w:rFonts w:ascii="Arial" w:hAnsi="Arial"/>
          <w:color w:val="000000"/>
          <w:sz w:val="16"/>
        </w:rPr>
        <w:t>grants were made under the ESPP during the three months ended September 30, 2025 and 2024.</w:t>
      </w:r>
    </w:p>
    <w:p>
      <w:pPr>
        <w:pStyle w:val="TextBody"/>
        <w:bidi w:val="0"/>
        <w:spacing w:before="360" w:after="283"/>
        <w:jc w:val="left"/>
        <w:rPr>
          <w:rFonts w:ascii="Arial" w:hAnsi="Arial"/>
          <w:b/>
          <w:color w:val="000000"/>
          <w:sz w:val="20"/>
        </w:rPr>
      </w:pPr>
      <w:r>
        <w:rPr>
          <w:rFonts w:ascii="Arial" w:hAnsi="Arial"/>
          <w:b/>
          <w:color w:val="000000"/>
          <w:sz w:val="20"/>
        </w:rPr>
        <w:t>Stock-based compensation expense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allocation of stock-based compensation for all stock awards was as follows (in thousands):</w:t>
      </w:r>
    </w:p>
    <w:p>
      <w:pPr>
        <w:pStyle w:val="TextBody"/>
        <w:bidi w:val="0"/>
        <w:jc w:val="left"/>
        <w:rPr/>
      </w:pPr>
      <w:r>
        <w:rPr/>
        <w:t> </w:t>
      </w:r>
    </w:p>
    <w:tbl>
      <w:tblPr>
        <w:tblW w:w="9312" w:type="dxa"/>
        <w:jc w:val="left"/>
        <w:tblInd w:w="0" w:type="dxa"/>
        <w:tblLayout w:type="fixed"/>
        <w:tblCellMar>
          <w:top w:w="28" w:type="dxa"/>
          <w:left w:w="28" w:type="dxa"/>
          <w:bottom w:w="28" w:type="dxa"/>
          <w:right w:w="28" w:type="dxa"/>
        </w:tblCellMar>
      </w:tblPr>
      <w:tblGrid>
        <w:gridCol w:w="2491"/>
        <w:gridCol w:w="146"/>
        <w:gridCol w:w="352"/>
        <w:gridCol w:w="979"/>
        <w:gridCol w:w="243"/>
        <w:gridCol w:w="243"/>
        <w:gridCol w:w="352"/>
        <w:gridCol w:w="979"/>
        <w:gridCol w:w="146"/>
        <w:gridCol w:w="146"/>
        <w:gridCol w:w="306"/>
        <w:gridCol w:w="1004"/>
        <w:gridCol w:w="212"/>
        <w:gridCol w:w="212"/>
        <w:gridCol w:w="306"/>
        <w:gridCol w:w="1004"/>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3,318</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5,965</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11. Leases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leases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has facility leases for laboratory and office space under non-cancellable and cancellable operating leases with various expiration dates through 2032.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Lease costs were comprised of the following (in thousands):</w:t>
      </w:r>
    </w:p>
    <w:p>
      <w:pPr>
        <w:pStyle w:val="TextBody"/>
        <w:bidi w:val="0"/>
        <w:jc w:val="left"/>
        <w:rPr/>
      </w:pPr>
      <w:r>
        <w:rPr/>
        <w:t> </w:t>
      </w:r>
    </w:p>
    <w:tbl>
      <w:tblPr>
        <w:tblW w:w="8633" w:type="dxa"/>
        <w:jc w:val="left"/>
        <w:tblInd w:w="0" w:type="dxa"/>
        <w:tblLayout w:type="fixed"/>
        <w:tblCellMar>
          <w:top w:w="28" w:type="dxa"/>
          <w:left w:w="28" w:type="dxa"/>
          <w:bottom w:w="28" w:type="dxa"/>
          <w:right w:w="28" w:type="dxa"/>
        </w:tblCellMar>
      </w:tblPr>
      <w:tblGrid>
        <w:gridCol w:w="1921"/>
        <w:gridCol w:w="348"/>
        <w:gridCol w:w="968"/>
        <w:gridCol w:w="274"/>
        <w:gridCol w:w="241"/>
        <w:gridCol w:w="348"/>
        <w:gridCol w:w="968"/>
        <w:gridCol w:w="166"/>
        <w:gridCol w:w="146"/>
        <w:gridCol w:w="326"/>
        <w:gridCol w:w="1000"/>
        <w:gridCol w:w="257"/>
        <w:gridCol w:w="226"/>
        <w:gridCol w:w="326"/>
        <w:gridCol w:w="907"/>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Sublease income</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(2,206</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2,065</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6,453</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paid $4.8</w:t>
      </w:r>
      <w:r>
        <w:rPr>
          <w:rFonts w:ascii="Times New Roman" w:hAnsi="Times New Roman"/>
          <w:color w:val="000000"/>
          <w:sz w:val="20"/>
        </w:rPr>
        <w:t xml:space="preserve"> </w:t>
      </w:r>
      <w:r>
        <w:rPr>
          <w:rFonts w:ascii="Arial" w:hAnsi="Arial"/>
          <w:color w:val="000000"/>
          <w:sz w:val="20"/>
        </w:rPr>
        <w:t>million and $6.1</w:t>
      </w:r>
      <w:r>
        <w:rPr>
          <w:rFonts w:ascii="Times New Roman" w:hAnsi="Times New Roman"/>
          <w:color w:val="000000"/>
          <w:sz w:val="20"/>
        </w:rPr>
        <w:t xml:space="preserve"> </w:t>
      </w:r>
      <w:r>
        <w:rPr>
          <w:rFonts w:ascii="Arial" w:hAnsi="Arial"/>
          <w:color w:val="000000"/>
          <w:sz w:val="20"/>
        </w:rPr>
        <w:t>million in cash for operating leases, net of cash received from subleases, that is included in the operating activities section of the condensed consolidated statements of cash flows for the nine months ended September 30, 2025 and 2024, respectively.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weighted-average remaining lease term and the weighted-average discount rate of the Company’s operating leases were 6.64</w:t>
      </w:r>
      <w:r>
        <w:rPr>
          <w:rFonts w:ascii="Times New Roman" w:hAnsi="Times New Roman"/>
          <w:color w:val="000000"/>
          <w:sz w:val="20"/>
        </w:rPr>
        <w:t xml:space="preserve"> </w:t>
      </w:r>
      <w:r>
        <w:rPr>
          <w:rFonts w:ascii="Arial" w:hAnsi="Arial"/>
          <w:color w:val="000000"/>
          <w:sz w:val="20"/>
        </w:rPr>
        <w:t>years and 8.98%, respectively, at September 30, 2025. The weighted-average remaining lease term and the weighted-average discount rate of the Company’s operating leases were 7.33</w:t>
      </w:r>
      <w:r>
        <w:rPr>
          <w:rFonts w:ascii="Times New Roman" w:hAnsi="Times New Roman"/>
          <w:color w:val="000000"/>
          <w:sz w:val="20"/>
        </w:rPr>
        <w:t xml:space="preserve"> </w:t>
      </w:r>
      <w:r>
        <w:rPr>
          <w:rFonts w:ascii="Arial" w:hAnsi="Arial"/>
          <w:color w:val="000000"/>
          <w:sz w:val="20"/>
        </w:rPr>
        <w:t>years and 8.97%, respectively, at December 31, 2024. The weighted-average remaining lease term does not include any renewal options at the election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lease agreements do not contain any material residual value guarantees or material restrictive covenants.</w:t>
      </w:r>
    </w:p>
    <w:p>
      <w:pPr>
        <w:pStyle w:val="TextBody"/>
        <w:bidi w:val="0"/>
        <w:spacing w:before="360" w:after="283"/>
        <w:jc w:val="left"/>
        <w:rPr>
          <w:rFonts w:ascii="Arial" w:hAnsi="Arial"/>
          <w:b/>
          <w:color w:val="000000"/>
          <w:sz w:val="20"/>
        </w:rPr>
      </w:pPr>
      <w:r>
        <w:rPr>
          <w:rFonts w:ascii="Arial" w:hAnsi="Arial"/>
          <w:b/>
          <w:color w:val="000000"/>
          <w:sz w:val="20"/>
        </w:rPr>
        <w:t>Facility leases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September 2020, the Company entered into a lease agreement for 59,407</w:t>
      </w:r>
      <w:r>
        <w:rPr>
          <w:rFonts w:ascii="Times New Roman" w:hAnsi="Times New Roman"/>
          <w:color w:val="000000"/>
          <w:sz w:val="20"/>
        </w:rPr>
        <w:t xml:space="preserve"> </w:t>
      </w:r>
      <w:r>
        <w:rPr>
          <w:rFonts w:ascii="Arial" w:hAnsi="Arial"/>
          <w:color w:val="000000"/>
          <w:sz w:val="20"/>
        </w:rPr>
        <w:t>square feet of laboratory and office space in San Diego, California, which represented a portion of a new facility that was under construction and which was subsequently amended in March 2021 to expand the rented premises by 18,421</w:t>
      </w:r>
      <w:r>
        <w:rPr>
          <w:rFonts w:ascii="Times New Roman" w:hAnsi="Times New Roman"/>
          <w:color w:val="000000"/>
          <w:sz w:val="20"/>
        </w:rPr>
        <w:t xml:space="preserve"> </w:t>
      </w:r>
      <w:r>
        <w:rPr>
          <w:rFonts w:ascii="Arial" w:hAnsi="Arial"/>
          <w:color w:val="000000"/>
          <w:sz w:val="20"/>
        </w:rPr>
        <w:t>square feet (the 2020 Lease). The construction and design of the asset was the primary responsibility of the lessor. The Company was involved in certain aspects of construction and design for certain interior features and leasehold improvements that is beneficial to the Company to better suit its business needs and intended purpose of the space. The lease is accounted for as an operating lease and commenced in August 2021. In April 2022, the 2020 Lease was modified to amend the rent commencement date from February 2022</w:t>
      </w:r>
      <w:r>
        <w:rPr>
          <w:rFonts w:ascii="Times New Roman" w:hAnsi="Times New Roman"/>
          <w:color w:val="000000"/>
          <w:sz w:val="20"/>
        </w:rPr>
        <w:t xml:space="preserve"> </w:t>
      </w:r>
      <w:r>
        <w:rPr>
          <w:rFonts w:ascii="Arial" w:hAnsi="Arial"/>
          <w:color w:val="000000"/>
          <w:sz w:val="20"/>
        </w:rPr>
        <w:t>to May 2022. The 2020 Lease, as amended, has a term of 10.75</w:t>
      </w:r>
      <w:r>
        <w:rPr>
          <w:rFonts w:ascii="Times New Roman" w:hAnsi="Times New Roman"/>
          <w:color w:val="000000"/>
          <w:sz w:val="20"/>
        </w:rPr>
        <w:t xml:space="preserve"> </w:t>
      </w:r>
      <w:r>
        <w:rPr>
          <w:rFonts w:ascii="Arial" w:hAnsi="Arial"/>
          <w:color w:val="000000"/>
          <w:sz w:val="20"/>
        </w:rPr>
        <w:t>years and includes aggregate monthly payments to the lessor of approximately $51.6</w:t>
      </w:r>
      <w:r>
        <w:rPr>
          <w:rFonts w:ascii="Times New Roman" w:hAnsi="Times New Roman"/>
          <w:color w:val="000000"/>
          <w:sz w:val="20"/>
        </w:rPr>
        <w:t xml:space="preserve"> </w:t>
      </w:r>
      <w:r>
        <w:rPr>
          <w:rFonts w:ascii="Arial" w:hAnsi="Arial"/>
          <w:color w:val="000000"/>
          <w:sz w:val="20"/>
        </w:rPr>
        <w:t>million beginning in May 2023 with a rent escalation clause, and a tenant improvement allowance of approximately $16.8</w:t>
      </w:r>
      <w:r>
        <w:rPr>
          <w:rFonts w:ascii="Times New Roman" w:hAnsi="Times New Roman"/>
          <w:color w:val="000000"/>
          <w:sz w:val="20"/>
        </w:rPr>
        <w:t xml:space="preserve"> </w:t>
      </w:r>
      <w:r>
        <w:rPr>
          <w:rFonts w:ascii="Arial" w:hAnsi="Arial"/>
          <w:color w:val="000000"/>
          <w:sz w:val="20"/>
        </w:rPr>
        <w:t>million. The Company is responsible for its share of operating expenses based on actual operating expenses incurred by the landlord. The 2020 Lease is cancellable at the Company’s request after the 84th month with 12 months</w:t>
      </w:r>
      <w:r>
        <w:rPr>
          <w:rFonts w:ascii="Times New Roman" w:hAnsi="Times New Roman"/>
          <w:color w:val="000000"/>
          <w:sz w:val="20"/>
        </w:rPr>
        <w:t xml:space="preserve"> </w:t>
      </w:r>
      <w:r>
        <w:rPr>
          <w:rFonts w:ascii="Arial" w:hAnsi="Arial"/>
          <w:color w:val="000000"/>
          <w:sz w:val="20"/>
        </w:rPr>
        <w:t>written notice and a lump-sum cancellation payment of $2.5</w:t>
      </w:r>
      <w:r>
        <w:rPr>
          <w:rFonts w:ascii="Times New Roman" w:hAnsi="Times New Roman"/>
          <w:color w:val="000000"/>
          <w:sz w:val="20"/>
        </w:rPr>
        <w:t xml:space="preserve"> </w:t>
      </w:r>
      <w:r>
        <w:rPr>
          <w:rFonts w:ascii="Arial" w:hAnsi="Arial"/>
          <w:color w:val="000000"/>
          <w:sz w:val="20"/>
        </w:rPr>
        <w:t>million. The termination option has not been included in the Company's operating lease assets and liabilities. As discussed in Note 2, the Company provided a letter of credit to the lessor for $408,000, which expires July 29, 2032.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December 2021, the Company entered into a lease agreement for 29,542</w:t>
      </w:r>
      <w:r>
        <w:rPr>
          <w:rFonts w:ascii="Times New Roman" w:hAnsi="Times New Roman"/>
          <w:color w:val="000000"/>
          <w:sz w:val="20"/>
        </w:rPr>
        <w:t xml:space="preserve"> </w:t>
      </w:r>
      <w:r>
        <w:rPr>
          <w:rFonts w:ascii="Arial" w:hAnsi="Arial"/>
          <w:color w:val="000000"/>
          <w:sz w:val="20"/>
        </w:rPr>
        <w:t>square feet of office and laboratory space in South San Francisco, California. The lease is accounted for as an operating lease with the associated operating lease assets and liabilities recorded upon commencement,</w:t>
      </w:r>
      <w:r>
        <w:rPr>
          <w:rFonts w:ascii="Times New Roman" w:hAnsi="Times New Roman"/>
          <w:color w:val="000000"/>
          <w:sz w:val="20"/>
        </w:rPr>
        <w:t xml:space="preserve"> </w:t>
      </w:r>
      <w:r>
        <w:rPr>
          <w:rFonts w:ascii="Arial" w:hAnsi="Arial"/>
          <w:color w:val="000000"/>
          <w:sz w:val="20"/>
        </w:rPr>
        <w:t>which occurred in July 2022. The non-cancellable operating lease has an initial term of 124</w:t>
      </w:r>
      <w:r>
        <w:rPr>
          <w:rFonts w:ascii="Times New Roman" w:hAnsi="Times New Roman"/>
          <w:color w:val="000000"/>
          <w:sz w:val="20"/>
        </w:rPr>
        <w:t xml:space="preserve"> </w:t>
      </w:r>
      <w:r>
        <w:rPr>
          <w:rFonts w:ascii="Arial" w:hAnsi="Arial"/>
          <w:color w:val="000000"/>
          <w:sz w:val="20"/>
        </w:rPr>
        <w:t>months with an option</w:t>
      </w:r>
      <w:r>
        <w:rPr>
          <w:rFonts w:ascii="Times New Roman" w:hAnsi="Times New Roman"/>
          <w:color w:val="000000"/>
          <w:sz w:val="20"/>
        </w:rPr>
        <w:t xml:space="preserve"> </w:t>
      </w:r>
      <w:r>
        <w:rPr>
          <w:rFonts w:ascii="Arial" w:hAnsi="Arial"/>
          <w:color w:val="000000"/>
          <w:sz w:val="20"/>
        </w:rPr>
        <w:t>to extend the lease term by 5 years</w:t>
      </w:r>
      <w:r>
        <w:rPr>
          <w:rFonts w:ascii="Times New Roman" w:hAnsi="Times New Roman"/>
          <w:color w:val="000000"/>
          <w:sz w:val="20"/>
        </w:rPr>
        <w:t xml:space="preserve"> </w:t>
      </w:r>
      <w:r>
        <w:rPr>
          <w:rFonts w:ascii="Arial" w:hAnsi="Arial"/>
          <w:color w:val="000000"/>
          <w:sz w:val="20"/>
        </w:rPr>
        <w:t>at the then-current market rates and includes aggregate monthly payments to the lessor of approximately $34.4</w:t>
      </w:r>
      <w:r>
        <w:rPr>
          <w:rFonts w:ascii="Times New Roman" w:hAnsi="Times New Roman"/>
          <w:color w:val="000000"/>
          <w:sz w:val="20"/>
        </w:rPr>
        <w:t xml:space="preserve"> </w:t>
      </w:r>
      <w:r>
        <w:rPr>
          <w:rFonts w:ascii="Arial" w:hAnsi="Arial"/>
          <w:color w:val="000000"/>
          <w:sz w:val="20"/>
        </w:rPr>
        <w:t>million beginning in November 2022 with a rent escalation clause and a tenant improvement allowance of approximately $8.2</w:t>
      </w:r>
      <w:r>
        <w:rPr>
          <w:rFonts w:ascii="Times New Roman" w:hAnsi="Times New Roman"/>
          <w:color w:val="000000"/>
          <w:sz w:val="20"/>
        </w:rPr>
        <w:t xml:space="preserve"> </w:t>
      </w:r>
      <w:r>
        <w:rPr>
          <w:rFonts w:ascii="Arial" w:hAnsi="Arial"/>
          <w:color w:val="000000"/>
          <w:sz w:val="20"/>
        </w:rPr>
        <w:t>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is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condensed consolidated balance sheets prior to lease commencement and included in the operating lease asset upon lease commencement. In February 2022, the expected project costs exceeded the tenant improvement allowances by $5.1</w:t>
      </w:r>
      <w:r>
        <w:rPr>
          <w:rFonts w:ascii="Times New Roman" w:hAnsi="Times New Roman"/>
          <w:color w:val="000000"/>
          <w:sz w:val="20"/>
        </w:rPr>
        <w:t xml:space="preserve"> </w:t>
      </w:r>
      <w:r>
        <w:rPr>
          <w:rFonts w:ascii="Arial" w:hAnsi="Arial"/>
          <w:color w:val="000000"/>
          <w:sz w:val="20"/>
        </w:rPr>
        <w:t>million, which was paid directly to the landlord by the Company and was recorded as prepaid rent in the condensed consolidated balance sheets and as a cash outflow from operating activities in the condensed consolidated statements of cash flows. Upon lease commencement, the $5.1</w:t>
      </w:r>
      <w:r>
        <w:rPr>
          <w:rFonts w:ascii="Times New Roman" w:hAnsi="Times New Roman"/>
          <w:color w:val="000000"/>
          <w:sz w:val="20"/>
        </w:rPr>
        <w:t xml:space="preserve"> </w:t>
      </w:r>
      <w:r>
        <w:rPr>
          <w:rFonts w:ascii="Arial" w:hAnsi="Arial"/>
          <w:color w:val="000000"/>
          <w:sz w:val="20"/>
        </w:rPr>
        <w:t>million of prepaid rent was included in the operating lease asset. The Company paid a security deposit of $874,000</w:t>
      </w:r>
      <w:r>
        <w:rPr>
          <w:rFonts w:ascii="Times New Roman" w:hAnsi="Times New Roman"/>
          <w:color w:val="000000"/>
          <w:sz w:val="20"/>
        </w:rPr>
        <w:t xml:space="preserve"> </w:t>
      </w:r>
      <w:r>
        <w:rPr>
          <w:rFonts w:ascii="Arial" w:hAnsi="Arial"/>
          <w:color w:val="000000"/>
          <w:sz w:val="20"/>
        </w:rPr>
        <w:t>in December 2021 that was recorded as other assets in the condensed consolidated balance sheets. In July 2025, $656,000</w:t>
      </w:r>
      <w:r>
        <w:rPr>
          <w:rFonts w:ascii="Times New Roman" w:hAnsi="Times New Roman"/>
          <w:color w:val="000000"/>
          <w:sz w:val="20"/>
        </w:rPr>
        <w:t xml:space="preserve"> </w:t>
      </w:r>
      <w:r>
        <w:rPr>
          <w:rFonts w:ascii="Arial" w:hAnsi="Arial"/>
          <w:color w:val="000000"/>
          <w:sz w:val="20"/>
        </w:rPr>
        <w:t>of the security deposit was returned to the Company per the terms of the lease agreement. As of September 30, 2025, $218,000</w:t>
      </w:r>
      <w:r>
        <w:rPr>
          <w:rFonts w:ascii="Times New Roman" w:hAnsi="Times New Roman"/>
          <w:color w:val="000000"/>
          <w:sz w:val="20"/>
        </w:rPr>
        <w:t xml:space="preserve"> </w:t>
      </w:r>
      <w:r>
        <w:rPr>
          <w:rFonts w:ascii="Arial" w:hAnsi="Arial"/>
          <w:color w:val="000000"/>
          <w:sz w:val="20"/>
        </w:rPr>
        <w:t>remains as a security deposit included in other assets in the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2024, the Company entered into an agreement to sublease the second floor of its corporate headquarters in San Diego, California (the January 2024 Sublease). Pursuant to the January 2024 Sublease, the subleased space was approximately 10,000</w:t>
      </w:r>
      <w:r>
        <w:rPr>
          <w:rFonts w:ascii="Times New Roman" w:hAnsi="Times New Roman"/>
          <w:color w:val="000000"/>
          <w:sz w:val="20"/>
        </w:rPr>
        <w:t xml:space="preserve"> </w:t>
      </w:r>
      <w:r>
        <w:rPr>
          <w:rFonts w:ascii="Arial" w:hAnsi="Arial"/>
          <w:color w:val="000000"/>
          <w:sz w:val="20"/>
        </w:rPr>
        <w:t>square feet of office space with a sublease term of three years</w:t>
      </w:r>
      <w:r>
        <w:rPr>
          <w:rFonts w:ascii="Times New Roman" w:hAnsi="Times New Roman"/>
          <w:color w:val="000000"/>
          <w:sz w:val="20"/>
        </w:rPr>
        <w:t xml:space="preserve"> </w:t>
      </w:r>
      <w:r>
        <w:rPr>
          <w:rFonts w:ascii="Arial" w:hAnsi="Arial"/>
          <w:color w:val="000000"/>
          <w:sz w:val="20"/>
        </w:rPr>
        <w:t>which included an option</w:t>
      </w:r>
      <w:r>
        <w:rPr>
          <w:rFonts w:ascii="Times New Roman" w:hAnsi="Times New Roman"/>
          <w:color w:val="000000"/>
          <w:sz w:val="20"/>
        </w:rPr>
        <w:t xml:space="preserve"> </w:t>
      </w:r>
      <w:r>
        <w:rPr>
          <w:rFonts w:ascii="Arial" w:hAnsi="Arial"/>
          <w:color w:val="000000"/>
          <w:sz w:val="20"/>
        </w:rPr>
        <w:t>for the subtenant to renew for an additional year and an early termination</w:t>
      </w:r>
      <w:r>
        <w:rPr>
          <w:rFonts w:ascii="Times New Roman" w:hAnsi="Times New Roman"/>
          <w:color w:val="000000"/>
          <w:sz w:val="20"/>
        </w:rPr>
        <w:t xml:space="preserve"> </w:t>
      </w:r>
      <w:r>
        <w:rPr>
          <w:rFonts w:ascii="Arial" w:hAnsi="Arial"/>
          <w:color w:val="000000"/>
          <w:sz w:val="20"/>
        </w:rPr>
        <w:t>clause. In June 2025, the Company and the subtenant entered into a termination agreement that terminated the January 2024 Sublease in July 2025. In July 2024, the Company entered into an agreement to sublease the first floor of its corporate headquarters (the July 2024 Sublease). Pursuant to the July 2024 Sublease, the subleased space is 18,421</w:t>
      </w:r>
      <w:r>
        <w:rPr>
          <w:rFonts w:ascii="Times New Roman" w:hAnsi="Times New Roman"/>
          <w:color w:val="000000"/>
          <w:sz w:val="20"/>
        </w:rPr>
        <w:t xml:space="preserve"> </w:t>
      </w:r>
      <w:r>
        <w:rPr>
          <w:rFonts w:ascii="Arial" w:hAnsi="Arial"/>
          <w:color w:val="000000"/>
          <w:sz w:val="20"/>
        </w:rPr>
        <w:t>square feet of office space with a sublease term of 61</w:t>
      </w:r>
      <w:r>
        <w:rPr>
          <w:rFonts w:ascii="Times New Roman" w:hAnsi="Times New Roman"/>
          <w:color w:val="000000"/>
          <w:sz w:val="20"/>
        </w:rPr>
        <w:t xml:space="preserve"> </w:t>
      </w:r>
      <w:r>
        <w:rPr>
          <w:rFonts w:ascii="Arial" w:hAnsi="Arial"/>
          <w:color w:val="000000"/>
          <w:sz w:val="20"/>
        </w:rPr>
        <w:t>months beginning in October 2024. The July 2024 Sublease includes an option for the subtenant to renew for an additional year and an early termination</w:t>
      </w:r>
      <w:r>
        <w:rPr>
          <w:rFonts w:ascii="Times New Roman" w:hAnsi="Times New Roman"/>
          <w:color w:val="000000"/>
          <w:sz w:val="20"/>
        </w:rPr>
        <w:t xml:space="preserve"> </w:t>
      </w:r>
      <w:r>
        <w:rPr>
          <w:rFonts w:ascii="Arial" w:hAnsi="Arial"/>
          <w:color w:val="000000"/>
          <w:sz w:val="20"/>
        </w:rPr>
        <w:t>clause. In September 2024, the Company entered into an agreement to sublease a portion of the third floor of its corporate headquarters (the September 2024 Sublease). Pursuant to the September 2024 Sublease, the subleased space was approximately 5,000</w:t>
      </w:r>
      <w:r>
        <w:rPr>
          <w:rFonts w:ascii="Times New Roman" w:hAnsi="Times New Roman"/>
          <w:color w:val="000000"/>
          <w:sz w:val="20"/>
        </w:rPr>
        <w:t xml:space="preserve"> </w:t>
      </w:r>
      <w:r>
        <w:rPr>
          <w:rFonts w:ascii="Arial" w:hAnsi="Arial"/>
          <w:color w:val="000000"/>
          <w:sz w:val="20"/>
        </w:rPr>
        <w:t>square feet of laboratory space with a sublease term of one year</w:t>
      </w:r>
      <w:r>
        <w:rPr>
          <w:rFonts w:ascii="Times New Roman" w:hAnsi="Times New Roman"/>
          <w:color w:val="000000"/>
          <w:sz w:val="20"/>
        </w:rPr>
        <w:t xml:space="preserve"> </w:t>
      </w:r>
      <w:r>
        <w:rPr>
          <w:rFonts w:ascii="Arial" w:hAnsi="Arial"/>
          <w:color w:val="000000"/>
          <w:sz w:val="20"/>
        </w:rPr>
        <w:t>which included an option</w:t>
      </w:r>
      <w:r>
        <w:rPr>
          <w:rFonts w:ascii="Times New Roman" w:hAnsi="Times New Roman"/>
          <w:color w:val="000000"/>
          <w:sz w:val="20"/>
        </w:rPr>
        <w:t xml:space="preserve"> </w:t>
      </w:r>
      <w:r>
        <w:rPr>
          <w:rFonts w:ascii="Arial" w:hAnsi="Arial"/>
          <w:color w:val="000000"/>
          <w:sz w:val="20"/>
        </w:rPr>
        <w:t>for the subtenant to renew for an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additional year. In July 2025, the September 2024 Sublease was amended to: (i) add approximately 5,000</w:t>
      </w:r>
      <w:r>
        <w:rPr>
          <w:rFonts w:ascii="Times New Roman" w:hAnsi="Times New Roman"/>
          <w:color w:val="000000"/>
          <w:sz w:val="20"/>
        </w:rPr>
        <w:t xml:space="preserve"> </w:t>
      </w:r>
      <w:r>
        <w:rPr>
          <w:rFonts w:ascii="Arial" w:hAnsi="Arial"/>
          <w:color w:val="000000"/>
          <w:sz w:val="20"/>
        </w:rPr>
        <w:t>square feet of laboratory space on the third floor and approximately 11,000</w:t>
      </w:r>
      <w:r>
        <w:rPr>
          <w:rFonts w:ascii="Times New Roman" w:hAnsi="Times New Roman"/>
          <w:color w:val="000000"/>
          <w:sz w:val="20"/>
        </w:rPr>
        <w:t xml:space="preserve"> </w:t>
      </w:r>
      <w:r>
        <w:rPr>
          <w:rFonts w:ascii="Arial" w:hAnsi="Arial"/>
          <w:color w:val="000000"/>
          <w:sz w:val="20"/>
        </w:rPr>
        <w:t>square feet of office space on the second floor to the subleased space; and (ii) to extend the term of the September 2024 Sublease through December 31, 2027. The amendment to the September 2024 Sublease includes an option for the subtenant to renew for an additional year.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the subleases to be operating leases. Therefore, the Company recognizes sublease income on a straight-line basis over the lease term in its condensed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$778,000</w:t>
      </w:r>
      <w:r>
        <w:rPr>
          <w:rFonts w:ascii="Times New Roman" w:hAnsi="Times New Roman"/>
          <w:color w:val="000000"/>
          <w:sz w:val="20"/>
        </w:rPr>
        <w:t xml:space="preserve"> </w:t>
      </w:r>
      <w:r>
        <w:rPr>
          <w:rFonts w:ascii="Arial" w:hAnsi="Arial"/>
          <w:color w:val="000000"/>
          <w:sz w:val="20"/>
        </w:rPr>
        <w:t>and $2.2</w:t>
      </w:r>
      <w:r>
        <w:rPr>
          <w:rFonts w:ascii="Times New Roman" w:hAnsi="Times New Roman"/>
          <w:color w:val="000000"/>
          <w:sz w:val="20"/>
        </w:rPr>
        <w:t xml:space="preserve"> </w:t>
      </w:r>
      <w:r>
        <w:rPr>
          <w:rFonts w:ascii="Arial" w:hAnsi="Arial"/>
          <w:color w:val="000000"/>
          <w:sz w:val="20"/>
        </w:rPr>
        <w:t>million related to income from these subleases during the three and nine months ended September 30, 2025, respectively, and $361,000</w:t>
      </w:r>
      <w:r>
        <w:rPr>
          <w:rFonts w:ascii="Times New Roman" w:hAnsi="Times New Roman"/>
          <w:color w:val="000000"/>
          <w:sz w:val="20"/>
        </w:rPr>
        <w:t xml:space="preserve"> </w:t>
      </w:r>
      <w:r>
        <w:rPr>
          <w:rFonts w:ascii="Arial" w:hAnsi="Arial"/>
          <w:color w:val="000000"/>
          <w:sz w:val="20"/>
        </w:rPr>
        <w:t>and $577,000</w:t>
      </w:r>
      <w:r>
        <w:rPr>
          <w:rFonts w:ascii="Times New Roman" w:hAnsi="Times New Roman"/>
          <w:color w:val="000000"/>
          <w:sz w:val="20"/>
        </w:rPr>
        <w:t xml:space="preserve"> </w:t>
      </w:r>
      <w:r>
        <w:rPr>
          <w:rFonts w:ascii="Arial" w:hAnsi="Arial"/>
          <w:color w:val="000000"/>
          <w:sz w:val="20"/>
        </w:rPr>
        <w:t>during the three and nine months ended September 30, 2024,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connection with committing to the plan to sublease the first floor of its corporate headquarters in June 2024, the Company reassessed its asset groups for testing long-lived assets for impairment and determined the first floor operating lease assets and related property and equipment represented an asset group separate from the entity wide asset group. As of June 30, 2024, the Company concluded that the carrying value of the first floor asset group was not recoverable as it exceeded the future net undiscounted cash flows that are expected to be generated from the use and eventual disposition of the assets within the asset group. The Company determined the fair value of the first floor asset group based on the income approach using a discounted cash flow model. The cash flows used in the model were discounted using a rate of 13.5%. Based on this analysis, the Company recognized a noncash impairment charge of $4.7</w:t>
      </w:r>
      <w:r>
        <w:rPr>
          <w:rFonts w:ascii="Times New Roman" w:hAnsi="Times New Roman"/>
          <w:color w:val="000000"/>
          <w:sz w:val="20"/>
        </w:rPr>
        <w:t xml:space="preserve"> </w:t>
      </w:r>
      <w:r>
        <w:rPr>
          <w:rFonts w:ascii="Arial" w:hAnsi="Arial"/>
          <w:color w:val="000000"/>
          <w:sz w:val="20"/>
        </w:rPr>
        <w:t>million, including $2.4</w:t>
      </w:r>
      <w:r>
        <w:rPr>
          <w:rFonts w:ascii="Times New Roman" w:hAnsi="Times New Roman"/>
          <w:color w:val="000000"/>
          <w:sz w:val="20"/>
        </w:rPr>
        <w:t xml:space="preserve"> </w:t>
      </w:r>
      <w:r>
        <w:rPr>
          <w:rFonts w:ascii="Arial" w:hAnsi="Arial"/>
          <w:color w:val="000000"/>
          <w:sz w:val="20"/>
        </w:rPr>
        <w:t>million for the operating lease assets and $2.3</w:t>
      </w:r>
      <w:r>
        <w:rPr>
          <w:rFonts w:ascii="Times New Roman" w:hAnsi="Times New Roman"/>
          <w:color w:val="000000"/>
          <w:sz w:val="20"/>
        </w:rPr>
        <w:t xml:space="preserve"> </w:t>
      </w:r>
      <w:r>
        <w:rPr>
          <w:rFonts w:ascii="Arial" w:hAnsi="Arial"/>
          <w:color w:val="000000"/>
          <w:sz w:val="20"/>
        </w:rPr>
        <w:t>million for the leasehold improvements and furniture, of which $3.0</w:t>
      </w:r>
      <w:r>
        <w:rPr>
          <w:rFonts w:ascii="Times New Roman" w:hAnsi="Times New Roman"/>
          <w:color w:val="000000"/>
          <w:sz w:val="20"/>
        </w:rPr>
        <w:t xml:space="preserve"> </w:t>
      </w:r>
      <w:r>
        <w:rPr>
          <w:rFonts w:ascii="Arial" w:hAnsi="Arial"/>
          <w:color w:val="000000"/>
          <w:sz w:val="20"/>
        </w:rPr>
        <w:t>million was recorded to research and development expense and $1.7</w:t>
      </w:r>
      <w:r>
        <w:rPr>
          <w:rFonts w:ascii="Times New Roman" w:hAnsi="Times New Roman"/>
          <w:color w:val="000000"/>
          <w:sz w:val="20"/>
        </w:rPr>
        <w:t xml:space="preserve"> </w:t>
      </w:r>
      <w:r>
        <w:rPr>
          <w:rFonts w:ascii="Arial" w:hAnsi="Arial"/>
          <w:color w:val="000000"/>
          <w:sz w:val="20"/>
        </w:rPr>
        <w:t>million was recorded to general and administrative expense, during the nine months ended September 30, 2024. No</w:t>
      </w:r>
      <w:r>
        <w:rPr>
          <w:rFonts w:ascii="Times New Roman" w:hAnsi="Times New Roman"/>
          <w:color w:val="000000"/>
          <w:sz w:val="20"/>
        </w:rPr>
        <w:t xml:space="preserve"> </w:t>
      </w:r>
      <w:r>
        <w:rPr>
          <w:rFonts w:ascii="Arial" w:hAnsi="Arial"/>
          <w:color w:val="000000"/>
          <w:sz w:val="20"/>
        </w:rPr>
        <w:t>impairment was recorded during the three months ended September 30, 2024. This represented a Level 3 nonrecurring fair value measurement. Calculating the fair value of the asset group involves significant estimates and assumptions, including projected future cash flows and a discount rate. Changes in the estimates and assumptions used could materially affect the amount of impairment loss recognized in the period the asset group is considered impaired. No</w:t>
      </w:r>
      <w:r>
        <w:rPr>
          <w:rFonts w:ascii="Times New Roman" w:hAnsi="Times New Roman"/>
          <w:color w:val="000000"/>
          <w:sz w:val="20"/>
        </w:rPr>
        <w:t xml:space="preserve"> </w:t>
      </w:r>
      <w:r>
        <w:rPr>
          <w:rFonts w:ascii="Arial" w:hAnsi="Arial"/>
          <w:color w:val="000000"/>
          <w:sz w:val="20"/>
        </w:rPr>
        <w:t>impairment was recorded during the three and nine months ended September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Future minimum lease payments and sublease receipts under operating leases as of September 30, 2025 are as follows (in thousands):</w:t>
      </w:r>
    </w:p>
    <w:p>
      <w:pPr>
        <w:pStyle w:val="TextBody"/>
        <w:bidi w:val="0"/>
        <w:jc w:val="left"/>
        <w:rPr/>
      </w:pPr>
      <w:r>
        <w:rPr/>
        <w:t> </w:t>
      </w:r>
    </w:p>
    <w:tbl>
      <w:tblPr>
        <w:tblW w:w="9899" w:type="dxa"/>
        <w:jc w:val="left"/>
        <w:tblInd w:w="0" w:type="dxa"/>
        <w:tblLayout w:type="fixed"/>
        <w:tblCellMar>
          <w:top w:w="28" w:type="dxa"/>
          <w:left w:w="28" w:type="dxa"/>
          <w:bottom w:w="28" w:type="dxa"/>
          <w:right w:w="28" w:type="dxa"/>
        </w:tblCellMar>
      </w:tblPr>
      <w:tblGrid>
        <w:gridCol w:w="4091"/>
        <w:gridCol w:w="533"/>
        <w:gridCol w:w="1897"/>
        <w:gridCol w:w="166"/>
        <w:gridCol w:w="146"/>
        <w:gridCol w:w="686"/>
        <w:gridCol w:w="1909"/>
        <w:gridCol w:w="471"/>
      </w:tblGrid>
      <w:tr>
        <w:trPr/>
        <w:tc>
          <w:tcPr>
            <w:tcW w:w="409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Operating Lease Payments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Operating Sublease Receipts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Year ending December 31,</w:t>
            </w:r>
          </w:p>
        </w:tc>
        <w:tc>
          <w:tcPr>
            <w:tcW w:w="2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 (remaining three months)</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lease payments or sublease receipts</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Amount representing interest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12.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such liabilities have been accrued.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Strategic reprioritization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in connection with the execution of the Joyo License Agreement and the Medshine License Agreement, the Company approved a strategic reprioritization. The Company deprioritized its HERKULES-3 clinical trial evaluating ERAS-007 in combination with encorafenib and cetuximab (EC) in patients with EC-naïve BRAFm colorectal cancer, its THUNDERBBOLT-1 clinical trial evaluating ERAS-801 in patients with recurrent glioblastoma,</w:t>
      </w:r>
      <w:r>
        <w:rPr>
          <w:rFonts w:ascii="Times New Roman" w:hAnsi="Times New Roman"/>
          <w:color w:val="000000"/>
          <w:sz w:val="20"/>
        </w:rPr>
        <w:t xml:space="preserve"> </w:t>
      </w:r>
      <w:r>
        <w:rPr>
          <w:rFonts w:ascii="Arial" w:hAnsi="Arial"/>
          <w:color w:val="000000"/>
          <w:sz w:val="20"/>
        </w:rPr>
        <w:t>and its ERAS-4</w:t>
      </w:r>
      <w:r>
        <w:rPr>
          <w:rFonts w:ascii="Times New Roman" w:hAnsi="Times New Roman"/>
          <w:color w:val="000000"/>
          <w:sz w:val="20"/>
        </w:rPr>
        <w:t xml:space="preserve"> </w:t>
      </w:r>
      <w:r>
        <w:rPr>
          <w:rFonts w:ascii="Arial" w:hAnsi="Arial"/>
          <w:color w:val="000000"/>
          <w:sz w:val="20"/>
        </w:rPr>
        <w:t>pan-KRAS program. In connection with this strategic reprioritization, the Company also approved a reduction in the Company’s workforce by approximately 18%, primarily affecting employees working in certain drug discovery functions or on the deprioritized programs and trials. As a result, the Company recognized $0</w:t>
      </w:r>
      <w:r>
        <w:rPr>
          <w:rFonts w:ascii="Times New Roman" w:hAnsi="Times New Roman"/>
          <w:color w:val="000000"/>
          <w:sz w:val="20"/>
        </w:rPr>
        <w:t xml:space="preserve"> </w:t>
      </w:r>
      <w:r>
        <w:rPr>
          <w:rFonts w:ascii="Arial" w:hAnsi="Arial"/>
          <w:color w:val="000000"/>
          <w:sz w:val="20"/>
        </w:rPr>
        <w:t>and $2.2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total charges in the three and nine months ended September 30, 2024, respectively, in the condensed consolidated statements of operations and comprehensive loss based upon the underlying employees’ role within the Company in connection with the reduction in force. These charges consisted primarily of one-time cash charges for termination benefits which were substantially all paid in June 2024.</w:t>
      </w:r>
    </w:p>
    <w:p>
      <w:pPr>
        <w:pStyle w:val="TextBody"/>
        <w:bidi w:val="0"/>
        <w:spacing w:before="360" w:after="283"/>
        <w:jc w:val="left"/>
        <w:rPr>
          <w:rFonts w:ascii="Arial" w:hAnsi="Arial"/>
          <w:b/>
          <w:color w:val="000000"/>
          <w:sz w:val="20"/>
        </w:rPr>
      </w:pPr>
      <w:r>
        <w:rPr>
          <w:rFonts w:ascii="Arial" w:hAnsi="Arial"/>
          <w:b/>
          <w:color w:val="000000"/>
          <w:sz w:val="20"/>
        </w:rPr>
        <w:t>Note 13. 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provision for federal, state or foreign</w:t>
      </w:r>
      <w:r>
        <w:rPr>
          <w:rFonts w:ascii="Times New Roman" w:hAnsi="Times New Roman"/>
          <w:color w:val="000000"/>
          <w:sz w:val="20"/>
        </w:rPr>
        <w:t xml:space="preserve"> </w:t>
      </w:r>
      <w:r>
        <w:rPr>
          <w:rFonts w:ascii="Arial" w:hAnsi="Arial"/>
          <w:color w:val="000000"/>
          <w:sz w:val="20"/>
        </w:rPr>
        <w:t>income taxes has been recorded for the three and nine months ended September 30, 2025 and 2024. The Company has incurred net operating losses for all the periods presented and has not reflected any benefit of such net operating loss carryforwards in the accompanying condensed consolidated financial statements due to uncertainty around utilizing these tax attributes within their respective carryforward periods. The Company has recorded a full valuation allowance against all of its deferred tax assets as it is not more likely than not that such assets will be realized in the near future. The Company’s policy is to recognize interest expense and penalties related to income tax matters as tax expense. For the three and nine months ended September 30, 2025 and 2024, the Company has not recognized any interest or penalties related to income taxes.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the One Big Beautiful Bill Act (OBBBA), a budget reconciliation package that changes the U.S. federal income tax laws was signed into law. In addition to extending various expiring provisions from the Tax Cuts and Jobs Act (TCJA) of 2017, the OBBBA restores the tax deductibility of domestic research and development expenses in the year incurred. These expenses had been required under the TCJA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The Company has evaluated the effects of the legislation and has determined that the enactment of the OBBBA does not have a material impact on the Company’s condensed consolidated financial statements and related disclosures.</w:t>
      </w:r>
    </w:p>
    <w:p>
      <w:pPr>
        <w:pStyle w:val="TextBody"/>
        <w:bidi w:val="0"/>
        <w:spacing w:before="360" w:after="283"/>
        <w:jc w:val="left"/>
        <w:rPr>
          <w:rFonts w:ascii="Times New Roman" w:hAnsi="Times New Roman"/>
          <w:sz w:val="20"/>
        </w:rPr>
      </w:pPr>
      <w:r>
        <w:rPr>
          <w:rFonts w:ascii="Arial" w:hAnsi="Arial"/>
          <w:b/>
          <w:color w:val="000000"/>
          <w:sz w:val="20"/>
        </w:rPr>
        <w:t>Note 14. Net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computation of basic and diluted net loss per share of the Company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8"/>
        <w:gridCol w:w="146"/>
        <w:gridCol w:w="211"/>
        <w:gridCol w:w="1171"/>
        <w:gridCol w:w="166"/>
        <w:gridCol w:w="146"/>
        <w:gridCol w:w="146"/>
        <w:gridCol w:w="211"/>
        <w:gridCol w:w="1171"/>
        <w:gridCol w:w="166"/>
        <w:gridCol w:w="146"/>
        <w:gridCol w:w="211"/>
        <w:gridCol w:w="1171"/>
        <w:gridCol w:w="166"/>
        <w:gridCol w:w="146"/>
        <w:gridCol w:w="211"/>
        <w:gridCol w:w="1171"/>
        <w:gridCol w:w="211"/>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283,681,570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282,384,964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283,434,073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217,355,959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potentially dilutive securities, which include options to purchase common stock and shares purchasable under the ESPP,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p>
      <w:pPr>
        <w:pStyle w:val="TextBody"/>
        <w:bidi w:val="0"/>
        <w:jc w:val="left"/>
        <w:rPr/>
      </w:pPr>
      <w:r>
        <w:rPr/>
        <w:t> </w:t>
      </w:r>
    </w:p>
    <w:tbl>
      <w:tblPr>
        <w:tblW w:w="7706" w:type="dxa"/>
        <w:jc w:val="left"/>
        <w:tblInd w:w="0" w:type="dxa"/>
        <w:tblLayout w:type="fixed"/>
        <w:tblCellMar>
          <w:top w:w="28" w:type="dxa"/>
          <w:left w:w="28" w:type="dxa"/>
          <w:bottom w:w="28" w:type="dxa"/>
          <w:right w:w="28" w:type="dxa"/>
        </w:tblCellMar>
      </w:tblPr>
      <w:tblGrid>
        <w:gridCol w:w="4231"/>
        <w:gridCol w:w="146"/>
        <w:gridCol w:w="162"/>
        <w:gridCol w:w="1188"/>
        <w:gridCol w:w="146"/>
        <w:gridCol w:w="146"/>
        <w:gridCol w:w="146"/>
        <w:gridCol w:w="162"/>
        <w:gridCol w:w="1188"/>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34,533,440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shares purchasable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49,248,101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35,331,678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Note 15. Segment Information</w:t>
      </w:r>
    </w:p>
    <w:p>
      <w:pPr>
        <w:pStyle w:val="TextBody"/>
        <w:bidi w:val="0"/>
        <w:jc w:val="left"/>
        <w:rPr>
          <w:rFonts w:ascii="Times New Roman" w:hAnsi="Times New Roman"/>
          <w:sz w:val="20"/>
        </w:rPr>
      </w:pPr>
      <w:r>
        <w:rPr>
          <w:rFonts w:ascii="Arial" w:hAnsi="Arial"/>
          <w:color w:val="000000"/>
          <w:sz w:val="20"/>
        </w:rPr>
        <w:br/>
        <w:t>The Company operates and manages its business as a single</w:t>
      </w:r>
      <w:r>
        <w:rPr>
          <w:rFonts w:ascii="Times New Roman" w:hAnsi="Times New Roman"/>
          <w:color w:val="000000"/>
          <w:sz w:val="20"/>
        </w:rPr>
        <w:t xml:space="preserve"> </w:t>
      </w:r>
      <w:r>
        <w:rPr>
          <w:rFonts w:ascii="Arial" w:hAnsi="Arial"/>
          <w:color w:val="000000"/>
          <w:sz w:val="20"/>
        </w:rPr>
        <w:t>operating and reportable segment focused on the discovery and development of precision medicines for the benefit of patients with cancer. The Company's chief operating decision maker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CODM assesses performance for the segment based on net loss, which is reported on the condensed consolidated statements of operations and comprehensive loss as consolidated net loss. The measure of segment assets is reported on the condensed consolidated balance sheets as total consolidated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condensed consolidated statements of operations and comprehensive loss as research and development expenses and general and administrative expenses.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7" w:name="i_item2"/>
      <w:bookmarkEnd w:id="7"/>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unaudited condensed consolidated financial statements and notes thereto included elsewhere in this Quarterly Report on Form 10-Q and with our audited consolidated financial statements and notes thereto and management’s discussion and analysis of financial condition and results of operations for the year ended December 31, 2024, included in our Annual Report on Form 10-K for the year ended December 31, 2024 filed with the SEC on March 20, 2025.</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Cautionary Note Regarding Forward-Looking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Quarterly Report contains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In some cases, you can identify forward-looking statements by terms such as “may,” “will,” “should,” “could,” “expect,” “intend,” "target," “plan,” “anticipate,” “believe,” “estimate,” “predict,” “potential,” “continue,” or the negative of these terms or other similar expressions.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360" w:after="283"/>
        <w:jc w:val="left"/>
        <w:rPr>
          <w:rFonts w:ascii="Arial" w:hAnsi="Arial"/>
          <w:b/>
          <w:color w:val="000000"/>
          <w:sz w:val="20"/>
        </w:rPr>
      </w:pPr>
      <w:r>
        <w:rPr>
          <w:rFonts w:ascii="Arial" w:hAnsi="Arial"/>
          <w:b/>
          <w:color w:val="000000"/>
          <w:sz w:val="20"/>
        </w:rPr>
        <w:t>Overview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pipeline comprises modality-agnostic programs aligned with our three therapeutic strategies of: (1) targeting key upstream and downstream signaling nodes in the RAS/MAPK pathway; (2) targeting RAS directly; and (3) targeting escape routes that emerge in response to treatment.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figure shows the RAS/MAPK pathway and how the three therapeutic strategies listed above attempt to comprehensively and synergistically shut down the RAS/MAPK pathway.</w:t>
      </w:r>
    </w:p>
    <w:p>
      <w:pPr>
        <w:pStyle w:val="TextBody"/>
        <w:bidi w:val="0"/>
        <w:jc w:val="left"/>
        <w:rPr/>
      </w:pPr>
      <w:r>
        <w:rPr/>
        <w:t> </w:t>
      </w:r>
    </w:p>
    <w:p>
      <w:pPr>
        <w:pStyle w:val="TextBody"/>
        <w:bidi w:val="0"/>
        <w:jc w:val="center"/>
        <w:rPr/>
      </w:pPr>
      <w:r>
        <w:rPr/>
        <w:drawing>
          <wp:inline distT="0" distB="0" distL="0" distR="0">
            <wp:extent cx="6057900" cy="468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57900" cy="46863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pipeline enables us to pursue a systematic, data-driven, portfolio-wide clinical development effort to identify therapeutic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three clinical-stage programs (ERAS-0015, a pan-RAS molecular glue; ERAS-4001, a pan-KRAS inhibitor; and naporafenib, a pan-RAF inhibitor), and ERAS-12, a discovery-stage program (an EGFR D2/D3 biparatopic antibody). We believe our world-class team’s capabilities and experience, further guided by our scientific advisory board, which includes the world’s leading experts in the RAS/MAPK pathway, uniquely position us to achieve our bold mission of erasing cancer.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ERAS-0015 is a potential best-in-class pan-RAS molecular glue in development for the treatment of patients with</w:t>
      </w:r>
      <w:r>
        <w:rPr>
          <w:rFonts w:ascii="Times New Roman" w:hAnsi="Times New Roman"/>
          <w:color w:val="000000"/>
          <w:sz w:val="20"/>
        </w:rPr>
        <w:t xml:space="preserve"> </w:t>
      </w:r>
      <w:r>
        <w:rPr>
          <w:rFonts w:ascii="Arial" w:hAnsi="Arial"/>
          <w:color w:val="000000"/>
          <w:sz w:val="20"/>
        </w:rPr>
        <w:t>RAS-mutated solid tumors. In vitro, ERAS-0015 has shown approximately 8-21 times higher binding affinity to cyclophilin A versus the most advanced pan-RAS molecular glue in development. We believe this higher binding affinity results in approximately 5 times more potent RAS inhibition in cell-based assays compared with the comparator. ERAS-0015 also has favorable absorption, distribution, metabolism and excretion (ADME) and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combination benefit of blocking both oncogenic drivers. The initial clinical trial for ERAS-0015 is AURORAS-1. We anticipate a Phase 1 monotherapy data readout from the AURORAS-1 trial in 2026.</w:t>
      </w:r>
    </w:p>
    <w:p>
      <w:pPr>
        <w:pStyle w:val="TextBody"/>
        <w:bidi w:val="0"/>
        <w:jc w:val="left"/>
        <w:rPr>
          <w:rFonts w:ascii="Times New Roman" w:hAnsi="Times New Roman"/>
          <w:sz w:val="20"/>
        </w:rPr>
      </w:pPr>
      <w:r>
        <w:rPr>
          <w:rFonts w:ascii="Arial" w:hAnsi="Arial"/>
          <w:color w:val="000000"/>
          <w:sz w:val="20"/>
        </w:rPr>
        <w:t>ERAS-4001 is a potential first-in-class pan-KRAS inhibitor in development for the treatment of patients with</w:t>
      </w:r>
      <w:r>
        <w:rPr>
          <w:rFonts w:ascii="Times New Roman" w:hAnsi="Times New Roman"/>
          <w:color w:val="000000"/>
          <w:sz w:val="20"/>
        </w:rPr>
        <w:t xml:space="preserve"> </w:t>
      </w:r>
      <w:r>
        <w:rPr>
          <w:rFonts w:ascii="Arial" w:hAnsi="Arial"/>
          <w:color w:val="000000"/>
          <w:sz w:val="20"/>
        </w:rPr>
        <w:t>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ERAS-4001 demonstrated activity against both GDP-bound (“inactive state”) and GTP-bound (“active state”) KRAS G12D with single digit nanomolar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(a measure of the drug concentration needed to achieve half-maximal inhibition) values in a biochemical RAS – RAF1 RBD (RAS Binding Domain) assay. In vivo, ERAS-4001 showed tumor regression in multiple models when administered as a monotherapy. In combination with an anti-PD-1 antibody, ERAS-4001 was able to achieve complete disappearance of tumors in mice on day 31. The combination of ERAS-4001 plus the anti-EGFR antibody cetuximab induced significant tumor growth inhibition and demonstrated the combination benefit of blocking both oncogenic drivers. The initial clinical trial for ERAS-4001 is BOREALIS-1. We anticipate a Phase 1 monotherapy data readout from the BOREALIS-1 trial in 2026.</w:t>
      </w:r>
    </w:p>
    <w:p>
      <w:pPr>
        <w:pStyle w:val="TextBody"/>
        <w:bidi w:val="0"/>
        <w:jc w:val="left"/>
        <w:rPr>
          <w:rFonts w:ascii="Arial" w:hAnsi="Arial"/>
          <w:color w:val="000000"/>
          <w:sz w:val="20"/>
        </w:rPr>
      </w:pPr>
      <w:r>
        <w:rPr>
          <w:rFonts w:ascii="Arial" w:hAnsi="Arial"/>
          <w:color w:val="000000"/>
          <w:sz w:val="20"/>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most advanced clinical stage product candidate is naporafenib, for which we initiated two trials to evaluate the naporafenib plus trametinib (MEKINIST) combination (neither of which is enrolling patients currently), the SEACRAFT-2 pivotal Phase 3 trial for patients with NRAS-mutated (NRASm) melanoma and the SEACRAFT-1 Phase 1b trial for patients with RAS Q61X solid tumors. Naporafenib is a pan-RAF inhibitor with first-in-class and best-in-class potential for patients with NRASm melanoma and other RAS/MAPK pathway-driven tumors. RAF proteins are ubiquitously expressed serine-threonine kinases that constitute a key node of the RAS/MAPK pathway downstream of RAS and upstream of MEK. The RAF protein family consists of ARAF, BRAF, and CRAF (RAF1) that are activated through dimerization. Mutations in RAF proteins have been observed in many cancers, such as melanoma, colorectal cancer (CRC), non-small cell lung cancer (NSCLC), and thyroid cancer. We in-licensed naporafenib from Novartis Pharma AG (Novartis) in December 2022. Naporafenib has been dosed in over 600 patients to date, whereby safety, tolerability, and acceptable pharmacokinetics (PK) and pharmacodynamics have been established in both monotherapy and select combinations, with clinical proof-of-concept (PoC) data in combination with trametinib for patients with NRASm melanoma, which includes NRAS Q61X melanoma. In December 2023, we announced that the FDA granted Fast Track Designation (FTD) to naporafenib in combination with trametinib for the treatment of adult patients with unresectable or metastatic melanoma who have progressed on, or are intolerant to, an anti</w:t>
        <w:noBreakHyphen/>
        <w:t>programmed death-1 (ligand 1) (PD</w:t>
        <w:noBreakHyphen/>
        <w:t>(L)1)-based regimen, and whose tumors contain an NRAS mutation. Programs that receive FTD may benefit from early and frequent interactions with the FDA during the clinical development process and, if relevant criteria are met, the FDA may consider reviewing portions of a marketing application before the sponsor submits the complete application.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our SEACRAFT-2 trial, we have entered into a clinical trial collaboration and supply agreement (CTCSA) with Novartis for its MEK inhibitor, trametinib. Pursuant to the CTCSA, we are sponsoring and funding the clinical trial and Novartis is providing its drug to us free of charge. In addition, we are evaluating additional combinations of naporafenib with our other RAS/MAPK pathway targeting agents and/or external agents in preclinical models.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October 24, 2024, we announced preliminary data from our SEACRAFT-1 trial in an oral presentation at the 36th EORTC-NCI-AACR (ENA) Symposium. The preliminary clinical activity of naporafenib plus trametinib in the melanoma cohort of SEACRAFT-1 include, as of the efficacy cutoff date*: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40% (4/10) response rate observed in the efficacy-evaluable patients with NRAS Q61X melanoma, including three confirmed partial responses and one unconfirmed partial response; the melanoma cohort in SEACRAFT-1 is generally representative of the patient population currently being enrolled in the pivotal SEACRAFT-2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70% (7/10) of patients remained on treatment as of the data cutoff, including all four responders </w:t>
      </w:r>
    </w:p>
    <w:p>
      <w:pPr>
        <w:pStyle w:val="TextBody"/>
        <w:bidi w:val="0"/>
        <w:jc w:val="left"/>
        <w:rPr>
          <w:rFonts w:ascii="Arial" w:hAnsi="Arial"/>
          <w:color w:val="000000"/>
          <w:sz w:val="20"/>
        </w:rPr>
      </w:pPr>
      <w:r>
        <w:rPr>
          <w:rFonts w:ascii="Arial" w:hAnsi="Arial"/>
          <w:color w:val="000000"/>
          <w:sz w:val="20"/>
        </w:rPr>
        <w:t>In addition, we reported that naporafenib plus trametinib was generally well tolerated as of the safety cutoff date*, with mostly low-grade adverse events in the majority of patients. We believe that the use of mandatory primary rash prophylaxis helped reduce the frequency and severity of skin toxicities, reduced the drug discontinuation rate due to skin-related adverse events, and improved the observed tolerability results as measured by the increased relative dose intensity, as compared to the prior clinical trials of naporafenib plus trametinib conducted by Novartis, which did not include the use of mandatory primary rash prophylaxis.</w:t>
      </w:r>
    </w:p>
    <w:p>
      <w:pPr>
        <w:pStyle w:val="TextBody"/>
        <w:bidi w:val="0"/>
        <w:jc w:val="left"/>
        <w:rPr>
          <w:rFonts w:ascii="Arial" w:hAnsi="Arial"/>
          <w:color w:val="000000"/>
          <w:sz w:val="20"/>
        </w:rPr>
      </w:pPr>
      <w:r>
        <w:rPr>
          <w:rFonts w:ascii="Arial" w:hAnsi="Arial"/>
          <w:color w:val="000000"/>
          <w:sz w:val="20"/>
        </w:rPr>
        <w:t>* Efficacy data cutoff date was September 5, 2024. Safety data cutoff date was September 3,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2025, in connection with our expectation that ERAS-0015 and ERAS-4001 would both become clinical stage programs, we conducted a strategic pipeline review. Following this review, in order to prioritize organizational focus and resources to rapidly advance our differentiated RAS-targeting franchise, we decided to evaluate strategic alternatives for the Stage 2 portion of the naporafenib Phase 3 trial, including pursuing potential partnership opportunities. As a result of this decision, we will not read out data from Stage 1 of the SEACRAFT-2 trial in the second half of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next program is ERAS-12, our investigational EGFR D2/D3 biparatopic antibody (bpAb). ERAS-12 is a potential best-in-class biologic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December 2022, we completed the sale and issuance of 15,384,616 shares of our common stock at a price to the public of $6.50 per share (the 2022 Offering). Proceeds from the 2022 Offering were $94.9 million, net of underwriting discounts and commissions and offering costs of $5.1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2022, we entered into an Open Market Sale Agreement (the Sale Agreement) with Jefferies LLC (the Agent), pursuant to which we could offer and sell shares of our common stock having an aggregate offering price of up to $200 million from time to time, in an “at-the-market offering” (ATM Offering)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three and nine months ended September 30, 2024, we sold 9,231,114 shares of our common stock at a weighted-average price of $2.37 per share under the Sale Agreement with the Agent. Proceeds from the ATM Offerings during the three and nine months ended September 30, 2024 were $21.0 million, net of commissions and expenses of $0.8 million.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August 2025, we entered into an Amended and Restated Open Market Sale Agreement (the 2025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September 30, 2025, we had $200.0 million of shares available for sale under the ATM program.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September 30, 2025, we have raised a total of $1.0 billion to fund our operations, comprised primarily of gross proceeds from our IPO, underwritten offerings, a private placement of our common stock and the sale and issuance of convertible preferred stock. As of September 30, 2025, we had cash, cash equivalents and marketable securities of $362.4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incurred significant operating losses since inception. Our net losses were $30.6 million and $31.2 million for the three months ended September 30, 2025 and 2024, respectively, and $95.5 million and $129.4 million for the nine months ended September 30, 2025 and 2024, respectively. As of September 30, 2025, we had an accumulated deficit of $863.1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Based upon our current operating plans, we believe that our cash, cash equivalents and marketable securities as of September 30, 2025 will be sufficient to fund our operations into the second half of 2028.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condition and results of operations may also be impacted by other factors we may not be able to control, such as geopolitical and economic events. We do not believe that such factors had a material adverse impact on our results of operations during the three months ended September 30, 2025.</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Our acquisition and license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entered into in-license and acquisition agreements pursuant to which we in-licensed or acquired certain intellectual property rights related to our product candidates and development programs.</w:t>
      </w:r>
    </w:p>
    <w:p>
      <w:pPr>
        <w:pStyle w:val="TextBody"/>
        <w:bidi w:val="0"/>
        <w:spacing w:before="360" w:after="283"/>
        <w:jc w:val="left"/>
        <w:rPr>
          <w:rFonts w:ascii="Arial" w:hAnsi="Arial"/>
          <w:b/>
          <w:color w:val="000000"/>
          <w:sz w:val="20"/>
        </w:rPr>
      </w:pPr>
      <w:r>
        <w:rPr>
          <w:rFonts w:ascii="Arial" w:hAnsi="Arial"/>
          <w:b/>
          <w:color w:val="000000"/>
          <w:sz w:val="20"/>
        </w:rPr>
        <w:t>Asana BioSciences, LLC</w:t>
      </w:r>
    </w:p>
    <w:p>
      <w:pPr>
        <w:pStyle w:val="TextBody"/>
        <w:bidi w:val="0"/>
        <w:jc w:val="left"/>
        <w:rPr>
          <w:rFonts w:ascii="Arial" w:hAnsi="Arial"/>
          <w:color w:val="000000"/>
          <w:sz w:val="20"/>
        </w:rPr>
      </w:pPr>
      <w:r>
        <w:rPr>
          <w:rFonts w:ascii="Arial" w:hAnsi="Arial"/>
          <w:color w:val="000000"/>
          <w:sz w:val="20"/>
        </w:rPr>
        <w:t>In November 2020, we entered into the Asana Merger Agreement, pursuant to which ASN became its wholly-owned subsidiary. Asana and ASN had previously entered into a license agreement, which was amended and restated prior to the closing of the merger transaction (the Asana License Agreement), pursuant to which ASN acquired an exclusive, worldwide license to certain intellectual property rights relating to inhibitors of ERK1 and ERK2 owned or controlled by Asana to develop and commercialize ERAS-007 and certain other related compounds for all applications. In May 2024, we announced a strategic reprioritization that included deprioritizing the final trial in the HERKULES series of clinical trials that was evaluating ERAS-007. In September 2025, we sent a notice to Asana to terminate the Asana License Agreement, with an effective termination date of November 8, 2025. In connection with such termination, the Company and Asana have agreed that we shall continue to ensure that the patients currently enrolled in the HERKULES series of trials will be permitted to continue to participate in such trials for the foreseeable future.</w:t>
      </w:r>
    </w:p>
    <w:p>
      <w:pPr>
        <w:pStyle w:val="TextBody"/>
        <w:bidi w:val="0"/>
        <w:spacing w:before="360" w:after="283"/>
        <w:jc w:val="left"/>
        <w:rPr>
          <w:rFonts w:ascii="Arial" w:hAnsi="Arial"/>
          <w:b/>
          <w:color w:val="000000"/>
          <w:sz w:val="20"/>
        </w:rPr>
      </w:pPr>
      <w:r>
        <w:rPr>
          <w:rFonts w:ascii="Arial" w:hAnsi="Arial"/>
          <w:b/>
          <w:color w:val="000000"/>
          <w:sz w:val="20"/>
        </w:rPr>
        <w:t>NiKang Therapeutics, Inc.</w:t>
      </w:r>
    </w:p>
    <w:p>
      <w:pPr>
        <w:pStyle w:val="TextBody"/>
        <w:bidi w:val="0"/>
        <w:jc w:val="left"/>
        <w:rPr>
          <w:rFonts w:ascii="Arial" w:hAnsi="Arial"/>
          <w:color w:val="000000"/>
          <w:sz w:val="20"/>
        </w:rPr>
      </w:pPr>
      <w:r>
        <w:rPr>
          <w:rFonts w:ascii="Arial" w:hAnsi="Arial"/>
          <w:color w:val="000000"/>
          <w:sz w:val="20"/>
        </w:rPr>
        <w:t>In February 2020, we entered into a license agreement (the NiKang License Agreement) with NiKang Therapeutics, Inc. (NiKang) under which we were granted an exclusive, worldwide license to certain intellectual property rights owned or controlled by NiKang related to certain SHP2 inhibitors to develop and commercialize ERAS-601 and certain other related compounds for all applications. In November 2023, we announced a strategic reprioritization that included deprioritizing the FLAGSHP-1 clinical trial that was evaluating ERAS-601. In September 2025, we sent a notice to NiKang to terminate the NiKang License Agreement, with an effective termination date of October 9, 2025. In connection with such termination, the Company and NiKang have agreed that we shall continue to ensure that the patients currently enrolled in the FLAGSHP-1 trial and an investigator-initiated trial of ERAS-601 will be permitted to continue to participate in such trials for the foreseeable future.</w:t>
      </w:r>
    </w:p>
    <w:p>
      <w:pPr>
        <w:pStyle w:val="TextBody"/>
        <w:bidi w:val="0"/>
        <w:spacing w:before="360" w:after="283"/>
        <w:jc w:val="left"/>
        <w:rPr>
          <w:rFonts w:ascii="Arial" w:hAnsi="Arial"/>
          <w:b/>
          <w:color w:val="000000"/>
          <w:sz w:val="20"/>
        </w:rPr>
      </w:pPr>
      <w:r>
        <w:rPr>
          <w:rFonts w:ascii="Arial" w:hAnsi="Arial"/>
          <w:b/>
          <w:color w:val="000000"/>
          <w:sz w:val="20"/>
        </w:rPr>
        <w:t>Katmai Pharmaceuticals, Inc.</w:t>
      </w:r>
    </w:p>
    <w:p>
      <w:pPr>
        <w:pStyle w:val="TextBody"/>
        <w:bidi w:val="0"/>
        <w:jc w:val="left"/>
        <w:rPr>
          <w:rFonts w:ascii="Arial" w:hAnsi="Arial"/>
          <w:color w:val="000000"/>
          <w:sz w:val="20"/>
        </w:rPr>
      </w:pPr>
      <w:r>
        <w:rPr>
          <w:rFonts w:ascii="Arial" w:hAnsi="Arial"/>
          <w:color w:val="000000"/>
          <w:sz w:val="20"/>
        </w:rPr>
        <w:t>In May 2024, we announced a strategic reprioritization which included deprioritizing our THUNDERBBOLT-1 clinical trial evaluating ERAS-801 in patients with recurrent glioblastoma. In April 2025, we entered into a Termination Agreement (the Katmai Termination Agreement) with Katmai Pharmaceuticals, Inc. (Katmai). The Katmai Termination Agreement terminated the license agreement, dated March 12, 2020, between us and Katmai in which we obtained an exclusive worldwide license from Katmai to develop and commercialize ERAS-801 (the Katmai License Agreement). Pursuant to the Katmai Termination Agreement, the Katmai License Agreement was terminated as of April 1, 2025. Under the Katmai Termination Agreement, we assigned to Katmai certain know-how, intellectual property rights, third-party vendor agreements, regulatory filings, and materials that we developed in connection with the development of ERAS-801 under the Katmai License Agreement, and Katmai is obligated to make payments to us upon the occurrence of specific events related to Katmai’s future development and commercialization of ERAS-801. In addition, we provided certain transition services to Katmai for a 90-day period, for which Katmai reimbursed us for our internal costs related to such services.</w:t>
      </w:r>
    </w:p>
    <w:p>
      <w:pPr>
        <w:pStyle w:val="TextBody"/>
        <w:bidi w:val="0"/>
        <w:jc w:val="left"/>
        <w:rPr>
          <w:rFonts w:ascii="Arial" w:hAnsi="Arial"/>
          <w:color w:val="000000"/>
          <w:sz w:val="20"/>
        </w:rPr>
      </w:pPr>
      <w:r>
        <w:rPr>
          <w:rFonts w:ascii="Arial" w:hAnsi="Arial"/>
          <w:color w:val="000000"/>
          <w:sz w:val="20"/>
        </w:rPr>
        <w:t>For additional information regarding our other in-license and acquisition agreements, see the section titled “Business—Our acquisition and license agreements” in our Annual Report on Form 10-K for the year ended December 31, 2024 filed with the SEC on March 20, 2025.</w:t>
      </w:r>
    </w:p>
    <w:p>
      <w:pPr>
        <w:pStyle w:val="TextBody"/>
        <w:bidi w:val="0"/>
        <w:spacing w:before="360" w:after="283"/>
        <w:jc w:val="left"/>
        <w:rPr>
          <w:rFonts w:ascii="Arial" w:hAnsi="Arial"/>
          <w:b/>
          <w:color w:val="000000"/>
          <w:sz w:val="20"/>
        </w:rPr>
      </w:pPr>
      <w:r>
        <w:rPr>
          <w:rFonts w:ascii="Arial" w:hAnsi="Arial"/>
          <w:b/>
          <w:color w:val="000000"/>
          <w:sz w:val="20"/>
        </w:rPr>
        <w:t>Components of results of operations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Operating expenses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Research and development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external costs, including expenses incurred under arrangements with third parties, such as contract research organizations (CROs), contract manufacturing organizations (CMOs), consultants and our scientific advisors; and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internal costs, including: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employee-related expenses, including salaries, benefits, and stock-based compensation for those individuals involved in research and development efforts;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costs of laboratory supplies and acquiring, developing and manufacturing preclinical study materials; and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facilities and depreciation, which include direct and allocated expenses for rent of facilities and depreciation.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research and development expenses incurred for the following periods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6"/>
        <w:gridCol w:w="146"/>
        <w:gridCol w:w="197"/>
        <w:gridCol w:w="284"/>
        <w:gridCol w:w="933"/>
        <w:gridCol w:w="197"/>
        <w:gridCol w:w="197"/>
        <w:gridCol w:w="284"/>
        <w:gridCol w:w="933"/>
        <w:gridCol w:w="146"/>
        <w:gridCol w:w="146"/>
        <w:gridCol w:w="146"/>
        <w:gridCol w:w="275"/>
        <w:gridCol w:w="905"/>
        <w:gridCol w:w="191"/>
        <w:gridCol w:w="191"/>
        <w:gridCol w:w="191"/>
        <w:gridCol w:w="275"/>
        <w:gridCol w:w="905"/>
        <w:gridCol w:w="197"/>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02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ERAS-0015</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ERAS-4001</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Naporafenib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discovery and preclinical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35,276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89,237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6"/>
        </w:rPr>
      </w:pPr>
      <w:r>
        <w:rPr>
          <w:rFonts w:ascii="Arial" w:hAnsi="Arial"/>
          <w:color w:val="000000"/>
          <w:sz w:val="16"/>
        </w:rPr>
        <w:t>(1) We in-licensed ERAS-0015 and ERAS-4001 in May 2024.</w:t>
      </w:r>
    </w:p>
    <w:p>
      <w:pPr>
        <w:pStyle w:val="TextBody"/>
        <w:bidi w:val="0"/>
        <w:spacing w:before="360" w:after="283"/>
        <w:jc w:val="left"/>
        <w:rPr>
          <w:rFonts w:ascii="Arial" w:hAnsi="Arial"/>
          <w:color w:val="000000"/>
          <w:sz w:val="20"/>
        </w:rPr>
      </w:pPr>
      <w:r>
        <w:rPr>
          <w:rFonts w:ascii="Arial" w:hAnsi="Arial"/>
          <w:color w:val="000000"/>
          <w:sz w:val="20"/>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development costs may vary significantly based on factors such as: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number and scope of preclinical and IND-enabling studies and clinical trials;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per patient trial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number of trials required for approval;</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 xml:space="preserve"> </w:t>
      </w:r>
      <w:r>
        <w:rPr>
          <w:rFonts w:ascii="Arial" w:hAnsi="Arial"/>
          <w:color w:val="000000"/>
          <w:sz w:val="20"/>
        </w:rPr>
        <w:t>the number of sites included in the trials;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countries in which the trials are conducted;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length of time required to enroll eligible patients;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number of patients that participate in the trials;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number of doses that patients receive;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drop-out or discontinuation rates of patients;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potential additional safety monitoring requested by regulatory agencies;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duration of patient participation in the trials and follow-up;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 and timing of manufacturing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phase of development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efficacy and safety profile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timing, receipt and terms of any approvals from applicable regulatory authorities;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maintaining a continued acceptable safety profile of our products following approval, if 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significant and changing government regulation and regulatory guidance;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impact of any interruptions to our operations or to those of third parties with whom we work due to geopolitical and economic events; and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extent to which we establish additional collaboration, license or other arrangements.</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consist primarily of our upfront payments, milestone payments, and our stock issuances in connection with our acquisition and in-license agreements.</w:t>
      </w:r>
    </w:p>
    <w:p>
      <w:pPr>
        <w:pStyle w:val="TextBody"/>
        <w:bidi w:val="0"/>
        <w:spacing w:before="360" w:after="283"/>
        <w:jc w:val="left"/>
        <w:rPr>
          <w:rFonts w:ascii="Arial" w:hAnsi="Arial"/>
          <w:b/>
          <w:color w:val="000000"/>
          <w:sz w:val="20"/>
        </w:rPr>
      </w:pPr>
      <w:r>
        <w:rPr>
          <w:rFonts w:ascii="Arial" w:hAnsi="Arial"/>
          <w:b/>
          <w:color w:val="000000"/>
          <w:sz w:val="20"/>
        </w:rPr>
        <w:t>General and administrative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income consists primarily of interest earned on our cash, cash equivalents and marketable securities.</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Comparison of the three months ended September 30, 2025 and 2024</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results of operations for the three months ended September 30, 2025 and 2024 (in thousands):</w:t>
      </w:r>
    </w:p>
    <w:p>
      <w:pPr>
        <w:pStyle w:val="TextBody"/>
        <w:bidi w:val="0"/>
        <w:jc w:val="left"/>
        <w:rPr/>
      </w:pPr>
      <w:r>
        <w:rPr/>
        <w:t> </w:t>
      </w:r>
    </w:p>
    <w:tbl>
      <w:tblPr>
        <w:tblW w:w="8885" w:type="dxa"/>
        <w:jc w:val="left"/>
        <w:tblInd w:w="0" w:type="dxa"/>
        <w:tblLayout w:type="fixed"/>
        <w:tblCellMar>
          <w:top w:w="28" w:type="dxa"/>
          <w:left w:w="28" w:type="dxa"/>
          <w:bottom w:w="28" w:type="dxa"/>
          <w:right w:w="28" w:type="dxa"/>
        </w:tblCellMar>
      </w:tblPr>
      <w:tblGrid>
        <w:gridCol w:w="3671"/>
        <w:gridCol w:w="146"/>
        <w:gridCol w:w="297"/>
        <w:gridCol w:w="1058"/>
        <w:gridCol w:w="233"/>
        <w:gridCol w:w="205"/>
        <w:gridCol w:w="297"/>
        <w:gridCol w:w="1058"/>
        <w:gridCol w:w="166"/>
        <w:gridCol w:w="146"/>
        <w:gridCol w:w="211"/>
        <w:gridCol w:w="646"/>
        <w:gridCol w:w="75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34,546</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(2,696</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(34,546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2,696</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3,934</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(30,612</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were $22.5 million for the three months ended September 30, 2025 compared to $27.6 million for the three months ended September 30, 2024. The decrease of $5.2 million was primarily driven by decreases of $2.8 million in expenses incurred in connection with clinical trials, preclinical studies and discovery activities and $2.4 million in outsourced services and consulting fees.</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were $2.0 million for the three months ended September 30, 2025 compared to $0 for the three months ended September 30, 2024. In-process research and development expenses for the three months ended September 30, 2025 were related to the achievement of milestones in connection with our license agreement with Medshine.</w:t>
      </w:r>
    </w:p>
    <w:p>
      <w:pPr>
        <w:pStyle w:val="TextBody"/>
        <w:bidi w:val="0"/>
        <w:spacing w:before="360" w:after="283"/>
        <w:jc w:val="left"/>
        <w:rPr>
          <w:rFonts w:ascii="Arial" w:hAnsi="Arial"/>
          <w:b/>
          <w:color w:val="000000"/>
          <w:sz w:val="20"/>
        </w:rPr>
      </w:pPr>
      <w:r>
        <w:rPr>
          <w:rFonts w:ascii="Arial" w:hAnsi="Arial"/>
          <w:b/>
          <w:color w:val="000000"/>
          <w:sz w:val="20"/>
        </w:rPr>
        <w:t>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were $10.1 million for the three months ended September 30, 2025 compared to $9.6 million for the three months ended September 30, 2024. The increase of $0.5 million was primarily driven by increases of $0.3 million in legal fees and $0.2 million in personnel costs, including stock-based compensation expense.</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(expense), net was $3.9 million for the three months ended September 30, 2025 compared to $6.0 million for the three months ended September 30, 2024. The decrease of $2.1 million was primarily related to a decrease in interest earned on our cash, cash equivalents and marketable securities of $1.9 million during the three months ended September 30, 2025.</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Comparison of the nine months ended September 30, 2025 and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our results of operations for the nine months ended September 30, 2025 and 2024</w:t>
      </w:r>
      <w:r>
        <w:rPr>
          <w:rFonts w:ascii="Times New Roman" w:hAnsi="Times New Roman"/>
          <w:color w:val="000000"/>
          <w:sz w:val="20"/>
        </w:rPr>
        <w:t xml:space="preserve"> </w:t>
      </w:r>
      <w:r>
        <w:rPr>
          <w:rFonts w:ascii="Arial" w:hAnsi="Arial"/>
          <w:color w:val="000000"/>
          <w:sz w:val="20"/>
        </w:rPr>
        <w:t>(in thousands):</w:t>
      </w:r>
    </w:p>
    <w:p>
      <w:pPr>
        <w:pStyle w:val="TextBody"/>
        <w:bidi w:val="0"/>
        <w:jc w:val="left"/>
        <w:rPr/>
      </w:pPr>
      <w:r>
        <w:rPr/>
        <w:t> </w:t>
      </w:r>
    </w:p>
    <w:tbl>
      <w:tblPr>
        <w:tblW w:w="8903" w:type="dxa"/>
        <w:jc w:val="left"/>
        <w:tblInd w:w="0" w:type="dxa"/>
        <w:tblLayout w:type="fixed"/>
        <w:tblCellMar>
          <w:top w:w="28" w:type="dxa"/>
          <w:left w:w="28" w:type="dxa"/>
          <w:bottom w:w="28" w:type="dxa"/>
          <w:right w:w="28" w:type="dxa"/>
        </w:tblCellMar>
      </w:tblPr>
      <w:tblGrid>
        <w:gridCol w:w="3671"/>
        <w:gridCol w:w="146"/>
        <w:gridCol w:w="262"/>
        <w:gridCol w:w="1065"/>
        <w:gridCol w:w="206"/>
        <w:gridCol w:w="181"/>
        <w:gridCol w:w="262"/>
        <w:gridCol w:w="1065"/>
        <w:gridCol w:w="166"/>
        <w:gridCol w:w="146"/>
        <w:gridCol w:w="211"/>
        <w:gridCol w:w="751"/>
        <w:gridCol w:w="77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(19,624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108,301</w:t>
            </w:r>
          </w:p>
        </w:tc>
        <w:tc>
          <w:tcPr>
            <w:tcW w:w="2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(35,574</w:t>
            </w:r>
          </w:p>
        </w:tc>
        <w:tc>
          <w:tcPr>
            <w:tcW w:w="7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35,574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(95,454</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33,964</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were $69.6 million for the nine months ended September 30, 2025 compared to $89.2 million for the nine months ended September 30, 2024. The decrease of $19.6 million was primarily driven by decreases of $5.8 million in expenses incurred in connection with clinical trials, preclinical studies and discovery activities, $4.9 million in outsourced services and consulting fees, $3.5 million in personnel costs, including stock-based compensation expense, and $2.0 million in facilities-related expenses and depreciation, and an impairment charge of $3.0 million on operating lease assets, leasehold improvements, and furniture related to the sublease plan of the first floor of our San Diego facility during the nine months ended September 30, 2024.</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were $9.5 million for the nine months ended September 30, 2025 compared to $22.5 million for the nine months ended September 30, 2024. In-process research and development expenses for the nine months ended September 30, 2025 were related to the achievement of milestones in connection with our license agreements with Joyo and Medshine. In-process research and development expenses for the nine months ended September 30, 2024 were related to upfront payments in connection with our license agreements with Joyo and Medshine.</w:t>
      </w:r>
    </w:p>
    <w:p>
      <w:pPr>
        <w:pStyle w:val="TextBody"/>
        <w:bidi w:val="0"/>
        <w:spacing w:before="360" w:after="283"/>
        <w:jc w:val="left"/>
        <w:rPr>
          <w:rFonts w:ascii="Arial" w:hAnsi="Arial"/>
          <w:b/>
          <w:color w:val="000000"/>
          <w:sz w:val="20"/>
        </w:rPr>
      </w:pPr>
      <w:r>
        <w:rPr>
          <w:rFonts w:ascii="Arial" w:hAnsi="Arial"/>
          <w:b/>
          <w:color w:val="000000"/>
          <w:sz w:val="20"/>
        </w:rPr>
        <w:t>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were $29.2 million for the nine months ended September 30, 2025 compared to $32.1 million for the nine months ended September 30, 2024. The decrease of $3.0 million was primarily driven by an impairment charge of $1.7 million on operating lease assets, leasehold improvements, and furniture related to the sublease plan of the first floor of our San Diego facility during the nine months ended September 30, 2024, and decreases of $0.6 million in legal fees, $0.4 million in facilities and office-related expenses, and $0.4 million in insurance costs.</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(expense), net was $12.8 million for the nine months ended September 30, 2025 compared to $14.5 million for the nine months ended September 30, 2024. The decrease of $1.6 million was primarily related to a decrease in interest earned on our cash, cash equivalents and marketable securities of $1.8 million during the nine months ended September 30, 2025, partially offset by a $0.4 million impairment charge on our investment in equity securities during the nine months ended September 30, 2024.</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Sources of liquidity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$317.0 million, net of underwriting discounts and commissions of $24.2 million and offering costs of $3.8 million. Prior to the IPO, we received aggregate gross proceeds of $320.4 million from the sale of shares of our convertible preferred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pStyle w:val="TextBody"/>
        <w:bidi w:val="0"/>
        <w:jc w:val="left"/>
        <w:rPr>
          <w:rFonts w:ascii="Arial" w:hAnsi="Arial"/>
          <w:color w:val="000000"/>
          <w:sz w:val="20"/>
        </w:rPr>
      </w:pPr>
      <w:r>
        <w:rPr>
          <w:rFonts w:ascii="Arial" w:hAnsi="Arial"/>
          <w:color w:val="000000"/>
          <w:sz w:val="20"/>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2022, we entered into the Sale Agreement with the Agent, pursuant to which, we could offer and sell shares of our common stock having an aggregate offering price of up to $200 million from time to time, in an ATM Offering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three and nine months ended September 30, 2024, we sold 9,231,114 shares of our common stock at a weighted-average price of $2.37 per share under the Sale Agreement with the Agent. Proceeds from the ATM Offerings during the three and nine months ended September 30, 2024 were $21.0 million, net of commissions and expenses of $0.8 million.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August 2025, we entered into the 2025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September 30, 2025, we had $200.0 million of shares available for sale under the ATM program.</w:t>
      </w:r>
    </w:p>
    <w:p>
      <w:pPr>
        <w:pStyle w:val="TextBody"/>
        <w:bidi w:val="0"/>
        <w:spacing w:before="360" w:after="283"/>
        <w:jc w:val="left"/>
        <w:rPr>
          <w:rFonts w:ascii="Arial" w:hAnsi="Arial"/>
          <w:b/>
          <w:color w:val="000000"/>
          <w:sz w:val="20"/>
        </w:rPr>
      </w:pPr>
      <w:r>
        <w:rPr>
          <w:rFonts w:ascii="Arial" w:hAnsi="Arial"/>
          <w:b/>
          <w:color w:val="000000"/>
          <w:sz w:val="20"/>
        </w:rPr>
        <w:t>Future capital requirements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we had cash, cash equivalents and marketable securities of $362.4 million. Based upon our current operating plans, we believe that our cash, cash equivalents and marketable securities will be sufficient to fund our operations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future capital requirements are difficult to forecast and will depend on many factors, including but not limited to: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costs and timing of manufacturing for our product candidates with CMOs, including commercial manufacturing, if any product candidate is approved;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costs, timing and outcome of regulatory review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costs of obtaining, maintaining and enforcing our patents and other intellectual property rights;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our efforts to enhance operational systems and hire additional personnel to satisfy our obligations as a public company, including enhanced internal controls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costs associated with hiring additional personnel, consultants, and CROs as our preclinical and clinical activities increase;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timing and amount of the milestone or other payments we must make to the licensors and other third parties from whom we have in-licensed or acquired our product candidates or technologies;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costs and timing of establishing or securing sales and marketing capabilities if any product candidate is approved;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our ability to achieve sufficient market acceptance, coverage and adequate reimbursement from third-party payors and adequate market share and revenue for any approved products;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patients’ willingness to pay out-of-pocket for any approved products in the absence of coverage and/or adequate reimbursement from third-party payors;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the terms and timing of establishing and maintaining collaborations, licenses and other similar arrangements;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any delays and cost increases that result from geopolitical and economic events;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evolving government regulation that impacts the way we operate, including the potential negative effects of changes in United States tariff and import/export regulations; and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costs associated with any products or technologies that we may in-license or acquire.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no other committed sources of capital. Until we can generate a sufficient amount of product revenue to finance our cash requirements, if ever, we expect to finance our future cash needs primarily through equity offerings (including through the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Cash flows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shows a summary of our cash flows for the periods presented (in thousands):</w:t>
      </w:r>
    </w:p>
    <w:p>
      <w:pPr>
        <w:pStyle w:val="TextBody"/>
        <w:bidi w:val="0"/>
        <w:jc w:val="left"/>
        <w:rPr/>
      </w:pPr>
      <w:r>
        <w:rPr/>
        <w:t> </w:t>
      </w:r>
    </w:p>
    <w:tbl>
      <w:tblPr>
        <w:tblW w:w="9595" w:type="dxa"/>
        <w:jc w:val="left"/>
        <w:tblInd w:w="0" w:type="dxa"/>
        <w:tblLayout w:type="fixed"/>
        <w:tblCellMar>
          <w:top w:w="28" w:type="dxa"/>
          <w:left w:w="28" w:type="dxa"/>
          <w:bottom w:w="28" w:type="dxa"/>
          <w:right w:w="28" w:type="dxa"/>
        </w:tblCellMar>
      </w:tblPr>
      <w:tblGrid>
        <w:gridCol w:w="6196"/>
        <w:gridCol w:w="146"/>
        <w:gridCol w:w="274"/>
        <w:gridCol w:w="977"/>
        <w:gridCol w:w="215"/>
        <w:gridCol w:w="189"/>
        <w:gridCol w:w="274"/>
        <w:gridCol w:w="1113"/>
        <w:gridCol w:w="2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239,896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color w:val="000000"/>
          <w:sz w:val="20"/>
        </w:rPr>
      </w:pPr>
      <w:r>
        <w:rPr>
          <w:rFonts w:ascii="Arial" w:hAnsi="Arial"/>
          <w:b/>
          <w:color w:val="000000"/>
          <w:sz w:val="20"/>
        </w:rPr>
        <w:t>Operating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used in operating activities was $73.7 million during the nine months ended September 30, 2025, primarily resulting from a net loss of $95.5 million, changes in operating assets and liabilities of $4.7 million and accretion on marketable securities of $4.5 million, partially reduced by stock-based compensation expense of $19.1 million, in-process research and development expenses of $9.5 million, which are reflected in investing activities, and depreciation and amortization expense of $2.4 million. Net cash used from changes in operating assets and liabilities consisted primarily of decreases in accrued expenses and other current and long-term liabilities of $5.4 million and operating lease assets and liabilities, net of $1.5 million and an increase in prepaid expenses and other current and long-term assets of $0.4 million, partially offset by an increase in accounts payable of $2.6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used in operating activities was $84.9 million during the nine months ended September 30, 2024, primarily resulting from a net loss of $129.4 million and accretion on marketable securities of $7.2 million, partially reduced by in-process research and development expenses of $22.5 million in connection with our license agreements with Joyo and Medshine, which are reflected in investing activities, stock-based compensation expense of $20.7 million, an impairment charge of $4.7 million on operating lease assets, leasehold improvements and furniture, depreciation and amortization expense of $3.0 million, and changes in operating assets and liabilities of $0.6 million. Net cash provided by changes in operating assets and liabilities consisted primarily of an increase in accounts payable, accrued expenses and other current and long-term liabilities of $3.6 million, partially offset by an increase in prepaid expenses and other current and long-term assets of $2.6 million.</w:t>
      </w:r>
    </w:p>
    <w:p>
      <w:pPr>
        <w:pStyle w:val="TextBody"/>
        <w:bidi w:val="0"/>
        <w:spacing w:before="360" w:after="283"/>
        <w:jc w:val="left"/>
        <w:rPr>
          <w:rFonts w:ascii="Arial" w:hAnsi="Arial"/>
          <w:b/>
          <w:color w:val="000000"/>
          <w:sz w:val="20"/>
        </w:rPr>
      </w:pPr>
      <w:r>
        <w:rPr>
          <w:rFonts w:ascii="Arial" w:hAnsi="Arial"/>
          <w:b/>
          <w:color w:val="000000"/>
          <w:sz w:val="20"/>
        </w:rPr>
        <w:t>Investing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provided by investing activities was $75.7 million during the nine months ended September 30, 2025 as compared to net cash used in investing activities of $179.2 million during the nine months ended September 30, 2024. The increase in cash provided by investing activities of $254.9 million was primarily the result of a decrease in purchases of marketable securities of $227.3 million, an increase in maturities of marketable securities of $14.5 million and a decrease in in-process research and development of $13.0 million.</w:t>
      </w:r>
    </w:p>
    <w:p>
      <w:pPr>
        <w:pStyle w:val="TextBody"/>
        <w:bidi w:val="0"/>
        <w:spacing w:before="360" w:after="283"/>
        <w:jc w:val="left"/>
        <w:rPr>
          <w:rFonts w:ascii="Arial" w:hAnsi="Arial"/>
          <w:b/>
          <w:color w:val="000000"/>
          <w:sz w:val="20"/>
        </w:rPr>
      </w:pPr>
      <w:r>
        <w:rPr>
          <w:rFonts w:ascii="Arial" w:hAnsi="Arial"/>
          <w:b/>
          <w:color w:val="000000"/>
          <w:sz w:val="20"/>
        </w:rPr>
        <w:t>Financing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provided by financing activities was $0.5 million during the nine months ended September 30, 2025 as compared to $239.9 million during the nine months ended September 30, 2024. During the nine months ended September 30, 2025, we received $0.4 million from the issuance of common stock under our ESPP and $0.1 million from the exercise of stock options. During the nine months ended September 30, 2024, we received $174.4 million of net proceeds for the issuance of common stock from the 2024 Offering, $43.6 million in net proceeds for the issuance of common stock from the 2024 Private Placement, $21.0 million in net proceeds for the issuance of common stock from the ATM Offerings, $0.4 million from the issuance of common stock under our ESPP and $0.4 million from the exercise of stock options.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Contractual obligations and commitments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there have been no material changes outside the ordinary course of our business to the contractual obligations we reported in “Management’s discussion and analysis of financial condition and results of operations – Cash requirements due to contractual obligations and other commitments,” included in our Annual Report on Form 10-K for the year ended December 31, 2024 filed with the SEC on March 20, 2025.</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and estimates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management discussion and analysis of financial condition and results of operations is based on our condensed consolidated financial statements, which have been prepared in accordance with US GAAP. The preparation of these condensed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As of September 30, 2025, there have been no material changes to our critical accounting policies and estimates from those disclosed in “Management’s discussion and analysis of financial condition and results of operations – Critical accounting policies and estimates,” included in our Annual Report on Form 10-K for the year ended December 31, 2024 filed with the SEC on March 20, 2025.</w:t>
      </w:r>
    </w:p>
    <w:p>
      <w:pPr>
        <w:pStyle w:val="TextBody"/>
        <w:bidi w:val="0"/>
        <w:spacing w:before="360" w:after="283"/>
        <w:jc w:val="left"/>
        <w:rPr>
          <w:rFonts w:ascii="Arial" w:hAnsi="Arial"/>
          <w:b/>
          <w:color w:val="000000"/>
          <w:sz w:val="20"/>
        </w:rPr>
      </w:pPr>
      <w:r>
        <w:rPr>
          <w:rFonts w:ascii="Arial" w:hAnsi="Arial"/>
          <w:b/>
          <w:color w:val="000000"/>
          <w:sz w:val="20"/>
        </w:rPr>
        <w:t>Recently issued and adopted accounting pronouncements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See Note 2 to our condensed consolidated financial statements included elsewhere in this Quarterly Report on Form 10-Q for recently issued and adopted accounting pronouncements.</w:t>
      </w:r>
    </w:p>
    <w:p>
      <w:pPr>
        <w:pStyle w:val="TextBody"/>
        <w:bidi w:val="0"/>
        <w:spacing w:before="360" w:after="283"/>
        <w:jc w:val="left"/>
        <w:rPr>
          <w:rFonts w:ascii="Arial" w:hAnsi="Arial"/>
          <w:b/>
          <w:color w:val="000000"/>
          <w:sz w:val="20"/>
        </w:rPr>
      </w:pPr>
      <w:r>
        <w:rPr>
          <w:rFonts w:ascii="Arial" w:hAnsi="Arial"/>
          <w:b/>
          <w:color w:val="000000"/>
          <w:sz w:val="20"/>
        </w:rPr>
        <w:t>Emerging growth company and smaller reporting company status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condensed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8" w:name="i_item3"/>
      <w:bookmarkEnd w:id="8"/>
      <w:r>
        <w:rPr>
          <w:rFonts w:ascii="Arial" w:hAnsi="Arial"/>
          <w:b/>
          <w:color w:val="000000"/>
          <w:sz w:val="20"/>
        </w:rPr>
        <w:t>Item 3. Quantitative and Qualitative Disclosures About Market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our Annual Report on Form 10-K for the year ended December 31, 2024 filed with the SEC on March 20, 2025.</w:t>
      </w:r>
    </w:p>
    <w:p>
      <w:pPr>
        <w:pStyle w:val="TextBody"/>
        <w:bidi w:val="0"/>
        <w:spacing w:before="360" w:after="283"/>
        <w:jc w:val="left"/>
        <w:rPr>
          <w:rFonts w:ascii="Arial" w:hAnsi="Arial"/>
          <w:b/>
          <w:color w:val="000000"/>
          <w:sz w:val="20"/>
        </w:rPr>
      </w:pPr>
      <w:bookmarkStart w:id="9" w:name="i_item4"/>
      <w:bookmarkEnd w:id="9"/>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September 30, 2025, our disclosure controls and procedures were effective at the reasonable assurance level.</w:t>
      </w:r>
    </w:p>
    <w:p>
      <w:pPr>
        <w:pStyle w:val="TextBody"/>
        <w:bidi w:val="0"/>
        <w:spacing w:before="36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changes in our internal control over financial reporting during the quarter ended September 30, 2025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II—OTHER INFORMATION</w:t>
      </w:r>
    </w:p>
    <w:p>
      <w:pPr>
        <w:pStyle w:val="TextBody"/>
        <w:bidi w:val="0"/>
        <w:spacing w:before="360" w:after="283"/>
        <w:jc w:val="left"/>
        <w:rPr>
          <w:rFonts w:ascii="Arial" w:hAnsi="Arial"/>
          <w:b/>
          <w:color w:val="000000"/>
          <w:sz w:val="20"/>
        </w:rPr>
      </w:pPr>
      <w:bookmarkStart w:id="10" w:name="ii_item1"/>
      <w:bookmarkEnd w:id="10"/>
      <w:r>
        <w:rPr>
          <w:rFonts w:ascii="Arial" w:hAnsi="Arial"/>
          <w:b/>
          <w:color w:val="000000"/>
          <w:sz w:val="20"/>
        </w:rPr>
        <w:t>Item 1. Legal Proceedings.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360" w:after="283"/>
        <w:jc w:val="left"/>
        <w:rPr>
          <w:rFonts w:ascii="Arial" w:hAnsi="Arial"/>
          <w:b/>
          <w:color w:val="000000"/>
          <w:sz w:val="20"/>
        </w:rPr>
      </w:pPr>
      <w:bookmarkStart w:id="11" w:name="ii_item1a"/>
      <w:bookmarkEnd w:id="11"/>
      <w:r>
        <w:rPr>
          <w:rFonts w:ascii="Arial" w:hAnsi="Arial"/>
          <w:b/>
          <w:color w:val="000000"/>
          <w:sz w:val="20"/>
        </w:rPr>
        <w:t>Item 1A. Risk Factors.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material changes to the risk factors set forth in Part I, Item 1A of our Annual Report on Form 10-K for the year ended December 31, 2024 filed with the SEC on March 20, 2025, other than as set forth in Part II, Item 1A, "Risk Factors" of our Quarterly Report on Form 10-Q for the quarter ended March 31, 2025 filed with the SEC on May 13, 2025.</w:t>
      </w:r>
    </w:p>
    <w:p>
      <w:pPr>
        <w:pStyle w:val="TextBody"/>
        <w:bidi w:val="0"/>
        <w:spacing w:before="360" w:after="283"/>
        <w:jc w:val="left"/>
        <w:rPr>
          <w:rFonts w:ascii="Arial" w:hAnsi="Arial"/>
          <w:b/>
          <w:color w:val="000000"/>
          <w:sz w:val="20"/>
        </w:rPr>
      </w:pPr>
      <w:bookmarkStart w:id="12" w:name="ii_item2"/>
      <w:bookmarkEnd w:id="12"/>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20"/>
        </w:rPr>
      </w:pPr>
      <w:bookmarkStart w:id="13" w:name="ii_item3"/>
      <w:bookmarkEnd w:id="13"/>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14" w:name="ii_item4"/>
      <w:bookmarkEnd w:id="14"/>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15" w:name="ii_item5"/>
      <w:bookmarkEnd w:id="15"/>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Rule 10b5-1 Trading Plans</w:t>
      </w:r>
    </w:p>
    <w:p>
      <w:pPr>
        <w:pStyle w:val="TextBody"/>
        <w:bidi w:val="0"/>
        <w:jc w:val="left"/>
        <w:rPr>
          <w:rFonts w:ascii="Times New Roman" w:hAnsi="Times New Roman"/>
          <w:sz w:val="20"/>
        </w:rPr>
      </w:pPr>
      <w:r>
        <w:rPr>
          <w:rFonts w:ascii="Arial" w:hAnsi="Arial"/>
          <w:color w:val="000000"/>
          <w:sz w:val="20"/>
        </w:rPr>
        <w:t>During the three months ended September 30, 2025, none of our officers (as defined in Rule 16a–1(f)) or directors adopted, materially modified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Rule 10b5-1 trading arrangement or non-Rule 10b5-1 trading arrangement, as each such term is defined in Item 408 of Regulation S-K.</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i_item6"/>
      <w:bookmarkEnd w:id="16"/>
      <w:r>
        <w:rPr>
          <w:rFonts w:ascii="Arial" w:hAnsi="Arial"/>
          <w:b/>
          <w:color w:val="000000"/>
          <w:sz w:val="20"/>
        </w:rPr>
        <w:t>Item 6.</w:t>
      </w:r>
      <w:r>
        <w:rPr>
          <w:rFonts w:ascii="Times New Roman" w:hAnsi="Times New Roman"/>
          <w:color w:val="000000"/>
          <w:sz w:val="20"/>
        </w:rPr>
        <w:t xml:space="preserve"> </w:t>
      </w:r>
      <w:r>
        <w:rPr>
          <w:rFonts w:ascii="Arial" w:hAnsi="Arial"/>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5764"/>
        <w:gridCol w:w="146"/>
        <w:gridCol w:w="526"/>
        <w:gridCol w:w="146"/>
        <w:gridCol w:w="660"/>
        <w:gridCol w:w="146"/>
        <w:gridCol w:w="736"/>
        <w:gridCol w:w="146"/>
        <w:gridCol w:w="99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4"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5"/>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Filed Herewith</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Erasca,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7/20/2021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Amended and Restated Bylaws of Erasca,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7/20/2021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Amended and Restated Stockholders Agreement, dated April 15, 2020,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6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Amended and Restated Open Market Sale Agreement</w:t>
              </w:r>
            </w:hyperlink>
            <w:hyperlink r:id="rId8">
              <w:r>
                <w:rPr>
                  <w:rStyle w:val="InternetLink"/>
                  <w:rFonts w:ascii="Arial" w:hAnsi="Arial"/>
                  <w:color w:val="0000FF"/>
                  <w:sz w:val="13"/>
                  <w:u w:val="single"/>
                </w:rPr>
                <w:t>SM</w:t>
              </w:r>
            </w:hyperlink>
            <w:hyperlink r:id="rId9">
              <w:r>
                <w:rPr>
                  <w:rStyle w:val="InternetLink"/>
                  <w:rFonts w:ascii="Arial" w:hAnsi="Arial"/>
                  <w:color w:val="0000FF"/>
                  <w:sz w:val="20"/>
                  <w:u w:val="single"/>
                </w:rPr>
                <w:t>, dated August 12, 2025, by and between the Registrant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w:anchor="eras-ex31_1.htm">
              <w:r>
                <w:rPr>
                  <w:rStyle w:val="InternetLink"/>
                  <w:rFonts w:ascii="Arial" w:hAnsi="Arial"/>
                  <w:color w:val="0000FF"/>
                  <w:sz w:val="20"/>
                  <w:u w:val="single"/>
                </w:rPr>
                <w:t>Certification of Chief Executive Officer of Erasca,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w:anchor="eras-ex31_2.htm">
              <w:r>
                <w:rPr>
                  <w:rStyle w:val="InternetLink"/>
                  <w:rFonts w:ascii="Arial" w:hAnsi="Arial"/>
                  <w:color w:val="0000FF"/>
                  <w:sz w:val="20"/>
                  <w:u w:val="single"/>
                </w:rPr>
                <w:t>Certification of Chief Financial Officer of Erasca,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w:anchor="eras-ex32_1.htm">
              <w:r>
                <w:rPr>
                  <w:rStyle w:val="InternetLink"/>
                  <w:rFonts w:ascii="Arial" w:hAnsi="Arial"/>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pPr>
            <w:hyperlink w:anchor="eras-ex32_2.htm">
              <w:r>
                <w:rPr>
                  <w:rStyle w:val="InternetLink"/>
                  <w:rFonts w:ascii="Arial" w:hAnsi="Arial"/>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7" w:name="signatures"/>
      <w:bookmarkEnd w:id="17"/>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2341"/>
        <w:gridCol w:w="146"/>
        <w:gridCol w:w="406"/>
        <w:gridCol w:w="456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Erasca, Inc.</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Jonathan E. Lim, M.D.</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Jonathan E. Lim, M.D.</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Chairman, Chief Executive Officer and Co-Founder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18"/>
              </w:rPr>
              <w:t>(Principal Executive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M. Chacko, M.D.</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David M. Chacko, M.D.</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 and Chief Business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18"/>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right"/>
        <w:rPr/>
      </w:pPr>
      <w:bookmarkStart w:id="18" w:name="eras-ex31_1.htm"/>
      <w:bookmarkStart w:id="19" w:name="kserasex31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Arial" w:hAnsi="Arial"/>
          <w:b/>
          <w:color w:val="000000"/>
          <w:sz w:val="18"/>
        </w:rPr>
        <w:t>CERTIFICATION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 Jonathan E. Lim, M.D., certify that:</w:t>
      </w:r>
    </w:p>
    <w:p>
      <w:pPr>
        <w:pStyle w:val="TextBody"/>
        <w:bidi w:val="0"/>
        <w:spacing w:before="60" w:after="283"/>
        <w:jc w:val="left"/>
        <w:rPr>
          <w:rFonts w:ascii="Arial" w:hAnsi="Arial"/>
          <w:color w:val="000000"/>
          <w:sz w:val="18"/>
        </w:rPr>
      </w:pPr>
      <w:r>
        <w:rPr>
          <w:rFonts w:ascii="Arial" w:hAnsi="Arial"/>
          <w:color w:val="000000"/>
          <w:sz w:val="18"/>
        </w:rPr>
        <w:t>1.</w:t>
      </w:r>
    </w:p>
    <w:p>
      <w:pPr>
        <w:pStyle w:val="TextBody"/>
        <w:bidi w:val="0"/>
        <w:spacing w:before="60" w:after="283"/>
        <w:jc w:val="left"/>
        <w:rPr>
          <w:rFonts w:ascii="Arial" w:hAnsi="Arial"/>
          <w:color w:val="000000"/>
          <w:sz w:val="18"/>
        </w:rPr>
      </w:pPr>
      <w:r>
        <w:rPr>
          <w:rFonts w:ascii="Arial" w:hAnsi="Arial"/>
          <w:color w:val="000000"/>
          <w:sz w:val="18"/>
        </w:rPr>
        <w:t>I have reviewed this Quarterly Report on Form 10-Q of Erasca, Inc.;</w:t>
      </w:r>
    </w:p>
    <w:p>
      <w:pPr>
        <w:pStyle w:val="TextBody"/>
        <w:bidi w:val="0"/>
        <w:spacing w:before="60" w:after="283"/>
        <w:jc w:val="left"/>
        <w:rPr>
          <w:rFonts w:ascii="Arial" w:hAnsi="Arial"/>
          <w:color w:val="000000"/>
          <w:sz w:val="18"/>
        </w:rPr>
      </w:pPr>
      <w:r>
        <w:rPr>
          <w:rFonts w:ascii="Arial" w:hAnsi="Arial"/>
          <w:color w:val="000000"/>
          <w:sz w:val="18"/>
        </w:rPr>
        <w:t>2.</w:t>
      </w:r>
    </w:p>
    <w:p>
      <w:pPr>
        <w:pStyle w:val="TextBody"/>
        <w:bidi w:val="0"/>
        <w:spacing w:before="6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Arial" w:hAnsi="Arial"/>
          <w:color w:val="000000"/>
          <w:sz w:val="18"/>
        </w:rPr>
      </w:pPr>
      <w:r>
        <w:rPr>
          <w:rFonts w:ascii="Arial" w:hAnsi="Arial"/>
          <w:color w:val="000000"/>
          <w:sz w:val="18"/>
        </w:rPr>
        <w:t>3.</w:t>
      </w:r>
    </w:p>
    <w:p>
      <w:pPr>
        <w:pStyle w:val="TextBody"/>
        <w:bidi w:val="0"/>
        <w:spacing w:before="6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Arial" w:hAnsi="Arial"/>
          <w:color w:val="000000"/>
          <w:sz w:val="18"/>
        </w:rPr>
      </w:pPr>
      <w:r>
        <w:rPr>
          <w:rFonts w:ascii="Arial" w:hAnsi="Arial"/>
          <w:color w:val="000000"/>
          <w:sz w:val="18"/>
        </w:rPr>
        <w:t>4.</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Arial" w:hAnsi="Arial"/>
          <w:color w:val="000000"/>
          <w:sz w:val="18"/>
        </w:rPr>
      </w:pPr>
      <w:r>
        <w:rPr>
          <w:rFonts w:ascii="Arial" w:hAnsi="Arial"/>
          <w:color w:val="000000"/>
          <w:sz w:val="18"/>
        </w:rPr>
        <w:t>(c)</w:t>
      </w:r>
    </w:p>
    <w:p>
      <w:pPr>
        <w:pStyle w:val="TextBody"/>
        <w:bidi w:val="0"/>
        <w:spacing w:before="6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Arial" w:hAnsi="Arial"/>
          <w:color w:val="000000"/>
          <w:sz w:val="18"/>
        </w:rPr>
      </w:pPr>
      <w:r>
        <w:rPr>
          <w:rFonts w:ascii="Arial" w:hAnsi="Arial"/>
          <w:color w:val="000000"/>
          <w:sz w:val="18"/>
        </w:rPr>
        <w:t>(d)</w:t>
      </w:r>
    </w:p>
    <w:p>
      <w:pPr>
        <w:pStyle w:val="TextBody"/>
        <w:bidi w:val="0"/>
        <w:spacing w:before="6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Arial" w:hAnsi="Arial"/>
          <w:color w:val="000000"/>
          <w:sz w:val="18"/>
        </w:rPr>
      </w:pPr>
      <w:r>
        <w:rPr>
          <w:rFonts w:ascii="Arial" w:hAnsi="Arial"/>
          <w:color w:val="000000"/>
          <w:sz w:val="18"/>
        </w:rPr>
        <w:t>5.</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73" w:type="dxa"/>
        <w:jc w:val="left"/>
        <w:tblInd w:w="0" w:type="dxa"/>
        <w:tblLayout w:type="fixed"/>
        <w:tblCellMar>
          <w:top w:w="28" w:type="dxa"/>
          <w:left w:w="28" w:type="dxa"/>
          <w:bottom w:w="28" w:type="dxa"/>
          <w:right w:w="28" w:type="dxa"/>
        </w:tblCellMar>
      </w:tblPr>
      <w:tblGrid>
        <w:gridCol w:w="2221"/>
        <w:gridCol w:w="361"/>
        <w:gridCol w:w="4291"/>
      </w:tblGrid>
      <w:tr>
        <w:trPr/>
        <w:tc>
          <w:tcPr>
            <w:tcW w:w="2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Date: November 12, 2025</w:t>
            </w:r>
          </w:p>
        </w:tc>
        <w:tc>
          <w:tcPr>
            <w:tcW w:w="3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By:</w:t>
            </w:r>
          </w:p>
        </w:tc>
        <w:tc>
          <w:tcPr>
            <w:tcW w:w="429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8"/>
              </w:rPr>
            </w:pPr>
            <w:r>
              <w:rPr>
                <w:rFonts w:ascii="Arial" w:hAnsi="Arial"/>
                <w:color w:val="000000"/>
                <w:sz w:val="18"/>
              </w:rPr>
              <w:t>/s/ Jonathan E. Lim, M.D.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8"/>
              </w:rPr>
            </w:pPr>
            <w:r>
              <w:rPr>
                <w:rFonts w:ascii="Arial" w:hAnsi="Arial"/>
                <w:color w:val="000000"/>
                <w:sz w:val="18"/>
              </w:rPr>
              <w:t>Jonathan E. Lim, M.D.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30"/>
              <w:jc w:val="center"/>
              <w:rPr>
                <w:rFonts w:ascii="Arial" w:hAnsi="Arial"/>
                <w:color w:val="000000"/>
                <w:sz w:val="18"/>
              </w:rPr>
            </w:pPr>
            <w:r>
              <w:rPr>
                <w:rFonts w:ascii="Arial" w:hAnsi="Arial"/>
                <w:color w:val="000000"/>
                <w:sz w:val="18"/>
              </w:rPr>
              <w:t>Chairman, Chief Executive Officer and Co-Founder</w:t>
            </w:r>
          </w:p>
          <w:p>
            <w:pPr>
              <w:pStyle w:val="TableContents"/>
              <w:bidi w:val="0"/>
              <w:spacing w:before="0" w:after="30"/>
              <w:jc w:val="center"/>
              <w:rPr>
                <w:rFonts w:ascii="Arial" w:hAnsi="Arial"/>
                <w:color w:val="000000"/>
                <w:sz w:val="18"/>
              </w:rPr>
            </w:pPr>
            <w:r>
              <w:rPr>
                <w:rFonts w:ascii="Arial" w:hAnsi="Arial"/>
                <w:color w:val="000000"/>
                <w:sz w:val="18"/>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0" w:name="eras-ex31_2.htm"/>
      <w:bookmarkStart w:id="21" w:name="kserasex31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Arial" w:hAnsi="Arial"/>
          <w:b/>
          <w:color w:val="000000"/>
          <w:sz w:val="18"/>
        </w:rPr>
        <w:t>CERTIFICATION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 David M. Chacko, M.D., certify that:</w:t>
      </w:r>
    </w:p>
    <w:p>
      <w:pPr>
        <w:pStyle w:val="TextBody"/>
        <w:bidi w:val="0"/>
        <w:spacing w:before="60" w:after="283"/>
        <w:jc w:val="left"/>
        <w:rPr>
          <w:rFonts w:ascii="Arial" w:hAnsi="Arial"/>
          <w:color w:val="000000"/>
          <w:sz w:val="18"/>
        </w:rPr>
      </w:pPr>
      <w:r>
        <w:rPr>
          <w:rFonts w:ascii="Arial" w:hAnsi="Arial"/>
          <w:color w:val="000000"/>
          <w:sz w:val="18"/>
        </w:rPr>
        <w:t>1.</w:t>
      </w:r>
    </w:p>
    <w:p>
      <w:pPr>
        <w:pStyle w:val="TextBody"/>
        <w:bidi w:val="0"/>
        <w:spacing w:before="60" w:after="283"/>
        <w:jc w:val="left"/>
        <w:rPr>
          <w:rFonts w:ascii="Arial" w:hAnsi="Arial"/>
          <w:color w:val="000000"/>
          <w:sz w:val="18"/>
        </w:rPr>
      </w:pPr>
      <w:r>
        <w:rPr>
          <w:rFonts w:ascii="Arial" w:hAnsi="Arial"/>
          <w:color w:val="000000"/>
          <w:sz w:val="18"/>
        </w:rPr>
        <w:t>I have reviewed this Quarterly Report on Form 10-Q of Erasca, Inc.;</w:t>
      </w:r>
    </w:p>
    <w:p>
      <w:pPr>
        <w:pStyle w:val="TextBody"/>
        <w:bidi w:val="0"/>
        <w:spacing w:before="60" w:after="283"/>
        <w:jc w:val="left"/>
        <w:rPr>
          <w:rFonts w:ascii="Arial" w:hAnsi="Arial"/>
          <w:color w:val="000000"/>
          <w:sz w:val="18"/>
        </w:rPr>
      </w:pPr>
      <w:r>
        <w:rPr>
          <w:rFonts w:ascii="Arial" w:hAnsi="Arial"/>
          <w:color w:val="000000"/>
          <w:sz w:val="18"/>
        </w:rPr>
        <w:t>2.</w:t>
      </w:r>
    </w:p>
    <w:p>
      <w:pPr>
        <w:pStyle w:val="TextBody"/>
        <w:bidi w:val="0"/>
        <w:spacing w:before="6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Arial" w:hAnsi="Arial"/>
          <w:color w:val="000000"/>
          <w:sz w:val="18"/>
        </w:rPr>
      </w:pPr>
      <w:r>
        <w:rPr>
          <w:rFonts w:ascii="Arial" w:hAnsi="Arial"/>
          <w:color w:val="000000"/>
          <w:sz w:val="18"/>
        </w:rPr>
        <w:t>3.</w:t>
      </w:r>
    </w:p>
    <w:p>
      <w:pPr>
        <w:pStyle w:val="TextBody"/>
        <w:bidi w:val="0"/>
        <w:spacing w:before="6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Arial" w:hAnsi="Arial"/>
          <w:color w:val="000000"/>
          <w:sz w:val="18"/>
        </w:rPr>
      </w:pPr>
      <w:r>
        <w:rPr>
          <w:rFonts w:ascii="Arial" w:hAnsi="Arial"/>
          <w:color w:val="000000"/>
          <w:sz w:val="18"/>
        </w:rPr>
        <w:t>4.</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Arial" w:hAnsi="Arial"/>
          <w:color w:val="000000"/>
          <w:sz w:val="18"/>
        </w:rPr>
      </w:pPr>
      <w:r>
        <w:rPr>
          <w:rFonts w:ascii="Arial" w:hAnsi="Arial"/>
          <w:color w:val="000000"/>
          <w:sz w:val="18"/>
        </w:rPr>
        <w:t>(c)</w:t>
      </w:r>
    </w:p>
    <w:p>
      <w:pPr>
        <w:pStyle w:val="TextBody"/>
        <w:bidi w:val="0"/>
        <w:spacing w:before="6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Arial" w:hAnsi="Arial"/>
          <w:color w:val="000000"/>
          <w:sz w:val="18"/>
        </w:rPr>
      </w:pPr>
      <w:r>
        <w:rPr>
          <w:rFonts w:ascii="Arial" w:hAnsi="Arial"/>
          <w:color w:val="000000"/>
          <w:sz w:val="18"/>
        </w:rPr>
        <w:t>(d)</w:t>
      </w:r>
    </w:p>
    <w:p>
      <w:pPr>
        <w:pStyle w:val="TextBody"/>
        <w:bidi w:val="0"/>
        <w:spacing w:before="6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Arial" w:hAnsi="Arial"/>
          <w:color w:val="000000"/>
          <w:sz w:val="18"/>
        </w:rPr>
      </w:pPr>
      <w:r>
        <w:rPr>
          <w:rFonts w:ascii="Arial" w:hAnsi="Arial"/>
          <w:color w:val="000000"/>
          <w:sz w:val="18"/>
        </w:rPr>
        <w:t>5.</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38" w:type="dxa"/>
        <w:jc w:val="left"/>
        <w:tblInd w:w="0" w:type="dxa"/>
        <w:tblLayout w:type="fixed"/>
        <w:tblCellMar>
          <w:top w:w="28" w:type="dxa"/>
          <w:left w:w="28" w:type="dxa"/>
          <w:bottom w:w="28" w:type="dxa"/>
          <w:right w:w="28" w:type="dxa"/>
        </w:tblCellMar>
      </w:tblPr>
      <w:tblGrid>
        <w:gridCol w:w="2221"/>
        <w:gridCol w:w="361"/>
        <w:gridCol w:w="4156"/>
      </w:tblGrid>
      <w:tr>
        <w:trPr/>
        <w:tc>
          <w:tcPr>
            <w:tcW w:w="2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Date: November 12, 2025</w:t>
            </w:r>
          </w:p>
        </w:tc>
        <w:tc>
          <w:tcPr>
            <w:tcW w:w="3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By:</w:t>
            </w:r>
          </w:p>
        </w:tc>
        <w:tc>
          <w:tcPr>
            <w:tcW w:w="415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8"/>
              </w:rPr>
            </w:pPr>
            <w:r>
              <w:rPr>
                <w:rFonts w:ascii="Arial" w:hAnsi="Arial"/>
                <w:color w:val="000000"/>
                <w:sz w:val="18"/>
              </w:rPr>
              <w:t>/s/ David M. Chacko, M.D.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8"/>
              </w:rPr>
            </w:pPr>
            <w:r>
              <w:rPr>
                <w:rFonts w:ascii="Arial" w:hAnsi="Arial"/>
                <w:color w:val="000000"/>
                <w:sz w:val="18"/>
              </w:rPr>
              <w:t>David M. Chacko, M.D.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shd w:fill="FFFFFF" w:val="clear"/>
            <w:tcMar>
              <w:top w:w="0" w:type="dxa"/>
              <w:left w:w="0" w:type="dxa"/>
              <w:bottom w:w="0" w:type="dxa"/>
              <w:right w:w="0" w:type="dxa"/>
            </w:tcMar>
            <w:vAlign w:val="center"/>
          </w:tcPr>
          <w:p>
            <w:pPr>
              <w:pStyle w:val="TableContents"/>
              <w:bidi w:val="0"/>
              <w:spacing w:before="75" w:after="283"/>
              <w:jc w:val="center"/>
              <w:rPr>
                <w:rFonts w:ascii="Arial" w:hAnsi="Arial"/>
                <w:color w:val="000000"/>
                <w:sz w:val="18"/>
              </w:rPr>
            </w:pPr>
            <w:r>
              <w:rPr>
                <w:rFonts w:ascii="Arial" w:hAnsi="Arial"/>
                <w:color w:val="000000"/>
                <w:sz w:val="18"/>
              </w:rPr>
              <w:t>Chief Financial Officer and Chief Business Officer</w:t>
            </w:r>
          </w:p>
          <w:p>
            <w:pPr>
              <w:pStyle w:val="TableContents"/>
              <w:bidi w:val="0"/>
              <w:spacing w:before="0" w:after="30"/>
              <w:jc w:val="center"/>
              <w:rPr>
                <w:rFonts w:ascii="Arial" w:hAnsi="Arial"/>
                <w:color w:val="000000"/>
                <w:sz w:val="18"/>
              </w:rPr>
            </w:pPr>
            <w:r>
              <w:rPr>
                <w:rFonts w:ascii="Arial" w:hAnsi="Arial"/>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2" w:name="eras-ex32_1.htm"/>
      <w:bookmarkStart w:id="23" w:name="kserasex32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Arial" w:hAnsi="Arial"/>
          <w:b/>
          <w:color w:val="000000"/>
          <w:sz w:val="19"/>
        </w:rPr>
      </w:pPr>
      <w:r>
        <w:rPr>
          <w:rFonts w:ascii="Arial" w:hAnsi="Arial"/>
          <w:b/>
          <w:color w:val="000000"/>
          <w:sz w:val="19"/>
        </w:rPr>
        <w:t>CERTIFICATION PURSUANT TO</w:t>
      </w:r>
    </w:p>
    <w:p>
      <w:pPr>
        <w:pStyle w:val="TextBody"/>
        <w:bidi w:val="0"/>
        <w:jc w:val="center"/>
        <w:rPr>
          <w:rFonts w:ascii="Arial" w:hAnsi="Arial"/>
          <w:b/>
          <w:color w:val="000000"/>
          <w:sz w:val="19"/>
        </w:rPr>
      </w:pPr>
      <w:r>
        <w:rPr>
          <w:rFonts w:ascii="Arial" w:hAnsi="Arial"/>
          <w:b/>
          <w:color w:val="000000"/>
          <w:sz w:val="19"/>
        </w:rPr>
        <w:t>18 U.S.C. SECTION 1350, AS ADOPTED PURSUANT TO</w:t>
      </w:r>
    </w:p>
    <w:p>
      <w:pPr>
        <w:pStyle w:val="TextBody"/>
        <w:bidi w:val="0"/>
        <w:jc w:val="center"/>
        <w:rPr>
          <w:rFonts w:ascii="Arial" w:hAnsi="Arial"/>
          <w:b/>
          <w:color w:val="000000"/>
          <w:sz w:val="19"/>
        </w:rPr>
      </w:pPr>
      <w:r>
        <w:rPr>
          <w:rFonts w:ascii="Arial" w:hAnsi="Arial"/>
          <w:b/>
          <w:color w:val="000000"/>
          <w:sz w:val="19"/>
        </w:rPr>
        <w:t>SECTION 906 OF THE SARBANES-OXLEY ACT OF 2002</w:t>
      </w:r>
    </w:p>
    <w:p>
      <w:pPr>
        <w:pStyle w:val="TextBody"/>
        <w:bidi w:val="0"/>
        <w:spacing w:before="240" w:after="283"/>
        <w:jc w:val="left"/>
        <w:rPr>
          <w:rFonts w:ascii="Arial" w:hAnsi="Arial"/>
          <w:color w:val="000000"/>
          <w:sz w:val="19"/>
        </w:rPr>
      </w:pPr>
      <w:r>
        <w:rPr>
          <w:rFonts w:ascii="Arial" w:hAnsi="Arial"/>
          <w:color w:val="000000"/>
          <w:sz w:val="19"/>
        </w:rPr>
        <w:t>In connection with the Quarterly Report on Form 10-Q of Erasca, Inc.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19"/>
        </w:rPr>
      </w:pPr>
      <w:r>
        <w:rPr>
          <w:rFonts w:ascii="Arial" w:hAnsi="Arial"/>
          <w:color w:val="000000"/>
          <w:sz w:val="19"/>
        </w:rPr>
        <w:t>(1)</w:t>
      </w:r>
    </w:p>
    <w:p>
      <w:pPr>
        <w:pStyle w:val="TextBody"/>
        <w:bidi w:val="0"/>
        <w:spacing w:before="240" w:after="283"/>
        <w:jc w:val="left"/>
        <w:rPr>
          <w:rFonts w:ascii="Arial" w:hAnsi="Arial"/>
          <w:color w:val="000000"/>
          <w:sz w:val="19"/>
        </w:rPr>
      </w:pPr>
      <w:r>
        <w:rPr>
          <w:rFonts w:ascii="Arial" w:hAnsi="Arial"/>
          <w:color w:val="000000"/>
          <w:sz w:val="19"/>
        </w:rPr>
        <w:t>The Report fully complies with the requirements of section 13(a) or 15(d) of the Securities Exchange Act of 1934; and</w:t>
      </w:r>
    </w:p>
    <w:p>
      <w:pPr>
        <w:pStyle w:val="TextBody"/>
        <w:bidi w:val="0"/>
        <w:spacing w:before="240" w:after="283"/>
        <w:jc w:val="left"/>
        <w:rPr>
          <w:rFonts w:ascii="Arial" w:hAnsi="Arial"/>
          <w:color w:val="000000"/>
          <w:sz w:val="19"/>
        </w:rPr>
      </w:pPr>
      <w:r>
        <w:rPr>
          <w:rFonts w:ascii="Arial" w:hAnsi="Arial"/>
          <w:color w:val="000000"/>
          <w:sz w:val="19"/>
        </w:rPr>
        <w:t>(2)</w:t>
      </w:r>
    </w:p>
    <w:p>
      <w:pPr>
        <w:pStyle w:val="TextBody"/>
        <w:bidi w:val="0"/>
        <w:spacing w:before="240" w:after="283"/>
        <w:jc w:val="left"/>
        <w:rPr>
          <w:rFonts w:ascii="Arial" w:hAnsi="Arial"/>
          <w:color w:val="000000"/>
          <w:sz w:val="19"/>
        </w:rPr>
      </w:pPr>
      <w:r>
        <w:rPr>
          <w:rFonts w:ascii="Arial" w:hAnsi="Arial"/>
          <w:color w:val="000000"/>
          <w:sz w:val="19"/>
        </w:rPr>
        <w:t>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7308" w:type="dxa"/>
        <w:jc w:val="left"/>
        <w:tblInd w:w="0" w:type="dxa"/>
        <w:tblLayout w:type="fixed"/>
        <w:tblCellMar>
          <w:top w:w="28" w:type="dxa"/>
          <w:left w:w="28" w:type="dxa"/>
          <w:bottom w:w="28" w:type="dxa"/>
          <w:right w:w="28" w:type="dxa"/>
        </w:tblCellMar>
      </w:tblPr>
      <w:tblGrid>
        <w:gridCol w:w="2341"/>
        <w:gridCol w:w="406"/>
        <w:gridCol w:w="4561"/>
      </w:tblGrid>
      <w:tr>
        <w:trPr/>
        <w:tc>
          <w:tcPr>
            <w:tcW w:w="23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Date: November 12,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By:</w:t>
            </w:r>
          </w:p>
        </w:tc>
        <w:tc>
          <w:tcPr>
            <w:tcW w:w="45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9"/>
              </w:rPr>
            </w:pPr>
            <w:r>
              <w:rPr>
                <w:rFonts w:ascii="Arial" w:hAnsi="Arial"/>
                <w:color w:val="000000"/>
                <w:sz w:val="19"/>
              </w:rPr>
              <w:t>/s/ Jonathan E. Lim, M.D.</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9"/>
              </w:rPr>
            </w:pPr>
            <w:r>
              <w:rPr>
                <w:rFonts w:ascii="Arial" w:hAnsi="Arial"/>
                <w:color w:val="000000"/>
                <w:sz w:val="19"/>
              </w:rPr>
              <w:t>Jonathan E. Lim, M.D.</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30"/>
              <w:jc w:val="center"/>
              <w:rPr>
                <w:rFonts w:ascii="Arial" w:hAnsi="Arial"/>
                <w:color w:val="000000"/>
                <w:sz w:val="19"/>
              </w:rPr>
            </w:pPr>
            <w:r>
              <w:rPr>
                <w:rFonts w:ascii="Arial" w:hAnsi="Arial"/>
                <w:color w:val="000000"/>
                <w:sz w:val="19"/>
              </w:rPr>
              <w:t>Chairman, Chief Executive Officer and Co-Founder</w:t>
            </w:r>
          </w:p>
          <w:p>
            <w:pPr>
              <w:pStyle w:val="TableContents"/>
              <w:bidi w:val="0"/>
              <w:spacing w:before="0" w:after="30"/>
              <w:jc w:val="center"/>
              <w:rPr>
                <w:rFonts w:ascii="Arial" w:hAnsi="Arial"/>
                <w:color w:val="000000"/>
                <w:sz w:val="18"/>
              </w:rPr>
            </w:pPr>
            <w:r>
              <w:rPr>
                <w:rFonts w:ascii="Arial" w:hAnsi="Arial"/>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4" w:name="eras-ex32_2.htm"/>
      <w:bookmarkStart w:id="25" w:name="kserasex32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Arial" w:hAnsi="Arial"/>
          <w:b/>
          <w:color w:val="000000"/>
          <w:sz w:val="19"/>
        </w:rPr>
      </w:pPr>
      <w:r>
        <w:rPr>
          <w:rFonts w:ascii="Arial" w:hAnsi="Arial"/>
          <w:b/>
          <w:color w:val="000000"/>
          <w:sz w:val="19"/>
        </w:rPr>
        <w:t>CERTIFICATION PURSUANT TO</w:t>
      </w:r>
    </w:p>
    <w:p>
      <w:pPr>
        <w:pStyle w:val="TextBody"/>
        <w:bidi w:val="0"/>
        <w:jc w:val="center"/>
        <w:rPr>
          <w:rFonts w:ascii="Arial" w:hAnsi="Arial"/>
          <w:b/>
          <w:color w:val="000000"/>
          <w:sz w:val="19"/>
        </w:rPr>
      </w:pPr>
      <w:r>
        <w:rPr>
          <w:rFonts w:ascii="Arial" w:hAnsi="Arial"/>
          <w:b/>
          <w:color w:val="000000"/>
          <w:sz w:val="19"/>
        </w:rPr>
        <w:t>18 U.S.C. SECTION 1350, AS ADOPTED PURSUANT TO</w:t>
      </w:r>
    </w:p>
    <w:p>
      <w:pPr>
        <w:pStyle w:val="TextBody"/>
        <w:bidi w:val="0"/>
        <w:jc w:val="center"/>
        <w:rPr>
          <w:rFonts w:ascii="Arial" w:hAnsi="Arial"/>
          <w:b/>
          <w:color w:val="000000"/>
          <w:sz w:val="19"/>
        </w:rPr>
      </w:pPr>
      <w:r>
        <w:rPr>
          <w:rFonts w:ascii="Arial" w:hAnsi="Arial"/>
          <w:b/>
          <w:color w:val="000000"/>
          <w:sz w:val="19"/>
        </w:rPr>
        <w:t>SECTION 906 OF THE SARBANES-OXLEY ACT OF 2002</w:t>
      </w:r>
    </w:p>
    <w:p>
      <w:pPr>
        <w:pStyle w:val="TextBody"/>
        <w:bidi w:val="0"/>
        <w:spacing w:before="240" w:after="283"/>
        <w:jc w:val="left"/>
        <w:rPr>
          <w:rFonts w:ascii="Arial" w:hAnsi="Arial"/>
          <w:color w:val="000000"/>
          <w:sz w:val="19"/>
        </w:rPr>
      </w:pPr>
      <w:r>
        <w:rPr>
          <w:rFonts w:ascii="Arial" w:hAnsi="Arial"/>
          <w:color w:val="000000"/>
          <w:sz w:val="19"/>
        </w:rPr>
        <w:t>In connection with the Quarterly Report on Form 10-Q of Erasca, Inc.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19"/>
        </w:rPr>
      </w:pPr>
      <w:r>
        <w:rPr>
          <w:rFonts w:ascii="Arial" w:hAnsi="Arial"/>
          <w:color w:val="000000"/>
          <w:sz w:val="19"/>
        </w:rPr>
        <w:t>(1)</w:t>
      </w:r>
    </w:p>
    <w:p>
      <w:pPr>
        <w:pStyle w:val="TextBody"/>
        <w:bidi w:val="0"/>
        <w:spacing w:before="240" w:after="283"/>
        <w:jc w:val="left"/>
        <w:rPr>
          <w:rFonts w:ascii="Arial" w:hAnsi="Arial"/>
          <w:color w:val="000000"/>
          <w:sz w:val="19"/>
        </w:rPr>
      </w:pPr>
      <w:r>
        <w:rPr>
          <w:rFonts w:ascii="Arial" w:hAnsi="Arial"/>
          <w:color w:val="000000"/>
          <w:sz w:val="19"/>
        </w:rPr>
        <w:t>The Report fully complies with the requirements of section 13(a) or 15(d) of the Securities Exchange Act of 1934; and</w:t>
      </w:r>
    </w:p>
    <w:p>
      <w:pPr>
        <w:pStyle w:val="TextBody"/>
        <w:bidi w:val="0"/>
        <w:spacing w:before="240" w:after="283"/>
        <w:jc w:val="left"/>
        <w:rPr>
          <w:rFonts w:ascii="Arial" w:hAnsi="Arial"/>
          <w:color w:val="000000"/>
          <w:sz w:val="19"/>
        </w:rPr>
      </w:pPr>
      <w:r>
        <w:rPr>
          <w:rFonts w:ascii="Arial" w:hAnsi="Arial"/>
          <w:color w:val="000000"/>
          <w:sz w:val="19"/>
        </w:rPr>
        <w:t>(2)</w:t>
      </w:r>
    </w:p>
    <w:p>
      <w:pPr>
        <w:pStyle w:val="TextBody"/>
        <w:bidi w:val="0"/>
        <w:spacing w:before="240" w:after="283"/>
        <w:jc w:val="left"/>
        <w:rPr>
          <w:rFonts w:ascii="Arial" w:hAnsi="Arial"/>
          <w:color w:val="000000"/>
          <w:sz w:val="19"/>
        </w:rPr>
      </w:pPr>
      <w:r>
        <w:rPr>
          <w:rFonts w:ascii="Arial" w:hAnsi="Arial"/>
          <w:color w:val="000000"/>
          <w:sz w:val="19"/>
        </w:rPr>
        <w:t>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7233" w:type="dxa"/>
        <w:jc w:val="left"/>
        <w:tblInd w:w="0" w:type="dxa"/>
        <w:tblLayout w:type="fixed"/>
        <w:tblCellMar>
          <w:top w:w="28" w:type="dxa"/>
          <w:left w:w="28" w:type="dxa"/>
          <w:bottom w:w="28" w:type="dxa"/>
          <w:right w:w="28" w:type="dxa"/>
        </w:tblCellMar>
      </w:tblPr>
      <w:tblGrid>
        <w:gridCol w:w="2341"/>
        <w:gridCol w:w="406"/>
        <w:gridCol w:w="4486"/>
      </w:tblGrid>
      <w:tr>
        <w:trPr/>
        <w:tc>
          <w:tcPr>
            <w:tcW w:w="23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Date: November 12, 2025</w:t>
            </w:r>
          </w:p>
        </w:tc>
        <w:tc>
          <w:tcPr>
            <w:tcW w:w="40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By:</w:t>
            </w:r>
          </w:p>
        </w:tc>
        <w:tc>
          <w:tcPr>
            <w:tcW w:w="448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9"/>
              </w:rPr>
            </w:pPr>
            <w:r>
              <w:rPr>
                <w:rFonts w:ascii="Arial" w:hAnsi="Arial"/>
                <w:color w:val="000000"/>
                <w:sz w:val="19"/>
              </w:rPr>
              <w:t>/s/ David M. Chacko, M.D.</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9"/>
              </w:rPr>
            </w:pPr>
            <w:r>
              <w:rPr>
                <w:rFonts w:ascii="Arial" w:hAnsi="Arial"/>
                <w:color w:val="000000"/>
                <w:sz w:val="19"/>
              </w:rPr>
              <w:t>David M. Chacko, M.D.</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75" w:after="283"/>
              <w:jc w:val="center"/>
              <w:rPr>
                <w:rFonts w:ascii="Arial" w:hAnsi="Arial"/>
                <w:color w:val="000000"/>
                <w:sz w:val="19"/>
              </w:rPr>
            </w:pPr>
            <w:r>
              <w:rPr>
                <w:rFonts w:ascii="Arial" w:hAnsi="Arial"/>
                <w:color w:val="000000"/>
                <w:sz w:val="19"/>
              </w:rPr>
              <w:t>Chief Financial Officer and Chief Business Officer</w:t>
            </w:r>
          </w:p>
          <w:p>
            <w:pPr>
              <w:pStyle w:val="TableContents"/>
              <w:bidi w:val="0"/>
              <w:spacing w:before="0" w:after="30"/>
              <w:jc w:val="center"/>
              <w:rPr>
                <w:rFonts w:ascii="Arial" w:hAnsi="Arial"/>
                <w:color w:val="000000"/>
                <w:sz w:val="18"/>
              </w:rPr>
            </w:pPr>
            <w:r>
              <w:rPr>
                <w:rFonts w:ascii="Arial" w:hAnsi="Arial"/>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1918/000119312521219642/d81810dex31.htm" TargetMode="External"/><Relationship Id="rId4" Type="http://schemas.openxmlformats.org/officeDocument/2006/relationships/hyperlink" Target="https://www.sec.gov/Archives/edgar/data/1761918/000119312521219642/d81810dex32.htm" TargetMode="External"/><Relationship Id="rId5" Type="http://schemas.openxmlformats.org/officeDocument/2006/relationships/hyperlink" Target="https://www.sec.gov/Archives/edgar/data/1761918/000119312521200537/d176019dex41.htm" TargetMode="External"/><Relationship Id="rId6" Type="http://schemas.openxmlformats.org/officeDocument/2006/relationships/hyperlink" Target="https://www.sec.gov/Archives/edgar/data/1761918/000119312521200537/d176019dex42.htm" TargetMode="External"/><Relationship Id="rId7" Type="http://schemas.openxmlformats.org/officeDocument/2006/relationships/hyperlink" Target="https://www.sec.gov/Archives/edgar/data/1761918/000119312525179038/d945821dex12.htm" TargetMode="External"/><Relationship Id="rId8" Type="http://schemas.openxmlformats.org/officeDocument/2006/relationships/hyperlink" Target="https://www.sec.gov/Archives/edgar/data/1761918/000119312525179038/d945821dex12.htm" TargetMode="External"/><Relationship Id="rId9" Type="http://schemas.openxmlformats.org/officeDocument/2006/relationships/hyperlink" Target="https://www.sec.gov/Archives/edgar/data/1761918/000119312525179038/d945821dex1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22965</Words>
  <Characters>127283</Characters>
  <CharactersWithSpaces>151485</CharactersWithSpaces>
  <Paragraphs>5444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