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ras-20261015.htm"/>
      <w:bookmarkStart w:id="1" w:name="kseras2026101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Erasca,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83-1217027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3115 Merryfield Row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465-6511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October 15, 2026, Erasca, Inc. (the Company) decided to realign its leadership responsibilities to support the development and potential commercialization of its RAS-targeting programs. Responsibilities currently overseen by the Chief Operating Officer are transitioning to other members of the Company’s leadership team in order to streamline the Company’s reporting structure. Accordingly, the employment of Nicholas (Nik) Chetwyn, Ph.D., the Company’s Chief Operating Officer, will terminate effective November 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34" w:type="dxa"/>
        <w:jc w:val="left"/>
        <w:tblInd w:w="0" w:type="dxa"/>
        <w:tblLayout w:type="fixed"/>
        <w:tblCellMar>
          <w:top w:w="28" w:type="dxa"/>
          <w:left w:w="28" w:type="dxa"/>
          <w:bottom w:w="28" w:type="dxa"/>
          <w:right w:w="28" w:type="dxa"/>
        </w:tblCellMar>
      </w:tblPr>
      <w:tblGrid>
        <w:gridCol w:w="556"/>
        <w:gridCol w:w="1516"/>
        <w:gridCol w:w="451"/>
        <w:gridCol w:w="17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Erasca,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7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Ebun Garner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433</Words>
  <Characters>2488</Characters>
  <CharactersWithSpaces>2916</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