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71010d8k.htm"/>
      <w:bookmarkStart w:id="1" w:name="ksd3710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Erasca,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83-1217027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3115 Merryfield Row</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300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Diego,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92121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(858) 465-6511</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left"/>
              <w:rPr>
                <w:rFonts w:ascii="Times New Roman" w:hAnsi="Times New Roman"/>
              </w:rPr>
            </w:pPr>
            <w:r>
              <w:rPr>
                <w:rFonts w:ascii="Times New Roman" w:hAnsi="Times New Roman"/>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265" w:type="dxa"/>
        <w:jc w:val="left"/>
        <w:tblInd w:w="0" w:type="dxa"/>
        <w:tblLayout w:type="fixed"/>
        <w:tblCellMar>
          <w:top w:w="0" w:type="dxa"/>
          <w:left w:w="0" w:type="dxa"/>
          <w:bottom w:w="0" w:type="dxa"/>
          <w:right w:w="0" w:type="dxa"/>
        </w:tblCellMar>
      </w:tblPr>
      <w:tblGrid>
        <w:gridCol w:w="4265"/>
        <w:gridCol w:w="60"/>
        <w:gridCol w:w="740"/>
        <w:gridCol w:w="60"/>
        <w:gridCol w:w="314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1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ERAS</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July 13, 2026, Erasca, Inc. (the “Company”) entered into an underwriting agreement (the “Underwriting Agreement”) with J.P. Morgan Securities LLC, Morgan Stanley &amp; Co. LLC, Jefferies LLC and Evercore Group L.L.C., as representatives of the several underwriters named therein (collectively, the “Underwriters”), relating to the issuance and sale of 31,428,572 shares (the “Shares”) of the Company’s common stock, par value $0.0001 per share (the “Common Stock”) at an offering price to the public of $17.50 per Share. The Underwriters have agreed to purchase the Shares from the Company pursuant to the Underwriting Agreement at a price of $16.45 per Share. In addition, the Company has granted the Underwriters a 30-day option to purchase up to 4,714,285 additional shares of Common Stock at the public offering price, less underwriting discounts and commissions. The net proceeds to the Company from this offering are expected to be approximately $516.0 million, or approximately $593.5 million if the Underwriters’ option to purchase additional shares is exercised in full, after deducting underwriting discounts and commissions and estimated offering expenses payable by the Company. The offering is expected to close on July 15,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shelf registration statement on Form S-3 (Registration Statement No. 333-297427) which automatically became effective upon filing with the Securities and Exchange Commission (the “SEC”) on July 13, 2026, and prospectus supplement and accompanying prospectus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is not complete and is qualified in its entirety by reference to the full text of the Underwriting Agreement, a copy of which is filed as Exhibit 1.1 to this report and is incorporated by reference herein. A copy of the opinion of Latham &amp; Watkins LLP relating to the legality of the issuance and sale of Common Stock in the offering is attached as Exhibit 5.1 to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issued press releases on July 13, 2026 announcing the commencement and pricing of the offering. Copies of the press releases are attached as Exhibits 99.1 and 99.2 to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cautions you that statements contained in this report regarding matters that are not historical facts are forward-looking statements. The forward-looking statements are based on the Company’s current beliefs and expectations and include, but are not limited to: the Company’s expectations regarding the completion of the offering and the expected net proceeds therefrom. The inclusion of forward-looking statements should not be regarded as a representation by the Company that any of these results will be achieved. Actual results may differ from those set forth in this report due to the risks and uncertainties associated with market conditions, the satisfaction of customary closing conditions related to the offering, as well as risks and uncertainties inherent in the Company’s business described in the Company’s prior filings with the SEC, including under the heading “Risk Factors” in the Company’s Annual Report on Form 10-K for the fiscal year ended December 31, 2025, and in any subsequent filings with the SEC.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71010dex11.htm">
              <w:r>
                <w:rPr>
                  <w:rStyle w:val="InternetLink"/>
                </w:rPr>
                <w:t xml:space="preserve">Underwriting Agreement, dated July 13, 2026, by and among Erasca, Inc. and J.P. Morgan Securities LLC, Morgan Stanley &amp; Co. LLC, Jefferies LLC and Evercore Group L.L.C., as representatives of the several underwriters named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71010dex51.htm">
              <w:r>
                <w:rPr>
                  <w:rStyle w:val="InternetLink"/>
                </w:rPr>
                <w:t xml:space="preserve">Opinion of Latham &amp; Watkins LLP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71010dex51.htm">
              <w:r>
                <w:rPr>
                  <w:rStyle w:val="InternetLink"/>
                </w:rPr>
                <w:t xml:space="preserve">Consent of Latham &amp; Watkins LLP (included in Exhibit 5.1)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71010dex991.htm">
              <w:r>
                <w:rPr>
                  <w:rStyle w:val="InternetLink"/>
                </w:rPr>
                <w:t xml:space="preserve">Press Release dated July 13,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371010dex992.htm">
              <w:r>
                <w:rPr>
                  <w:rStyle w:val="InternetLink"/>
                </w:rPr>
                <w:t xml:space="preserve">Press Release dated July 13,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70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24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Erasca,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Ebun Garner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Ebun Garner, Chief Legal Officer</w:t>
            </w:r>
          </w:p>
        </w:tc>
      </w:tr>
    </w:tbl>
    <w:p>
      <w:pPr>
        <w:pStyle w:val="TextBody"/>
        <w:bidi w:val="0"/>
        <w:spacing w:before="0" w:after="0"/>
        <w:jc w:val="right"/>
        <w:rPr>
          <w:rFonts w:ascii="Times New Roman" w:hAnsi="Times New Roman"/>
          <w:b/>
          <w:sz w:val="20"/>
        </w:rPr>
      </w:pPr>
      <w:bookmarkStart w:id="2" w:name="d371010dex11.htm"/>
      <w:bookmarkStart w:id="3" w:name="ksd371010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Erasca, Inc. </w:t>
      </w:r>
    </w:p>
    <w:p>
      <w:pPr>
        <w:pStyle w:val="TextBody"/>
        <w:bidi w:val="0"/>
        <w:spacing w:before="240" w:after="0"/>
        <w:jc w:val="center"/>
        <w:rPr>
          <w:rFonts w:ascii="Times New Roman" w:hAnsi="Times New Roman"/>
          <w:sz w:val="20"/>
        </w:rPr>
      </w:pPr>
      <w:r>
        <w:rPr>
          <w:rFonts w:ascii="Times New Roman" w:hAnsi="Times New Roman"/>
          <w:sz w:val="20"/>
        </w:rPr>
        <w:t xml:space="preserve">31,428,572 Shares of Common Stock, par value $0.0001 per share </w:t>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13, 2026 </w:t>
      </w:r>
    </w:p>
    <w:p>
      <w:pPr>
        <w:pStyle w:val="TextBody"/>
        <w:bidi w:val="0"/>
        <w:spacing w:before="36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Evercore Group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36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10179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36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120" w:after="0"/>
        <w:jc w:val="left"/>
        <w:rPr>
          <w:rFonts w:ascii="Times New Roman" w:hAnsi="Times New Roman"/>
          <w:sz w:val="20"/>
        </w:rPr>
      </w:pPr>
      <w:r>
        <w:rPr>
          <w:rFonts w:ascii="Times New Roman" w:hAnsi="Times New Roman"/>
          <w:sz w:val="20"/>
        </w:rPr>
        <w:t xml:space="preserve">c/o Evercore Group L.L.C. </w:t>
      </w:r>
    </w:p>
    <w:p>
      <w:pPr>
        <w:pStyle w:val="TextBody"/>
        <w:bidi w:val="0"/>
        <w:spacing w:before="0" w:after="0"/>
        <w:jc w:val="left"/>
        <w:rPr>
          <w:rFonts w:ascii="Times New Roman" w:hAnsi="Times New Roman"/>
          <w:sz w:val="20"/>
        </w:rPr>
      </w:pPr>
      <w:r>
        <w:rPr>
          <w:rFonts w:ascii="Times New Roman" w:hAnsi="Times New Roman"/>
          <w:sz w:val="20"/>
        </w:rPr>
        <w:t xml:space="preserve">55 East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10055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Erasca, Inc., a Delaware corporation (the “Company”), proposes to issue and sell to the several underwriters listed in Schedule 1 hereto (the “Underwriters”), for whom J.P. Morgan Securities LLC (“JPM”), Morgan Stanley &amp; Co. LLC (“Morgan Stanley”), Jefferies LLC (“Jefferies”) and Evercore Group L.L.C. (“Evercore”) are acting as representatives (the “Representatives”), an aggregate of 31,428,572 shares of common stock, par value $0.0001 per share (the “Common Stock”), of the Company (the “Underwritten Shares”) and, at the option of the Underwriters, up to an additional 4,714,285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Shares,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on Form S-3 (File No. 333-297427), including a prospectus, relating to the Shares. The Company meets the requirements for use of Form S-3 under the Securities Act. The proposed offering of the Shares may be made pursuant to General Instruction 1.B.1 of Form S-3.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Annex A, the “Pricing Disclosure Package”): a Preliminary Prospectus dated July 13, 2026 and each “free-writing prospectus” (as defined pursuant to Rule 405 under the Securities Act) listed on Annex A hereto. </w:t>
      </w:r>
    </w:p>
    <w:p>
      <w:pPr>
        <w:pStyle w:val="TextBody"/>
        <w:bidi w:val="0"/>
        <w:spacing w:before="240" w:after="0"/>
        <w:jc w:val="left"/>
        <w:rPr/>
      </w:pPr>
      <w:r>
        <w:rPr/>
        <w:t>“</w:t>
      </w:r>
      <w:r>
        <w:rPr>
          <w:rFonts w:ascii="Times New Roman" w:hAnsi="Times New Roman"/>
          <w:sz w:val="20"/>
        </w:rPr>
        <w:t xml:space="preserve">Applicable Time” means 7:30 P.M., New York City time, on July 13,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$16.45 (the “Purchase Price”) from the Company the respective number of Underwritten Shares set forth opposite such Underwriter’s name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 provided that if such date and time of delivery are the same as the Closing Date, such notice may be given one business day prior to such date and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 </w:t>
      </w:r>
    </w:p>
    <w:p>
      <w:pPr>
        <w:pStyle w:val="TextBody"/>
        <w:bidi w:val="0"/>
        <w:spacing w:before="240" w:after="0"/>
        <w:jc w:val="left"/>
        <w:rPr>
          <w:rFonts w:ascii="Times New Roman" w:hAnsi="Times New Roman"/>
          <w:sz w:val="20"/>
        </w:rPr>
      </w:pPr>
      <w:r>
        <w:rPr>
          <w:rFonts w:ascii="Times New Roman" w:hAnsi="Times New Roman"/>
          <w:sz w:val="20"/>
        </w:rPr>
        <w:t xml:space="preserve">(c) Payment for the Shares shall be made by wire transfer in immediately available funds to the account specified by the Company to the Representatives in the case of the Underwritten Shares, at the offices of Cooley LLP, counsel for the Underwriters, at 3 Embarcadero Center, 20th Floor, San Francisco, CA 94111, at 10:00 A.M., New York City time, on July 15, 2026,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each time and date for such payment for the Option Shares, if other than the Closing Date, is herein referred to as an “Additional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Payment for the Shares to be purchased on the Closing Date or an Additional Closing Date, as the case may be, shall be made against delivery to the Representatives for the respective accounts of the several Underwriters of the Shares to be purchased on such Closing Date or the Additional Closing Date, as the case may be, with any transfer taxes payable in connection with the sale of such Shares duly paid by the Company. Delivery of the Shares shall be made through the facilities of The Depository Trust Company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Preliminary Prospectus. </w:t>
      </w:r>
      <w:r>
        <w:rPr>
          <w:rFonts w:ascii="Times New Roman" w:hAnsi="Times New Roman"/>
          <w:sz w:val="20"/>
        </w:rPr>
        <w:t xml:space="preserve">No order preventing or suspending the use of any Preliminary Prospectus has been issued by the Commission, and each Preliminary Prospectus included in the Pricing Disclosure Package, at the time of filing thereof, complied in all material respects with the applicable requirements of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w:t>
      </w:r>
      <w:r>
        <w:rPr>
          <w:rFonts w:ascii="Times New Roman" w:hAnsi="Times New Roman"/>
          <w:sz w:val="20"/>
        </w:rPr>
        <w:t xml:space="preserve">. The Pricing Disclosure Package as of the Applicable Time did not, and as of the Closing Date and as of each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such approval not to be unreasonably withheld, conditioned, or delayed.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filed prior to the first use of such Issuer Free Writing Prospectus, did not, and as of the Closing Date and as of each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Emerging Growth Company</w:t>
      </w:r>
      <w:r>
        <w:rPr>
          <w:rFonts w:ascii="Times New Roman" w:hAnsi="Times New Roman"/>
          <w:sz w:val="20"/>
        </w:rPr>
        <w:t xml:space="preserve">. From the time of initial confidential submission of the registration statement relating to the Company’s initial public offering to the Commission (or, if earlier, 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Testing-the-Waters Materials. </w:t>
      </w:r>
      <w:r>
        <w:rPr>
          <w:rFonts w:ascii="Times New Roman" w:hAnsi="Times New Roman"/>
          <w:sz w:val="20"/>
        </w:rPr>
        <w:t xml:space="preserve">The Company (i) has not engaged in any Testing-the-Waters Communications and (ii) has not authorized anyone to engage in Testing-the-Waters Communications. The Company has not distributed or approved for distribution any Written Testing-the-Waters Communications. “Written Testing-the-Waters Communication” means any Testing-the-Waters Communication that is a written communication within the meaning of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each Additional Closing Date, as the case may be, the Prospectus complied with and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Incorporated Documents. </w:t>
      </w:r>
      <w:r>
        <w:rPr>
          <w:rFonts w:ascii="Times New Roman" w:hAnsi="Times New Roman"/>
          <w:sz w:val="20"/>
        </w:rPr>
        <w:t xml:space="preserve">The documents incorporated by reference in the Registration Statement, the 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unaudited interim financial statements, which are subject to normal yearend adjustments, the effect of which would not individually or in the aggregate, be materially adverse,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if any, comply with Regulation G of the Exchange Act and Item 10 of Regulation S-K of the Securities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Material Adverse Change.</w:t>
      </w:r>
      <w:r>
        <w:rPr>
          <w:rFonts w:ascii="Times New Roman" w:hAnsi="Times New Roman"/>
          <w:sz w:val="20"/>
        </w:rPr>
        <w:t xml:space="preserve"> Since the date of the most recent financial statements of the Company included or incorporated by reference in the Registration Statement, the Pricing Disclosure Package and the Prospectus, (i) there has not been any change in the capital stock (other than the issuance of shares of Common Stock upon exercise of stock options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that singularly, or in the aggregate, is a significant subsidiary.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Capitalization.</w:t>
      </w:r>
      <w:r>
        <w:rPr>
          <w:rFonts w:ascii="Times New Roman" w:hAnsi="Times New Roman"/>
          <w:sz w:val="20"/>
        </w:rPr>
        <w:t xml:space="preserve"> The Company has an authorized capitalization as set forth in the Registration Statement, the Pricing Disclosure Package and the Prospectus;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Stock Options. </w:t>
      </w:r>
      <w:r>
        <w:rPr>
          <w:rFonts w:ascii="Times New Roman" w:hAnsi="Times New Roman"/>
          <w:sz w:val="20"/>
        </w:rPr>
        <w:t xml:space="preserve">With respect to the stock options (the “Stock Options”) granted pursuant to the stock-based compensation plans of the Company (the “Company Stock Plans”), except as would not, individually or in the aggregate, reasonably be expected to have a Material Adverse Effect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to the knowledge of the Company (other than with respect to due execution and delivery by the Company)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(“Nasdaq Market”) and any other exchange on which Company securities are traded, and (iv) each such grant was properly accounted for in accordance with GAAP in the financial statements (including the related notes) of the Company. Each Company Stock Plan is accurately described in all material respects in the Registration Statement, the Pricing Disclosure Package and the Prospectus.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Due Authorization.</w:t>
      </w:r>
      <w:r>
        <w:rPr>
          <w:rFonts w:ascii="Times New Roman" w:hAnsi="Times New Roman"/>
          <w:sz w:val="20"/>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The Shares. </w:t>
      </w:r>
      <w:r>
        <w:rPr>
          <w:rFonts w:ascii="Times New Roman" w:hAnsi="Times New Roman"/>
          <w:sz w:val="20"/>
        </w:rPr>
        <w:t xml:space="preserve">The Shares to be issued and sold by the Company hereunder have been duly authorized by the Company and, when 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been duly waived.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Listing</w:t>
      </w:r>
      <w:r>
        <w:rPr>
          <w:rFonts w:ascii="Times New Roman" w:hAnsi="Times New Roman"/>
          <w:sz w:val="20"/>
        </w:rPr>
        <w:t xml:space="preserve">. The Shares have been approved for listing on the Nasdaq Market, subject to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Description of the Underwriting Agreement.</w:t>
      </w:r>
      <w:r>
        <w:rPr>
          <w:rFonts w:ascii="Times New Roman" w:hAnsi="Times New Roman"/>
          <w:sz w:val="20"/>
        </w:rPr>
        <w:t xml:space="preserve"> This Agreement conforms in all material respects to the description thereof contained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applicable law or statute or any judgment, order, rule or regulation of any court or arbitrator or governmental or regulatory authority having jurisdiction over the Company or its subsidiaries, as applicable, except, in the case of clauses (ii) and (iii) above, for any such default or violation that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the issuance and sale of the Shares and the consummation of the transactions by the Company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except, in the case of clauses (i) and (iii) above, for any such conflict, breach, violation, default, lien, charge or encumbrance that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Consents Required.</w:t>
      </w:r>
      <w:r>
        <w:rPr>
          <w:rFonts w:ascii="Times New Roman" w:hAnsi="Times New Roman"/>
          <w:sz w:val="20"/>
        </w:rPr>
        <w:t xml:space="preserve"> No consent, filing, approval, authorization, order, license, registration or qualification of or with any court or arbitrator or governmental or regulatory authority is required for the execution, delivery and performance by the Company of this Agreement, the issuance and sale of the Shares and the consummation by the Company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the Nasdaq Market and under applicable state securities laws in connection with the purchase and distribution of the Shares by the Underwriters.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Legal Proceedings.</w:t>
      </w:r>
      <w:r>
        <w:rPr>
          <w:rFonts w:ascii="Times New Roman" w:hAnsi="Times New Roman"/>
          <w:sz w:val="20"/>
        </w:rPr>
        <w:t xml:space="preserve"> There are no legal, governmental or regulatory investigations, actions, demands, claims, suits, arbitrations, inquiries or proceedings (“Actions”) pending to which the Company or any of its subsidiaries is or may reasonably be expected to become a party or to which any property of the Company or any of its subsidiaries is or may reasonably be expected to be the subject that, individually or in the aggregate, if determined adversely to the Company or any of its subsidiaries, could reasonably be expected to have a Material Adverse Effect; to the knowledge of the Company, no such Actions that would reasonably be expected, individually or in the aggregate, if determined adversely to the Company or any of its subsidiaries, to have a Material Adverse Effect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Independent Accountants</w:t>
      </w:r>
      <w:r>
        <w:rPr>
          <w:rFonts w:ascii="Times New Roman" w:hAnsi="Times New Roman"/>
          <w:sz w:val="20"/>
        </w:rPr>
        <w:t xml:space="preserve">. KPMG LLP, who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Title to Real and Personal Property</w:t>
      </w:r>
      <w:r>
        <w:rPr>
          <w:rFonts w:ascii="Times New Roman" w:hAnsi="Times New Roman"/>
          <w:sz w:val="20"/>
        </w:rPr>
        <w:t xml:space="preserve">. The Company and its subsidiaries have good and marketable title in fee simple to, or have valid rights to lease or otherwise use, all items of real and personal property that are necessary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Title to Intellectual Property</w:t>
      </w:r>
      <w:r>
        <w:rPr>
          <w:rFonts w:ascii="Times New Roman" w:hAnsi="Times New Roman"/>
          <w:sz w:val="20"/>
        </w:rPr>
        <w:t xml:space="preserve">. The Company and its subsidiaries own, or possess valid and enforceable licenses or other sufficient rights to practice under or to use, all material patents, patent applications, trademarks, service marks, trade names, trademark registrations, service mark registrations, trade dress, designs, data, database rights, Internet domain names, copyrights, works of authorship, proprietary information and know-how (including trade secrets and other unpatented and/or unpatentable proprietary or confidential information, systems or procedures) in each case, owned or otherwise controlled by the Company or its subsidiaries and used in their respective businesses as currently conducted and as proposed to be conducted as described in the Registration Statement, the Pricing Disclosure Package and the Prospectus (collectively, “Intellectual Property”). To the Company’s knowledge, the conduct of its and its subsidiaries’ respective businesses as described in the Registration Statement, the Pricing Disclosure Package and the Prospectus (“Disclosure Documents”)) do not currently and will not upon commercialization infringe, or misappropriate or otherwise conflict with any valid intellectual property rights of a third party, except any such infringement, misappropriation or other conflict that would not reasonably be expected, individually or in the aggregate, to have a Material Adverse Effect. To the Company’s knowledge, the Intellectual Property owned by the Company has not been adjudged by a court of competent jurisdiction (excluding ordinary course patent prosecution activities) to be invalid or unenforceable, in whole or in part. Except as disclosed in the Disclosure Documents: (i) to the Company’s knowledge there are no third parties who have rights to any Intellectual Property, except for customary reversionary rights of third-party licensors with respect to Intellectual Property that is disclosed in the Disclosure Documents” as owned by or licensed to the Company or its subsidiaries; and (ii) to the Company’s knowledge there is no infringement by third parties of any Intellectual Property except any such infringement that would not reasonably be expected, individually or in the aggregate, to have a Material Adverse Effect. Except as disclosed in the Disclosure Documents, the Company is not in receipt of any pending or threatened in writing action, suit, proceeding or claim by any third party: (A) challenging the Company’s rights in or to any Intellectual Property, except any such pending or threatened action, suit, proceeding or claim that would not reasonably be expected, individually or in the aggregate, to have a Material Adverse Effect; or (B) challenging the validity, enforceability or scope of any Intellectual Property, except any such pending or threatened action, suit, proceeding or claim that would not reasonably be expected, individually or in the aggregate, to have a Material Adverse Effect. Except as disclosed in the Disclosure Documents, the Company and its subsidiaries have complied with the material terms of each material agreement pursuant to which Intellectual Property has been licensed to the Company or its subsidiaries, and all such agreements are in full force and effect, except any non-compliance that would not reasonably be expected, individually or in the aggregate, to have a Material Adverse Effect. To the Company’s knowledge, except as disclosed in the Disclosure Documents, there are no material defects of form in the preparation or filing of any of the issued patents or patent applications included in the Intellectual Property. The Company and its subsidiaries have taken commercially reasonable steps to obtain executed nondisclosure, confidentiality agreements and invention assignment agreements with their employees, and except as disclosed in the Disclosure Documents,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the Intellectual Property and such employee’s employment with the Company, except any non-compliance by such employees would not reasonably be expected, individually or in the aggregate, to have a Material Adverse Effect. To the Company’s knowledge, the duty of candor and disclosure as required by the United States Patent and Trademark Office during the prosecution of the United States patents and patent applications included in the Intellectual Property have been complied with; and in all foreign offices having similar requirements during the prosecution of the United States and foreign patents and patent applications, as applicable, included in the Intellectual Property owned by the Company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Trade </w:t>
      </w:r>
      <w:r>
        <w:rPr>
          <w:rFonts w:ascii="Times New Roman" w:hAnsi="Times New Roman"/>
          <w:sz w:val="20"/>
        </w:rPr>
        <w:t xml:space="preserve">Secrets. To the Company’s knowledge, the Company and its subsidiaries have taken commercially reasonable actions to protect their rights in and prevent the unauthorized use and disclosure of material trade secrets and confidential business information (including confidential source code, ideas, research and development information, know-how, formulas, compositions, technical data, designs, drawings, specifications, research records, records of inventions, test information, financial, marketing and business data, customer and supplier lists and information, pricing and cost information, business and marketing plans and proposals) owned by the Company and its subsidiaries, and there has been no unauthorized use or disclosure of such material trade secrets or confidential business information, except as any such unauthorized use or disclosure would not reasonably be expected, individually or in the aggregate,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IT Assets, Data Privacy and Security</w:t>
      </w:r>
      <w:r>
        <w:rPr>
          <w:rFonts w:ascii="Times New Roman" w:hAnsi="Times New Roman"/>
          <w:sz w:val="20"/>
        </w:rPr>
        <w:t xml:space="preserve">. Except as would not, individually or in the aggregate, reasonably be expected to have a Material Adverse Effect, (i) the computers, websites, applications, databases, software, servers, networks, data communications lines, and other information technology systems owned, licensed, leased or otherwise used by the Company and its subsidiaries (excluding any public networks) (collectively, the “IT Assets”) are adequate for, and operate and perform for, the operation of the business of the Company and its subsidiaries as currently conducted, and (ii) the IT Assets are free and clear of all viruses, vulnerabilities, bugs, errors, defects, Trojan horses, time bombs, malware and other corruptants. Except as would not, individually or in the aggregate, reasonably be expected to have a Material Adverse Effect, the Company and its subsidiaries have implemented and maintained commercially reasonable controls, policies, procedures, and safeguards to maintain and protect their confidential information and the privacy, confidentiality, integrity, continuous operation, redundancy and security of all IT Assets and data (including all Personal Data (defined below), sensitive, confidential, or regulated data (collectively, “Confidential Data”)) used in connection with their businesses. There have been no breaches of, violations of, outages of, or unlawful or unauthorized uses of, or accesses to IT Assets and no unlawful or unauthorized uses of, destruction of, losses of, alterations of, or accesses to Confidential Data, nor any such incidents under internal review or investigation, except as would not, individually or in the aggregate, reasonably be expected to have a Material Adverse Effect. Except as would not, individually or in the aggregate, reasonably be expected to have a Material Adverse Effect, the Company and its subsidiaries comply, and have complied, with (i) applicable laws, statutes, regulations, directives, and industry standards concerning the protection, collection, use, disclosure, transfer, storage, disposal, privacy, confidentiality, integrity and security of Confidential Data (including to the extent applicable, the Health Insurance Portability and Accountability Act of 1996 (“HIPAA”) as amended by the Health Information Technology for Economic and Clinical Health Act (the “HITECH Act”); the European Union General Data Protection Regulation (“GDPR”) (EU 2016/679); and the California Consumer Privacy Act (“CCPA”) (collectively, the “Privacy Laws”)), and (ii) all judgments, orders, rules and regulations of any court or arbitrator or governmental or regulatory authority, policies, procedures, and contractual obligations relating to the privacy and security of IT Assets and Confidential Data and to the protection of such IT Assets and Confidential Data from unlawful or unauthorized use, destruction, loss, alteration, access, misappropriation or modification (collectively, the “Data Protection Requirements”). To the extent required by the Privacy Laws, except as would not, individually or in the aggregate, reasonably be expected to have a Material Adverse Effect, the Company and its subsidiaries have made all required disclosures to and obtained all necessary consents from individuals (including, without limitation, clinical trial participants, customers, users, and personnel) for the Company’s and its subsidiaries’ collection, use, disclosure, transfer, and other processing of Confidential Data, and complied with all such disclosures and consents. None of such disclosures made or contained in any policies or notices have been inaccurate, misleading, deceptive or in violation of any Privacy Laws or Data Protection Requirements, except as would not, individually or in the aggregate, reasonably be expected to have a Material Adverse Effect. “Personal Data” means (i) any information which would qualify as “personally identifying information” under the Federal Trade Commission Act, as amended; (iii) Protected Health Information as defined by HIPAA; (iv) “personal data” as defined by GDPR; (v) “personal information” as defined by CCPA; and (vi) any other information that constitutes “personal data,” “personal information,” “personally identifiable information,” “nonpublic personal information,” “customer proprietary network information,” “individually identifiable health information,” “protected health information,” or similar information under any Privacy Law.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No Complaints</w:t>
      </w:r>
      <w:r>
        <w:rPr>
          <w:rFonts w:ascii="Times New Roman" w:hAnsi="Times New Roman"/>
          <w:sz w:val="20"/>
        </w:rPr>
        <w:t xml:space="preserve">. Since June 1, 2018, the Company has not received written notice of any complaint or audit, proceeding, investigation (formal or informal) demand or claim made against the Company or its subsidiaries, by any person, government entity, regulator, group or other party in respect of the collection, use, disclosure, transfer, or other processing of Confidential Data by the Company or its subsidiaries.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FDA Compliance</w:t>
      </w:r>
      <w:r>
        <w:rPr>
          <w:rFonts w:ascii="Times New Roman" w:hAnsi="Times New Roman"/>
          <w:sz w:val="20"/>
        </w:rPr>
        <w:t xml:space="preserve">. Since June 1, 2018, except as would not, individually or in the aggregate, reasonably be expected to have a Material Adverse Effect, the Company: (A) is and has been in compliance with all applicable statutes, rules or regulations of the U.S. Food and Drug Administration (“FDA”) and other comparable governmental entities applicable to the ownership, testing, development, manufacture, packaging, processing, use, distribution, marketing, labeling, promotion, sale, offer for sale, storage, import, export or disposal of any product under development, manufactured or distributed by the Company (collectively, “Applicable Laws”); (B) has not received any FDA Form 483, written notice of adverse finding, warning letter, untitled letter or other written correspondence or written notice from the FDA or any governmental entity alleging or asserting noncompliance with any Applicable Laws or any licenses, certificates, approvals, clearances, exemptions, authorizations, permits and supplements or amendments thereto required by any such Applicable Laws (“Authorizations”); (C) possesses all Authorizations and such Authorizations are valid and in full force and effect and the Company is not in violation of any term of any such Authorizations; (D) has not received written notice of any claim, action, suit, proceeding, hearing, enforcement, investigation, arbitration or other action from the FDA or any applicable governmental entity alleging that any product, operation, or activity is in violation of any Applicable Laws or Authorizations and has no knowledge that the FDA or any governmental entity is considering any such claim, litigation, arbitration, action, suit, investigation or proceeding; (E) has not received written notice that the FDA or any governmental entity has taken, is taking or to the knowledge of the Company, intends to take action to limit, suspend or revoke any Authorizations; and (F)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Tests and Preclinical and Clinical Trials</w:t>
      </w:r>
      <w:r>
        <w:rPr>
          <w:rFonts w:ascii="Times New Roman" w:hAnsi="Times New Roman"/>
          <w:sz w:val="20"/>
        </w:rPr>
        <w:t xml:space="preserve">. The studies, tests and preclinical and clinical trials conducted by or, to the Company’s knowledge, on behalf of the Company were and, if still ongoing, are being conducted in all material respects in accordance with all Authorizations and Applicable Laws; the descriptions of the results of such studies, tests and trials contained in the Registration Statement, the Pricing Disclosure Package and the Prospectus are, to the Company’s knowledge, accurate in all material respects; the Company is not aware of any studies, tests or trials, the results of which the Company believes reasonably call into question the study, test, or trial results described or referred to in the Registration Statement, the Pricing Disclosure Package and the Prospectus when viewed in the context in which such results are described and the clinical state of development; and the Company has not received any written notices or correspondence from the FDA or any governmental entity requiring the termination or suspension of any studies, tests or preclinical or clinical trials conducted by or on behalf of the Company, other than ordinary course communications with respect to modifications in connection with the design and implementation of such trials.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Compliance with Health Care Laws</w:t>
      </w:r>
      <w:r>
        <w:rPr>
          <w:rFonts w:ascii="Times New Roman" w:hAnsi="Times New Roman"/>
          <w:sz w:val="20"/>
        </w:rPr>
        <w:t xml:space="preserve">. The Company and its subsidiaries are, and since June 1, 2018 have been, in compliance with all Health Care Laws, except where the failure to so comply would not, individually or in the aggregate, reasonably be expected to have a Material Adverse Effect. For purposes of this Agreement, “Health Care Laws” means: (i) the Federal Food, Drug, and Cosmetic Act and the regulations promulgated thereunder; (ii) all applicable federal, state, local and foreign health care fraud and abuse laws, including, without limitation, the U.S. Anti-Kickback Statute (42 U.S.C. Section 1320a-7b(b)), the U.S. Civil False Claims Act (31 U.S.C. Section 3729 et seq.), the criminal False Statements Law (42 U.S.C. Section 1320a-7b(a)), all criminal laws relating to health care fraud and abuse, including but not limited to 18 U.S.C. Sections 286, 287 and 1347 (the health care fraud criminal provisions under HIPAA), HIPAA, as amended by the Health Information Technology for Economic and Clinical Health Act of 2009 (42 U.S.C. § 17921 et seq.), the civil monetary penalties law (42 U.S.C. Section 1320a-7a), the exclusions law (42 U.S.C. Section 1320a-7), the Physician Payments Sunshine Act (42 U.S.C Section 1320-7h), and the laws governing U.S. government funded or sponsored healthcare programs. Since June 1, 2018, except as would not, individually or in the aggregate, reasonably be expected to have a Material Adverse Effect, neither the Company nor any of its subsidiaries has received written notice of any claim, action, suit, proceeding, hearing, enforcement, investigation, arbitration or other action from any court or arbitrator or governmental or regulatory authority that any product, operation, or activity is in violation of any Health Care Laws nor, to the Company’s knowledge, is any such claim, action, suit, proceeding, hearing, enforcement, investigation, arbitration or other action threatened. Neither the Company nor any of its subsidiaries is a party to any corporate integrity agreements, monitoring agreements, consent decrees, settlement orders, or similar agreements with or imposed by any governmental or regulatory authority or body. Additionally, since June 1, 2018, neither the Company, any of its subsidiaries nor to the Company’s knowledge, any of their respective employees, officers, directors, independent contractors, affiliates or agents has been excluded, suspended or debarred from participation in any U.S. federal health care program or human clinical research or is subject to a governmental inquiry, investigation, proceeding, or other similar action that would reasonably be expected to result in debarment, suspension, or exclusion.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Investment Company Act</w:t>
      </w:r>
      <w:r>
        <w:rPr>
          <w:rFonts w:ascii="Times New Roman" w:hAnsi="Times New Roman"/>
          <w:sz w:val="20"/>
        </w:rPr>
        <w:t xml:space="preserve">. The Company is not and, after giving effect to the offering and sale of the Shares and the 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Taxes.</w:t>
      </w:r>
      <w:r>
        <w:rPr>
          <w:rFonts w:ascii="Times New Roman" w:hAnsi="Times New Roman"/>
          <w:sz w:val="20"/>
        </w:rPr>
        <w:t xml:space="preserve"> (i) The Company and its subsidiaries have paid all federal, state, local and foreign taxes and filed all tax returns required to be paid or filed, as applicable, through the date hereof and (ii) there is no tax deficiency that has been, or could reasonably be expected to be, asserted against the Company or any of its subsidiaries or any of their respective properties or assets, in each case (in the case of clauses (i) and (ii)), except as could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Licenses and Permits.</w:t>
      </w:r>
      <w:r>
        <w:rPr>
          <w:rFonts w:ascii="Times New Roman" w:hAnsi="Times New Roman"/>
          <w:sz w:val="20"/>
        </w:rPr>
        <w:t xml:space="preserve"> The Company and its subsidiaries possess, and are in compliance with the terms of,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(“Licenses”), except where failures to so possess or comply would not, individually or in the aggregate, reasonably be expected to have a Material Adverse Effect; neither the Company nor any of its subsidiaries has received written notice of any revocation or suspension of any such License or has any reason to believe that any such License will not be renewed in the ordinary course, except where such revocation or suspension would not, individually or in the aggregate, reasonably be expected to have a Material Adverse Effect. Each of the Company and its subsidiaries has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except where such revocation, termination or impairment would not, individually or in the aggregate, reasonably be expected to have a Material Adverse Effect. Except as would not, individually or in the aggregate, reasonably be expected to have a Material Adverse Effect, the Company and its subsidiaries have filed, obtained, maintained or submitted all reports, documents, forms, notices, applications, records, claims, submissions and supplements or amendments as required and that all such reports, documents, forms, notices, applications, records, claims, submissions and supplements or amendments were complete and correct on the date filed (or were corrected or supplemented by a subsequent submission) as required for maintenance of their Licenses that are necessary for the conduct of their respective businesses.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 Labor Disputes.</w:t>
      </w:r>
      <w:r>
        <w:rPr>
          <w:rFonts w:ascii="Times New Roman" w:hAnsi="Times New Roman"/>
          <w:sz w:val="20"/>
        </w:rPr>
        <w:t xml:space="preserve">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has received any notice of cancellation or termination with respect to any collective bargaining agreement to which it is a party.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 xml:space="preserve">Certain Environmental Matters. </w:t>
      </w:r>
      <w:r>
        <w:rPr>
          <w:rFonts w:ascii="Times New Roman" w:hAnsi="Times New Roman"/>
          <w:sz w:val="20"/>
        </w:rPr>
        <w:t xml:space="preserve">(i) The Company and its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that is known by the Company to be contemplated, against the Company or any of its subsidiaries under any Environmental Laws in which a governmental entity is also a party, other than such proceeding regarding which the Company reasonably believes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Adverse Effect, and (z) none of the Company or its subsidiaries anticipates material capital expenditures relating to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Hazardous Materials</w:t>
      </w:r>
      <w:r>
        <w:rPr>
          <w:rFonts w:ascii="Times New Roman" w:hAnsi="Times New Roman"/>
          <w:sz w:val="20"/>
        </w:rPr>
        <w:t xml:space="preserve">. There has been no storage, generation, transportation, use, handling, treatment, Release or threat of Release of Hazardous Materials by, relating to or caused by the Company or any of its subsidiaries (or, to the knowledge of the Company and its subsidiaries, any other entity (including any predecessor) for whose acts or omissions the Company or any of its subsidiaries is or could reasonably be expected to be liable) at, on, under or from any property or facility now or previously owned, operated or leased by the Company or any of its subsidiaries, or to the knowledge of the Company, at, on, under or from any other property or facility,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Compliance with ERISA.</w:t>
      </w:r>
      <w:r>
        <w:rPr>
          <w:rFonts w:ascii="Times New Roman" w:hAnsi="Times New Roman"/>
          <w:sz w:val="20"/>
        </w:rPr>
        <w:t xml:space="preserve">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Disclosure Controls</w:t>
      </w:r>
      <w:r>
        <w:rPr>
          <w:rFonts w:ascii="Times New Roman" w:hAnsi="Times New Roman"/>
          <w:sz w:val="20"/>
        </w:rPr>
        <w:t xml:space="preserve">. The Company and its subsidiaries maintain an effective system of “disclosure controls and procedures” (as defined 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Accounting Controls.</w:t>
      </w:r>
      <w:r>
        <w:rPr>
          <w:rFonts w:ascii="Times New Roman" w:hAnsi="Times New Roman"/>
          <w:sz w:val="20"/>
        </w:rPr>
        <w:t xml:space="preserve"> The Company and its subsidiaries maintain systems of “internal control over financial reporting” (as defined in Rule 13a-15(f) of the Exchange Act) that have been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sz w:val="20"/>
        </w:rPr>
        <w:t xml:space="preserve">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No material weaknesses in the Company’s internal controls have been identified by the Company or its auditors (it being understood that this subsection (mm)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 The Company’s auditors and the Audit Committee of the Board of Directors of the Company have been advised of: (i) all significant deficiencies and material weaknesses in the design or operation of internal controls over financial reporting known to the Company which have adversely affected or are reasonably likely to adversely affect the Company’s ability to record, process, summarize and report financial information; and (ii) any fraud known to the Company, whether or not material, that involves management or other employees who have a significant role in the Company’s internal controls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 xml:space="preserve">Insurance. </w:t>
      </w:r>
      <w:r>
        <w:rPr>
          <w:rFonts w:ascii="Times New Roman" w:hAnsi="Times New Roman"/>
          <w:sz w:val="20"/>
        </w:rPr>
        <w:t xml:space="preserve">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No Unlawful Payments.</w:t>
      </w:r>
      <w:r>
        <w:rPr>
          <w:rFonts w:ascii="Times New Roman" w:hAnsi="Times New Roman"/>
          <w:sz w:val="20"/>
        </w:rPr>
        <w:t xml:space="preserve"> None of the Company, any of its subsidiaries, or any director, officer, affiliate, or employee of the Company or any of its subsidiaries or, to the knowledge of the Company, any agent, representative, or other person associated with or acting on behalf of the Company or any of its subsidiaries or affiliates has (i) used any corporate funds for any unlawful contribution, gift, entertainment or other unlawful expense relating to political activity; (ii) made or taken, or will take, an act in furtherance of an offer, payment, promise or authorization or approval of any direct or indirect unlawful payment of money, property, gifts, any benefit, or anything of value to any foreign or domestic government or regulatory official, officer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Compliance with Anti-Money Laundering Laws</w:t>
      </w:r>
      <w:r>
        <w:rPr>
          <w:rFonts w:ascii="Times New Roman" w:hAnsi="Times New Roman"/>
          <w:sz w:val="20"/>
        </w:rPr>
        <w:t xml:space="preserve">. The operations of the Company and each of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best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 xml:space="preserve">No Conflicts with Sanctions Laws. </w:t>
      </w:r>
      <w:r>
        <w:rPr>
          <w:rFonts w:ascii="Times New Roman" w:hAnsi="Times New Roman"/>
          <w:sz w:val="20"/>
        </w:rPr>
        <w:t xml:space="preserve">Neither the Company nor any of its subsidiaries, directors, officers or employees, nor, to the knowledge of the Company, any agent, affiliate, representative, or other person associated with or acting on behalf of the Company or any of its subsidiaries is or is owned or controlled by one or more persons that are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any of its subsidiaries, directors, officers, or employees, or, to the knowledge of the Company, any agent, affiliate, representative, or other person associated with or acting on behalf of the Company or any of its subsidiaries, or owned or controlled by one or more persons that are, located, organized or resident in a country or territory that is the subject or target of Sanctions, including, without limitation, Cuba, Iran, North Korea, Syria, the Crimea, Donetsk People’s Republic, and Luhansk People’s Republic regions of Ukraine, or any other Covered Region of Ukraine identified pursuant to Executive Order 14065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The Company and its subsidiaries have not knowingly engaged in, are not now knowingly engaged and will not knowingly engage in any dealings or transactions with any person that at the time of the dealing or transaction is or was the subject or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or the issuance and sale of the Shares, except as described in each of the Registration Statement, the Pricing Disclosure Package and the Prospectus and except for such rights that have been duly satisfied or waived as of the date of this Agreement with respect to such filing or issuance and sale of Shares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No Stabilization.</w:t>
      </w:r>
      <w:r>
        <w:rPr>
          <w:rFonts w:ascii="Times New Roman" w:hAnsi="Times New Roman"/>
          <w:sz w:val="20"/>
        </w:rPr>
        <w:t xml:space="preserve"> Neither the Company nor any of its subsidiaries or affiliates have taken, directly or indirectly, any action designed to or that could reasonably be expected to cause or result in any stabilization or manipulation of the price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i/>
          <w:sz w:val="20"/>
        </w:rPr>
        <w:t>Margin Rules</w:t>
      </w:r>
      <w:r>
        <w:rPr>
          <w:rFonts w:ascii="Times New Roman" w:hAnsi="Times New Roman"/>
          <w:sz w:val="20"/>
        </w:rPr>
        <w:t xml:space="preserve">. Neither the issuance, sale and delivery of the Shares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(yy)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(zz)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(aaa) </w:t>
      </w:r>
      <w:r>
        <w:rPr>
          <w:rFonts w:ascii="Times New Roman" w:hAnsi="Times New Roman"/>
          <w:i/>
          <w:sz w:val="20"/>
        </w:rPr>
        <w:t>Sarbanes-Oxley Act</w:t>
      </w:r>
      <w:r>
        <w:rPr>
          <w:rFonts w:ascii="Times New Roman" w:hAnsi="Times New Roman"/>
          <w:sz w:val="20"/>
        </w:rPr>
        <w:t xml:space="preserve">. There is and has been no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(bbb) </w:t>
      </w:r>
      <w:r>
        <w:rPr>
          <w:rFonts w:ascii="Times New Roman" w:hAnsi="Times New Roman"/>
          <w:i/>
          <w:sz w:val="20"/>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Shares and at the date hereof, the Company was not and is not an “ineligible issuer,” as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(ccc) </w:t>
      </w:r>
      <w:r>
        <w:rPr>
          <w:rFonts w:ascii="Times New Roman" w:hAnsi="Times New Roman"/>
          <w:i/>
          <w:sz w:val="20"/>
        </w:rPr>
        <w:t>No Ratings</w:t>
      </w:r>
      <w:r>
        <w:rPr>
          <w:rFonts w:ascii="Times New Roman" w:hAnsi="Times New Roman"/>
          <w:sz w:val="20"/>
        </w:rPr>
        <w:t xml:space="preserve">. There are (and prior to the Closing Date, will be) no debt securities, convertible securities or preferred stock issued or guaranteed by the Company or any of its subsidiaries that are rated by a “nationally recognized statistical rating organization,” as such term is defined in Section 3(a)(62)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(ddd) </w:t>
      </w:r>
      <w:r>
        <w:rPr>
          <w:rFonts w:ascii="Times New Roman" w:hAnsi="Times New Roman"/>
          <w:i/>
          <w:sz w:val="20"/>
        </w:rPr>
        <w:t>No Integration</w:t>
      </w:r>
      <w:r>
        <w:rPr>
          <w:rFonts w:ascii="Times New Roman" w:hAnsi="Times New Roman"/>
          <w:sz w:val="20"/>
        </w:rPr>
        <w:t xml:space="preserve">. The Company has not sold, issued or distributed any securities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 </w:t>
      </w:r>
    </w:p>
    <w:p>
      <w:pPr>
        <w:pStyle w:val="TextBody"/>
        <w:bidi w:val="0"/>
        <w:spacing w:before="240" w:after="0"/>
        <w:jc w:val="left"/>
        <w:rPr>
          <w:rFonts w:ascii="Times New Roman" w:hAnsi="Times New Roman"/>
          <w:sz w:val="20"/>
        </w:rPr>
      </w:pPr>
      <w:r>
        <w:rPr>
          <w:rFonts w:ascii="Times New Roman" w:hAnsi="Times New Roman"/>
          <w:sz w:val="20"/>
        </w:rPr>
        <w:t xml:space="preserve">(eee) </w:t>
      </w:r>
      <w:r>
        <w:rPr>
          <w:rFonts w:ascii="Times New Roman" w:hAnsi="Times New Roman"/>
          <w:i/>
          <w:sz w:val="20"/>
        </w:rPr>
        <w:t xml:space="preserve">WKSI. </w:t>
      </w:r>
      <w:r>
        <w:rPr>
          <w:rFonts w:ascii="Times New Roman" w:hAnsi="Times New Roman"/>
          <w:sz w:val="20"/>
        </w:rPr>
        <w:t xml:space="preserve">The Company is a “well-known seasoned issuer” as defined in Rule 405 of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(fff) </w:t>
      </w:r>
      <w:r>
        <w:rPr>
          <w:rFonts w:ascii="Times New Roman" w:hAnsi="Times New Roman"/>
          <w:i/>
          <w:sz w:val="20"/>
        </w:rPr>
        <w:t>Outbound Investment Security Program</w:t>
      </w:r>
      <w:r>
        <w:rPr>
          <w:rFonts w:ascii="Times New Roman" w:hAnsi="Times New Roman"/>
          <w:sz w:val="20"/>
        </w:rPr>
        <w:t xml:space="preserve">.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use its reasonable best efforts to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 for this offering within the time period required by Rule 456(b)(1) under the Securities Act (without giving effect to the proviso therein) and in any event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upon written request, without charge, (i) to the Representatives, two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(which may be by electronic mail), (i) when the Registration Statement has become effective; (ii) when any amendment to the Registration Statement has been filed or becomes effective; (iii) when any supplement to the Pricing Disclosure Package, the Prospectus, any Issuer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Free Writing Prospectus,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to the knowledge of the Company,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to the knowledge of the Company,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reasonable best efforts to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If required by applicable law, the Company will use its reasonable best efforts to qualify the Shares for offer and sale under the securities or Blue Sky laws of such jurisdictions as the Representatives shall reasonably request and will use its reasonable best efforts to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Earnings Statement. </w:t>
      </w:r>
      <w:r>
        <w:rPr>
          <w:rFonts w:ascii="Times New Roman" w:hAnsi="Times New Roman"/>
          <w:sz w:val="20"/>
        </w:rPr>
        <w:t xml:space="preserve">The Company will make generally available to its security holders and the Representatives as soon as reasonably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 to its security holders and the Representatives to the extent they are filed on the Commission’s Electronic Data Gathering Analysis and Retrieval system (“EDGAR”).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60 days after the date of the Prospectus (the “Restricted Period”), the Company will not (i) offer, pledge, sell, contract to sell, sell any option or contract to purchase, purchase any option or contract to sell, grant any option, right or warrant to purchase, hedge,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swap, hedging or other agreement that transfers, in whole or in part, any of the economic consequences of ownership of the Stock or any such other securities, or publicly disclose the intention to undertake any of the foregoing in clause (i) or (ii), whether any such transaction described in clause (i) or (ii) above is to be settled by delivery of Stock or such other securities, in cash or otherwise, without the prior written consent of JPM, other than the Shares to be sold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(i) the issuance of shares of Stock or securities convertible into or exercisable for shares of Stock pursuant to the exercise of warrants or options (including net exercise) or the settlement of restricted stock units (“RSUs”) (including net settlement), in each case outstanding on the date of this Agreement and described in the Prospectus, provided each newly appointed director or executive officer that is a recipient of such securities during the Restricted Period enter into a lock up agreement with the Underwriters;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 Company Stock Plan, in effect as of the Closing Date and described in the Prospectus, including the Company’s 2021 Employee Stock Purchase Plan, provided that each newly appointed director or executive officer that is a recipient of such shares of Stock or securities during the Restricted Period shall enter into a lock-up agreement with the Underwriters substantially in the form of Exhibit A hereto; (iii) the issuance of up to 5% of the outstanding shares of Stock, or securities convertible into, exercisable for, or which are otherwise exchangeable for, Stock, immediately following the Closing Date, in acquisitions or other similar strategic transactions, provided that such recipients enter into a lock-up agreement with the Underwriters substantially in the form of Exhibit A hereto;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or (v) the issuance by the Company of shares of Stock in connection with sales under an “at-the-market” equity offering program pursuant to an Amended and Restated Open Market Sale Agreement with Jefferies, dated August 12, 2025 (the “Sale Agreement”), provided no sales shall be made under the Sale Agreement until the earlier of (i) the Representatives exercising their option to purchase Option Shares in full or (ii) 30 days after the date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Use of Proceeds.</w:t>
      </w:r>
      <w:r>
        <w:rPr>
          <w:rFonts w:ascii="Times New Roman" w:hAnsi="Times New Roman"/>
          <w:sz w:val="20"/>
        </w:rPr>
        <w:t xml:space="preserve"> The Company will apply the net proceeds from the sale of the Shares as described in each of the Registration Statement, the Pricing Disclosure Package and the Prospectus under the heading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Neither the Company nor its subsidiaries or affiliates will take, directly or indirectly, without giving effect to activities by the Underwriters, any action designed to or that would reasonably be expected to cause or result in any stabilization or manipulation of the price of the Stock.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Company will use its reasonable best efforts to list, subject to notice of issuance, the Shares on the Nasdaq Market.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three (3) years from the date of this Agreement, so long as the Shares are outstanding, the Company will furnish 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Representatives to the extent they are filed on EDGAR.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For a period of three (3) years from the date of this Agreement,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Shelf Renewal.</w:t>
      </w:r>
      <w:r>
        <w:rPr>
          <w:rFonts w:ascii="Times New Roman" w:hAnsi="Times New Roman"/>
          <w:sz w:val="20"/>
        </w:rPr>
        <w:t xml:space="preserve"> If immediately prior to the third anniversary (the “Renewal Deadline”) of the initial effective date of the Registration 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 If the Company is not eligible to file an automatic shelf registration statement, the Company will, prior to the Renewal Deadline, if it has not already done so, file a new shelf registration statement relating to the Shares, in a form satisfactory to the Representative,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Emerging Growth Company</w:t>
      </w:r>
      <w:r>
        <w:rPr>
          <w:rFonts w:ascii="Times New Roman" w:hAnsi="Times New Roman"/>
          <w:sz w:val="20"/>
        </w:rPr>
        <w:t xml:space="preserve">. The Company will promptly notify the Representatives if the Company ceases to be an Emerging Growth Company at any time prior to the later of (i) completion of the distribution of Shares within the meaning of the Securities Act and (ii) completion of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Transfer Restrictions</w:t>
      </w:r>
      <w:r>
        <w:rPr>
          <w:rFonts w:ascii="Times New Roman" w:hAnsi="Times New Roman"/>
          <w:sz w:val="20"/>
        </w:rPr>
        <w:t xml:space="preserve">. The Company will enforce the terms of all existing agreements, plans and arrangements restricting the transfer by any holder of such holder’s shares of Common Stock or securities convertible into or exercisable or exchangeable for Common Stock (the “Securities”) following the offering of the Shares contemplated hereby. The Company will issue stop-transfer instructions to the transfer agent with respect to any transaction that would constitute a breach of, or default under, such provisions. During the Restricted Period, the Company will enforce, and not waive or amend, such stop-transfer instructions and any transfer restriction, including any “market standoff,” “holdback” or similar agreement or provision, applicable to any Securities unless the Company shall have obtained the prior written consent of JPM (such consent not to be unreasonably withheld, conditioned, or delayed); provided that this Section 4(p) shall not prohibit the Company from effecting such a waiver or amendment to permit a transfer of securities which is permissible under the terms of the lock-up letters described in Section 6(l).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approved by the Company in advance in writing), or (iii) any free writing prospectus prepared by such underwriter and approved by the Company in advance in writing (each such free writing prospectus referred to in clauses (i) or (iii), an “Underwriter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hAnsi="Times New Roman"/>
          <w:i/>
          <w:sz w:val="20"/>
        </w:rPr>
        <w:t>provided</w:t>
      </w:r>
      <w:r>
        <w:rPr>
          <w:rFonts w:ascii="Times New Roman" w:hAnsi="Times New Roman"/>
          <w:sz w:val="20"/>
        </w:rPr>
        <w:t xml:space="preserve"> that Underwriters may use a term sheet substantially in the form of Annex B hereto without the consent of the Company; </w:t>
      </w:r>
      <w:r>
        <w:rPr>
          <w:rFonts w:ascii="Times New Roman" w:hAnsi="Times New Roman"/>
          <w:i/>
          <w:sz w:val="20"/>
        </w:rPr>
        <w:t>provided further</w:t>
      </w:r>
      <w:r>
        <w:rPr>
          <w:rFonts w:ascii="Times New Roman" w:hAnsi="Times New Roman"/>
          <w:sz w:val="20"/>
        </w:rPr>
        <w:t xml:space="preserve"> that any Underwriter using such term sheet shall notify the Company, and provide a copy of such term sheet to the Company, prior to, or substantially concurrently with, the first use of such term sheet. </w:t>
      </w:r>
    </w:p>
    <w:p>
      <w:pPr>
        <w:pStyle w:val="TextBody"/>
        <w:bidi w:val="0"/>
        <w:spacing w:before="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Change.</w:t>
      </w:r>
      <w:r>
        <w:rPr>
          <w:rFonts w:ascii="Times New Roman" w:hAnsi="Times New Roman"/>
          <w:sz w:val="20"/>
        </w:rPr>
        <w:t xml:space="preserve">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each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or an Additional Closing Date, as the case 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3(a) and 3(e)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Comfort Letters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On the date of this Agreement and on the Closing Date or the Additional Closing Date, as the case may be, KPMG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Opinions and 10b-5 Statement of Counsel for the Company.</w:t>
      </w:r>
      <w:r>
        <w:rPr>
          <w:rFonts w:ascii="Times New Roman" w:hAnsi="Times New Roman"/>
          <w:sz w:val="20"/>
        </w:rPr>
        <w:t xml:space="preserve"> Latham &amp; Watkins LLP, counsel for the Company, shall have furnished to the Representatives, at the request of the Company, their written opinions (including regulatory and tax opinions) and 10b-5 statement, dated the Closing Date or the Additional Closing Date, as the case may be, and addressed to the Underwriters,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of Intellectual Property Counsels for the Company</w:t>
      </w:r>
      <w:r>
        <w:rPr>
          <w:rFonts w:ascii="Times New Roman" w:hAnsi="Times New Roman"/>
          <w:sz w:val="20"/>
        </w:rPr>
        <w:t xml:space="preserve">. Each of Mintz, Levin, Cohn, Ferris, Glovsky and Popeo, P.C. and Wilson Sonsini Goodrich &amp; Rosati, PC., intellectual property counsels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or the Additional Closing Date, as the case may be, an opinion and 10b-5 statement, addressed to the Underwriters, of Cooley LLP, counsel for the Underwriters, with respect to such matters as the Representatives may reasonably request, and such counsel shall have received such documents and information as they may reasonably request to enable them to pass upon such matters.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Legal Impediment to Issuance and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Good Standing</w:t>
      </w:r>
      <w:r>
        <w:rPr>
          <w:rFonts w:ascii="Times New Roman" w:hAnsi="Times New Roman"/>
          <w:sz w:val="20"/>
        </w:rPr>
        <w:t xml:space="preserve">. The Representatives shall have received on and as of the Closing Date or the Additional Closing Date, as the case may be, satisfactory evidence of the good standing of the Company in its jurisdiction of organization and its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Shares to be delivered on the Closing Date or the Additional Closing Date, as the case may be, shall have been approved for listing on the Nasdaq Market,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Lock-up Agreements</w:t>
      </w:r>
      <w:r>
        <w:rPr>
          <w:rFonts w:ascii="Times New Roman" w:hAnsi="Times New Roman"/>
          <w:sz w:val="20"/>
        </w:rPr>
        <w:t xml:space="preserve">. The “lock-up” agreements, each substantially in the form of Exhibit A hereto, between you and the officers, directors and certain stockholders of the Company, officers and directors of the Company relating to sales and certain other dispositions of shares of Stock or certain other securities, delivered to you on or before the date hereof, shall be full force and effect on the Closing Date or the Additional Closing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Additional</w:t>
      </w:r>
      <w:r>
        <w:rPr>
          <w:rFonts w:ascii="Times New Roman" w:hAnsi="Times New Roman"/>
          <w:sz w:val="20"/>
        </w:rPr>
        <w:t xml:space="preserve"> </w:t>
      </w:r>
      <w:r>
        <w:rPr>
          <w:rFonts w:ascii="Times New Roman" w:hAnsi="Times New Roman"/>
          <w:i/>
          <w:sz w:val="20"/>
        </w:rPr>
        <w:t>Documents.</w:t>
      </w:r>
      <w:r>
        <w:rPr>
          <w:rFonts w:ascii="Times New Roman" w:hAnsi="Times New Roman"/>
          <w:sz w:val="20"/>
        </w:rPr>
        <w:t xml:space="preserve"> On or prior to the Closing Date or the Additional Closing Date, as the case may be,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reasonably incurred legal fees and other reasonably incurred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materials or information provided to investors by, or with the approval of, the Company, including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sixteenth and seventeenth paragraphs under the caption “Underwriting.”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fees and expenses in such proceeding and shall pay the reasonably incurred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reasonably incurred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reasonably incurred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reasonably incurred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 </w:t>
      </w:r>
    </w:p>
    <w:p>
      <w:pPr>
        <w:pStyle w:val="TextBody"/>
        <w:bidi w:val="0"/>
        <w:spacing w:before="12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provided, that the aggregate amount payable by the Company pursuant to clauses (iv) and (vii) shall not exceed $25,000; and (viii) all expenses incurred (provided, however, that the Underwriters and the Company shall each pay 50% of the cost of chartering any aircraft to be used in connection with any “road show” by the Company and the Underwriters; and (ix) all expenses and application fees related to the listing of the Shares on the Nasdaq Market.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For the avoidance of doubt, it is understood that the Company shall not pay or reimburse any costs, fees or expenses incurred by any Underwriter that defaults on its obligations to purchase the Shares; provided, however that the Company shall still pay and reimburse any costs, fees or expenses of the non-defaulting Underwriters as provided in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J.P. Morgan Securities LLC, 270 Park Avenue, New York, New York 10179 (fax: (212) 622-8358), Attention: Equity Syndicate Desk; c/o Morgan Stanley &amp; Co. LLC, 1585 Broadway, New York, New York 10036, Attention: Equity Syndicate Desk, with a copy to the Legal Department; c/o Jefferies LLC, 520 Madison Avenue, New York, New York 10022, Facsimile (646) 786-5719, Attention: General Counsel; and c/o Evercore Group L.L.C., 55 East 52nd Street, 35th Floor, New York, New York 10055, Attention: ECM, General Counsel. Notices to the Company shall be given to it at Erasca, Inc., 3115 Merryfield Row, Suite 300, San Diego, CA 92121; Attention: General Counsel, with a copy, which shall not constitute notice, to Latham &amp; Watkins LLP, 12670 High Bluff Drive, San Diego, CA 92130; Attention: Cheston J. Larson and Matthew T. Bush.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16(e):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Integration. </w:t>
      </w:r>
      <w:r>
        <w:rPr>
          <w:rFonts w:ascii="Times New Roman" w:hAnsi="Times New Roman"/>
          <w:sz w:val="20"/>
        </w:rPr>
        <w:t xml:space="preserve">This Agreement supersedes all prior agreements and understandings (whether written or not) between the Company and the Underwriters, or any of them, with respect to the subject matter hereof.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ERASCA,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E. Lim, M.D.</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Jonathan E. Lim, M.D.</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Chairman, Chief Executive Officer and Co-Founder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As of the date first written above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EVERCORE GROUP L.L.C.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97"/>
        <w:gridCol w:w="94"/>
        <w:gridCol w:w="3391"/>
      </w:tblGrid>
      <w:tr>
        <w:trPr/>
        <w:tc>
          <w:tcPr>
            <w:tcW w:w="597"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597" w:type="dxa"/>
            <w:tcBorders/>
            <w:vAlign w:val="center"/>
          </w:tcPr>
          <w:p>
            <w:pPr>
              <w:pStyle w:val="TableContents"/>
              <w:bidi w:val="0"/>
              <w:spacing w:before="0" w:after="283"/>
              <w:jc w:val="left"/>
              <w:rPr>
                <w:sz w:val="4"/>
                <w:szCs w:val="4"/>
              </w:rPr>
            </w:pPr>
            <w:r>
              <w:rPr>
                <w:sz w:val="4"/>
                <w:szCs w:val="4"/>
              </w:rPr>
            </w:r>
          </w:p>
        </w:tc>
        <w:tc>
          <w:tcPr>
            <w:tcW w:w="3485"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339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Burdett</w:t>
            </w:r>
          </w:p>
        </w:tc>
      </w:tr>
      <w:tr>
        <w:trPr/>
        <w:tc>
          <w:tcPr>
            <w:tcW w:w="597"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391"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597" w:type="dxa"/>
            <w:tcBorders/>
            <w:vAlign w:val="center"/>
          </w:tcPr>
          <w:p>
            <w:pPr>
              <w:pStyle w:val="TableContents"/>
              <w:bidi w:val="0"/>
              <w:spacing w:before="0" w:after="283"/>
              <w:jc w:val="left"/>
              <w:rPr>
                <w:sz w:val="4"/>
                <w:szCs w:val="4"/>
              </w:rPr>
            </w:pPr>
            <w:r>
              <w:rPr>
                <w:sz w:val="4"/>
                <w:szCs w:val="4"/>
              </w:rPr>
            </w:r>
          </w:p>
        </w:tc>
        <w:tc>
          <w:tcPr>
            <w:tcW w:w="3485"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339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Kalli Dircks</w:t>
            </w:r>
          </w:p>
        </w:tc>
      </w:tr>
      <w:tr>
        <w:trPr/>
        <w:tc>
          <w:tcPr>
            <w:tcW w:w="597"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391"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rHeight w:val="240" w:hRule="atLeast"/>
        </w:trPr>
        <w:tc>
          <w:tcPr>
            <w:tcW w:w="597" w:type="dxa"/>
            <w:tcBorders/>
            <w:vAlign w:val="center"/>
          </w:tcPr>
          <w:p>
            <w:pPr>
              <w:pStyle w:val="TableContents"/>
              <w:bidi w:val="0"/>
              <w:spacing w:before="0" w:after="283"/>
              <w:jc w:val="left"/>
              <w:rPr>
                <w:sz w:val="4"/>
                <w:szCs w:val="4"/>
              </w:rPr>
            </w:pPr>
            <w:r>
              <w:rPr>
                <w:sz w:val="4"/>
                <w:szCs w:val="4"/>
              </w:rPr>
            </w:r>
          </w:p>
        </w:tc>
        <w:tc>
          <w:tcPr>
            <w:tcW w:w="3485"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339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Brinkman</w:t>
            </w:r>
          </w:p>
        </w:tc>
      </w:tr>
      <w:tr>
        <w:trPr/>
        <w:tc>
          <w:tcPr>
            <w:tcW w:w="597"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391"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EVERCORE GROUP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Ke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Senior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89"/>
        <w:gridCol w:w="407"/>
        <w:gridCol w:w="90"/>
        <w:gridCol w:w="1657"/>
        <w:gridCol w:w="62"/>
      </w:tblGrid>
      <w:tr>
        <w:trPr/>
        <w:tc>
          <w:tcPr>
            <w:tcW w:w="7989"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98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407" w:type="dxa"/>
            <w:tcBorders/>
            <w:vAlign w:val="bottom"/>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62" w:type="dxa"/>
            <w:tcBorders/>
            <w:vAlign w:val="bottom"/>
          </w:tcPr>
          <w:p>
            <w:pPr>
              <w:pStyle w:val="TableContents"/>
              <w:bidi w:val="0"/>
              <w:spacing w:before="0" w:after="283"/>
              <w:jc w:val="left"/>
              <w:rPr/>
            </w:pPr>
            <w:r>
              <w:rPr/>
              <w:t> </w:t>
            </w:r>
          </w:p>
        </w:tc>
      </w:tr>
      <w:tr>
        <w:trPr/>
        <w:tc>
          <w:tcPr>
            <w:tcW w:w="7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0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10,825,398</w:t>
            </w:r>
          </w:p>
        </w:tc>
        <w:tc>
          <w:tcPr>
            <w:tcW w:w="62" w:type="dxa"/>
            <w:tcBorders/>
            <w:shd w:fill="CCEEFF" w:val="clear"/>
            <w:vAlign w:val="bottom"/>
          </w:tcPr>
          <w:p>
            <w:pPr>
              <w:pStyle w:val="TableContents"/>
              <w:bidi w:val="0"/>
              <w:spacing w:before="0" w:after="283"/>
              <w:jc w:val="left"/>
              <w:rPr/>
            </w:pPr>
            <w:r>
              <w:rPr/>
              <w:t> </w:t>
            </w:r>
          </w:p>
        </w:tc>
      </w:tr>
      <w:tr>
        <w:trPr/>
        <w:tc>
          <w:tcPr>
            <w:tcW w:w="7989"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0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9,777,778</w:t>
            </w:r>
          </w:p>
        </w:tc>
        <w:tc>
          <w:tcPr>
            <w:tcW w:w="62" w:type="dxa"/>
            <w:tcBorders/>
            <w:vAlign w:val="bottom"/>
          </w:tcPr>
          <w:p>
            <w:pPr>
              <w:pStyle w:val="TableContents"/>
              <w:bidi w:val="0"/>
              <w:spacing w:before="0" w:after="283"/>
              <w:jc w:val="left"/>
              <w:rPr/>
            </w:pPr>
            <w:r>
              <w:rPr/>
              <w:t> </w:t>
            </w:r>
          </w:p>
        </w:tc>
      </w:tr>
      <w:tr>
        <w:trPr/>
        <w:tc>
          <w:tcPr>
            <w:tcW w:w="7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40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6,285,714</w:t>
            </w:r>
          </w:p>
        </w:tc>
        <w:tc>
          <w:tcPr>
            <w:tcW w:w="62" w:type="dxa"/>
            <w:tcBorders/>
            <w:shd w:fill="CCEEFF" w:val="clear"/>
            <w:vAlign w:val="bottom"/>
          </w:tcPr>
          <w:p>
            <w:pPr>
              <w:pStyle w:val="TableContents"/>
              <w:bidi w:val="0"/>
              <w:spacing w:before="0" w:after="283"/>
              <w:jc w:val="left"/>
              <w:rPr/>
            </w:pPr>
            <w:r>
              <w:rPr/>
              <w:t> </w:t>
            </w:r>
          </w:p>
        </w:tc>
      </w:tr>
      <w:tr>
        <w:trPr/>
        <w:tc>
          <w:tcPr>
            <w:tcW w:w="7989" w:type="dxa"/>
            <w:tcBorders/>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40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4,539,682</w:t>
            </w:r>
          </w:p>
        </w:tc>
        <w:tc>
          <w:tcPr>
            <w:tcW w:w="62" w:type="dxa"/>
            <w:tcBorders/>
            <w:vAlign w:val="bottom"/>
          </w:tcPr>
          <w:p>
            <w:pPr>
              <w:pStyle w:val="TableContents"/>
              <w:bidi w:val="0"/>
              <w:spacing w:before="0" w:after="283"/>
              <w:jc w:val="left"/>
              <w:rPr/>
            </w:pPr>
            <w:r>
              <w:rPr/>
              <w:t> </w:t>
            </w:r>
          </w:p>
        </w:tc>
      </w:tr>
      <w:tr>
        <w:trPr/>
        <w:tc>
          <w:tcPr>
            <w:tcW w:w="7989"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65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31,428,572</w:t>
            </w:r>
          </w:p>
        </w:tc>
        <w:tc>
          <w:tcPr>
            <w:tcW w:w="62" w:type="dxa"/>
            <w:tcBorders/>
            <w:shd w:fill="CCEEFF" w:val="clear"/>
            <w:vAlign w:val="bottom"/>
          </w:tcPr>
          <w:p>
            <w:pPr>
              <w:pStyle w:val="TableContents"/>
              <w:bidi w:val="0"/>
              <w:spacing w:before="0" w:after="283"/>
              <w:jc w:val="left"/>
              <w:rPr/>
            </w:pPr>
            <w:r>
              <w:rPr/>
              <w:t> </w:t>
            </w:r>
          </w:p>
        </w:tc>
      </w:tr>
      <w:tr>
        <w:trPr/>
        <w:tc>
          <w:tcPr>
            <w:tcW w:w="7989"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65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Pricing Disclosure Package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Pricing Information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Number of Underwritten Shares: 31,428,572 </w:t>
      </w:r>
    </w:p>
    <w:p>
      <w:pPr>
        <w:pStyle w:val="TextBody"/>
        <w:bidi w:val="0"/>
        <w:spacing w:before="120" w:after="0"/>
        <w:jc w:val="left"/>
        <w:rPr>
          <w:rFonts w:ascii="Times New Roman" w:hAnsi="Times New Roman"/>
          <w:sz w:val="20"/>
        </w:rPr>
      </w:pPr>
      <w:r>
        <w:rPr>
          <w:rFonts w:ascii="Times New Roman" w:hAnsi="Times New Roman"/>
          <w:sz w:val="20"/>
        </w:rPr>
        <w:t xml:space="preserve">Number of Option Shares: 4,714,285 </w:t>
      </w:r>
    </w:p>
    <w:p>
      <w:pPr>
        <w:pStyle w:val="TextBody"/>
        <w:bidi w:val="0"/>
        <w:spacing w:before="120" w:after="0"/>
        <w:jc w:val="left"/>
        <w:rPr>
          <w:rFonts w:ascii="Times New Roman" w:hAnsi="Times New Roman"/>
          <w:sz w:val="20"/>
        </w:rPr>
      </w:pPr>
      <w:r>
        <w:rPr>
          <w:rFonts w:ascii="Times New Roman" w:hAnsi="Times New Roman"/>
          <w:sz w:val="20"/>
        </w:rPr>
        <w:t xml:space="preserve">Public Offering Price: $17.50 per Share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Erasca, Inc.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Pricing Term Sheet </w:t>
      </w:r>
    </w:p>
    <w:p>
      <w:pPr>
        <w:pStyle w:val="TextBody"/>
        <w:bidi w:val="0"/>
        <w:spacing w:before="240" w:after="0"/>
        <w:jc w:val="center"/>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EVERCORE GROUP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w:t>
      </w:r>
    </w:p>
    <w:p>
      <w:pPr>
        <w:pStyle w:val="TextBody"/>
        <w:bidi w:val="0"/>
        <w:spacing w:before="0" w:after="0"/>
        <w:jc w:val="left"/>
        <w:rPr>
          <w:rFonts w:ascii="Times New Roman" w:hAnsi="Times New Roman"/>
          <w:sz w:val="20"/>
        </w:rPr>
      </w:pPr>
      <w:r>
        <w:rPr>
          <w:rFonts w:ascii="Times New Roman" w:hAnsi="Times New Roman"/>
          <w:sz w:val="20"/>
        </w:rPr>
        <w:t xml:space="preserve">the several Underwriters listed in </w:t>
      </w:r>
    </w:p>
    <w:p>
      <w:pPr>
        <w:pStyle w:val="TextBody"/>
        <w:bidi w:val="0"/>
        <w:spacing w:before="0" w:after="0"/>
        <w:jc w:val="left"/>
        <w:rPr>
          <w:rFonts w:ascii="Times New Roman" w:hAnsi="Times New Roman"/>
          <w:sz w:val="20"/>
        </w:rPr>
      </w:pPr>
      <w:r>
        <w:rPr>
          <w:rFonts w:ascii="Times New Roman" w:hAnsi="Times New Roman"/>
          <w:sz w:val="20"/>
        </w:rPr>
        <w:t xml:space="preserve">Schedule 1 to the Underwriting </w:t>
      </w:r>
    </w:p>
    <w:p>
      <w:pPr>
        <w:pStyle w:val="TextBody"/>
        <w:bidi w:val="0"/>
        <w:spacing w:before="0" w:after="0"/>
        <w:jc w:val="left"/>
        <w:rPr>
          <w:rFonts w:ascii="Times New Roman" w:hAnsi="Times New Roman"/>
          <w:sz w:val="20"/>
        </w:rPr>
      </w:pPr>
      <w:r>
        <w:rPr>
          <w:rFonts w:ascii="Times New Roman" w:hAnsi="Times New Roman"/>
          <w:sz w:val="20"/>
        </w:rPr>
        <w:t xml:space="preserve">Agreement 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10179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240" w:after="0"/>
        <w:jc w:val="left"/>
        <w:rPr>
          <w:rFonts w:ascii="Times New Roman" w:hAnsi="Times New Roman"/>
          <w:sz w:val="20"/>
        </w:rPr>
      </w:pPr>
      <w:r>
        <w:rPr>
          <w:rFonts w:ascii="Times New Roman" w:hAnsi="Times New Roman"/>
          <w:sz w:val="20"/>
        </w:rPr>
        <w:t xml:space="preserve">c/o Evercore Group L.L.C. </w:t>
      </w:r>
    </w:p>
    <w:p>
      <w:pPr>
        <w:pStyle w:val="TextBody"/>
        <w:bidi w:val="0"/>
        <w:spacing w:before="0" w:after="0"/>
        <w:jc w:val="left"/>
        <w:rPr>
          <w:rFonts w:ascii="Times New Roman" w:hAnsi="Times New Roman"/>
          <w:sz w:val="20"/>
        </w:rPr>
      </w:pPr>
      <w:r>
        <w:rPr>
          <w:rFonts w:ascii="Times New Roman" w:hAnsi="Times New Roman"/>
          <w:sz w:val="20"/>
        </w:rPr>
        <w:t xml:space="preserve">55 East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10055 </w:t>
      </w:r>
    </w:p>
    <w:p>
      <w:pPr>
        <w:pStyle w:val="TextBody"/>
        <w:bidi w:val="0"/>
        <w:spacing w:before="240" w:after="0"/>
        <w:jc w:val="center"/>
        <w:rPr>
          <w:rFonts w:ascii="Times New Roman" w:hAnsi="Times New Roman"/>
          <w:sz w:val="20"/>
        </w:rPr>
      </w:pPr>
      <w:r>
        <w:rPr>
          <w:rFonts w:ascii="Times New Roman" w:hAnsi="Times New Roman"/>
          <w:sz w:val="20"/>
        </w:rPr>
        <w:t xml:space="preserve">Re: Erasca, Inc. —-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representatives (the “Representatives”) of the several Underwriters, propose to enter into an underwriting agreement (the “Underwriting Agreement”) with Erasca, Inc., a Delaware corporation (the “Company”), providing for the public offering (the “Public Offering”) by the several Underwriters named in Schedule 1 to the Underwriting Agreement (the “Underwriters”), of common stock, par value $0.0001 per share (the “Common Stock”), of the Company (the “Securities”). Capitalized terms used herein and not otherwise defined shall have the meanings set forth in the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on behalf of the Underwriters, the undersigned will not, and will not cause any direct or indirect affiliate to, during the period beginning on the date of this letter agreement (this “Letter Agreement”) and ending at the close of business 60 days after the date of the final prospectus supplement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affiliates, is a party to as of the date hereof, which transaction would have been restricted by this Letter Agreement if it had been entered into by the undersigned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240" w:after="0"/>
        <w:jc w:val="left"/>
        <w:rPr>
          <w:rFonts w:ascii="Times New Roman" w:hAnsi="Times New Roman"/>
          <w:sz w:val="20"/>
        </w:rPr>
      </w:pPr>
      <w:r>
        <w:rPr>
          <w:rFonts w:ascii="Times New Roman" w:hAnsi="Times New Roman"/>
          <w:sz w:val="20"/>
        </w:rPr>
        <w:t xml:space="preserve">(a) transfer the undersigned’s Lock-Up Securities without the consent of J.P. Morgan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(i) as a bona fide gift or gifts, including without limitation to a charitable organization or educational institution, or for bona fide estate planning purposes, </w:t>
      </w:r>
    </w:p>
    <w:p>
      <w:pPr>
        <w:pStyle w:val="TextBody"/>
        <w:bidi w:val="0"/>
        <w:spacing w:before="240" w:after="0"/>
        <w:jc w:val="left"/>
        <w:rPr>
          <w:rFonts w:ascii="Times New Roman" w:hAnsi="Times New Roman"/>
          <w:sz w:val="20"/>
        </w:rPr>
      </w:pPr>
      <w:r>
        <w:rPr>
          <w:rFonts w:ascii="Times New Roman" w:hAnsi="Times New Roman"/>
          <w:sz w:val="20"/>
        </w:rPr>
        <w:t xml:space="preserve">(ii) by will, other testamentary document or intestacy, </w:t>
      </w:r>
    </w:p>
    <w:p>
      <w:pPr>
        <w:pStyle w:val="TextBody"/>
        <w:bidi w:val="0"/>
        <w:spacing w:before="240" w:after="0"/>
        <w:jc w:val="left"/>
        <w:rPr>
          <w:rFonts w:ascii="Times New Roman" w:hAnsi="Times New Roman"/>
          <w:sz w:val="20"/>
        </w:rPr>
      </w:pPr>
      <w:r>
        <w:rPr>
          <w:rFonts w:ascii="Times New Roman" w:hAnsi="Times New Roman"/>
          <w:sz w:val="20"/>
        </w:rPr>
        <w:t xml:space="preserve">(iii) to any member of the undersigned’s immediate family or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a partnership, limited liability company or other entity of which the undersigned and the immediate family of the undersigned are the legal and beneficial owner of all of the outstanding equity securities or similar interests, </w:t>
      </w:r>
    </w:p>
    <w:p>
      <w:pPr>
        <w:pStyle w:val="TextBody"/>
        <w:bidi w:val="0"/>
        <w:spacing w:before="240" w:after="0"/>
        <w:jc w:val="left"/>
        <w:rPr>
          <w:rFonts w:ascii="Times New Roman" w:hAnsi="Times New Roman"/>
          <w:sz w:val="20"/>
        </w:rPr>
      </w:pPr>
      <w:r>
        <w:rPr>
          <w:rFonts w:ascii="Times New Roman" w:hAnsi="Times New Roman"/>
          <w:sz w:val="20"/>
        </w:rPr>
        <w:t xml:space="preserve">(v) to a nominee or custodian of a person or entity to whom a disposition or transfer would be permissible under clauses (i) through (iv) above, </w:t>
      </w:r>
    </w:p>
    <w:p>
      <w:pPr>
        <w:pStyle w:val="TextBody"/>
        <w:bidi w:val="0"/>
        <w:spacing w:before="240" w:after="0"/>
        <w:jc w:val="left"/>
        <w:rPr>
          <w:rFonts w:ascii="Times New Roman" w:hAnsi="Times New Roman"/>
          <w:sz w:val="20"/>
        </w:rPr>
      </w:pPr>
      <w:r>
        <w:rPr>
          <w:rFonts w:ascii="Times New Roman" w:hAnsi="Times New Roman"/>
          <w:sz w:val="20"/>
        </w:rPr>
        <w:t xml:space="preserve">(vi)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(vii) by operation of law, such as pursuant to a qualified domestic order, divorce settlement, divorce decree or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(viii) to the Company from an employee of the Company upon death, disability or termination of employment, in each case, of such employee, </w:t>
      </w:r>
    </w:p>
    <w:p>
      <w:pPr>
        <w:pStyle w:val="TextBody"/>
        <w:bidi w:val="0"/>
        <w:spacing w:before="240" w:after="0"/>
        <w:jc w:val="left"/>
        <w:rPr>
          <w:rFonts w:ascii="Times New Roman" w:hAnsi="Times New Roman"/>
          <w:sz w:val="20"/>
        </w:rPr>
      </w:pPr>
      <w:r>
        <w:rPr>
          <w:rFonts w:ascii="Times New Roman" w:hAnsi="Times New Roman"/>
          <w:sz w:val="20"/>
        </w:rPr>
        <w:t xml:space="preserve">(ix) as part of a sale of the undersigned’s Lock-Up Securities acquired in open market transactions after the closing date for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(x) to the Company in connection with the vesting, settlement, or exercise of restricted stock units, options, warrants or other rights to purchase shares of Common Stock expiring during the Restricted Period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(including the documents incorporated by reference), and provided further that no public filing, report or announcement reporting a reduction in beneficial ownership of shares of Common Stock shall be voluntarily made during the Restricted Period, and if the undersigned is required to file a report reporting a reduction in beneficial ownership of shares of Common Stock during the Restricted Period, the undersigned shall clearly indicate in the footnotes thereto that the filing relates to the circumstances described in this clause and that the shares of Common Stock received upon exercise of the stock option or warrant or restricted stock unit or other right or vesting event are subject to this agreement, and no public filing, report or announcement shall be voluntarily made,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transfers or dispositions of shares of Common Stock or any security convertible into or exercisable or exchangeable for Common Stock to the Company pursuant to any contractual arrangement in effect on the date of this agreement and disclosed in the Registration Statement, the Pricing Disclosure Package and the Prospectus that provides for the repurchase of shares of Common Stock in connection with the termination of the undersigned’s employment with or service to the Company; provided, that no public filing, report or announcement reporting a reduction in beneficial ownership of shares of Common Stock shall be voluntarily made during the Restricted Period, and if the undersigned is required to file a report reporting a reduction in beneficial ownership of shares of Common Stock during the Restricted Period, such report or filing shall clearly indicate in the footnotes thereto that the filing relates to the circumstances described in this clause and no public filing, report or announcement shall be voluntarily made, </w:t>
      </w:r>
    </w:p>
    <w:p>
      <w:pPr>
        <w:pStyle w:val="TextBody"/>
        <w:bidi w:val="0"/>
        <w:spacing w:before="240" w:after="0"/>
        <w:jc w:val="left"/>
        <w:rPr>
          <w:rFonts w:ascii="Times New Roman" w:hAnsi="Times New Roman"/>
          <w:sz w:val="20"/>
        </w:rPr>
      </w:pPr>
      <w:r>
        <w:rPr>
          <w:rFonts w:ascii="Times New Roman" w:hAnsi="Times New Roman"/>
          <w:sz w:val="20"/>
        </w:rPr>
        <w:t xml:space="preserve">(xii)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50% of the outstanding voting securities of the Company (or the surviving entity));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similar transaction is not completed, the undersigned’s Lock-Up Securities shall remain subject to the provisions of this Letter Agreement, or </w:t>
      </w:r>
    </w:p>
    <w:p>
      <w:pPr>
        <w:pStyle w:val="TextBody"/>
        <w:bidi w:val="0"/>
        <w:spacing w:before="240" w:after="0"/>
        <w:jc w:val="left"/>
        <w:rPr>
          <w:rFonts w:ascii="Times New Roman" w:hAnsi="Times New Roman"/>
          <w:sz w:val="20"/>
        </w:rPr>
      </w:pPr>
      <w:r>
        <w:rPr>
          <w:rFonts w:ascii="Times New Roman" w:hAnsi="Times New Roman"/>
          <w:sz w:val="20"/>
        </w:rPr>
        <w:t xml:space="preserve">(xiii) pursuant to a Trading Plan (as defined below) that is existing on the date hereof which has been provided to the Underwriters or its legal counsel, provided that, to the extent a public announcement or filing under the Securities Exchange Act of 1934, as amended (the “Exchange Act”), if any, is required by or on behalf of the undersigned or the Company regarding such transfer during the Restricted Period, such announcement or filing shall include the date that the trading plan was entered into and a statement that such transfer is in accordance with an established Trading Plan, and provided further that the existing Trading Plan may not be amended during the Restricted Period to allow for an increase in the number of Lock-Up Securities that may be sold pursuant to such existing Trading Plan,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(a)(ii), (iii), (iv), (v), (vi) and (ix),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(a)(i), (vii), (viii) and (xiii),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establish trading plans pursuant to Rule 10b5-1 under the Exchange Act for the transfer of shares of Lock-Up Securities (each such plan, a “Trading Plan”); </w:t>
      </w:r>
      <w:r>
        <w:rPr>
          <w:rFonts w:ascii="Times New Roman" w:hAnsi="Times New Roman"/>
          <w:sz w:val="20"/>
          <w:u w:val="single"/>
        </w:rPr>
        <w:t>provided</w:t>
      </w:r>
      <w:r>
        <w:rPr>
          <w:rFonts w:ascii="Times New Roman" w:hAnsi="Times New Roman"/>
          <w:sz w:val="20"/>
        </w:rPr>
        <w:t xml:space="preserve"> that (1) such Trading Plans do not provide for the transfer of Lock-Up Securities during the Restricted Period and (2) no filing by any party under the Exchange Act or other public announcement shall be made voluntarily in connection with such Trading Plan and if any filing under Section 16(a) of the Exchange Act, or other public filing, report or announcement shall be legally required during the Restricted Period, such filing, report or announcement shall clearly indicate in the footnotes thereto the nature and conditions of such establishment.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not a natural person, the undersigned represents and warrants that no single natural person, entity or “group” (within the meaning of Section 13(d)(3) of the Exchange Act) beneficially owns, directly or indirectly, 50% or more of the common equity interests, or 50% or more of the voting power,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In the event that any signature is delivered by facsimile transmission, electronic mail or otherwise by electronic transmission (including any electronic signature complying with the U.S. federal ESIGN Act of 2000, </w:t>
      </w:r>
      <w:r>
        <w:rPr>
          <w:rFonts w:ascii="Times New Roman" w:hAnsi="Times New Roman"/>
          <w:i/>
          <w:sz w:val="20"/>
        </w:rPr>
        <w:t>e.g.</w:t>
      </w:r>
      <w:r>
        <w:rPr>
          <w:rFonts w:ascii="Times New Roman" w:hAnsi="Times New Roman"/>
          <w:sz w:val="20"/>
        </w:rPr>
        <w:t xml:space="preserve">, www.docusign.com) evidencing an intent to sign this Letter Agreement, such facsimile transmission, electronic mail or other electronic transmission shall create a valid and binding obligation of the undersigned with the same force and effect as if such signature were an original. Execution and delivery of this Letter Agreement by facsimile transmission, electronic mail or other electronic transmission is legal, valid and binding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the undersigned in connection with the Public Offering, the Representatives and the other Underwriters are not making a recommendation to the undersigned to enter into this Letter Agreement and nothing set forth in such disclosures is intended to suggest that the Representatives or any Underwriter is making such a recommendation.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(i) if the Underwriting Agreement does not become effective by August 31, 2026, (ii) if the Underwriting Agreement (other than the provisions thereof which survive termination) shall terminate or be terminated prior to payment for and delivery of the Common Stock to be sold thereunder, (iii) prior to payment for the Securities, the Registration Statement is withdrawn prior to the execution of the Underwriting Agreement or (iv) if the Company advises the Representatives in writing prior to the execution of the Underwriting Agreement that it has determined not to proceed with the Public Offering, the undersigned shall be released from all obligations under this Letter Agreement. The undersigned understands that the Underwriters are entering into the Underwriting Agreement and proceeding with the Public Offering in reliance upon this Letter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 xml:space="preserve">Name of Security Holder </w:t>
            </w:r>
            <w:r>
              <w:rPr>
                <w:i/>
              </w:rPr>
              <w:t>(Print exact name</w:t>
            </w:r>
            <w:r>
              <w:rPr/>
              <w: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Signature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If not signing in an individual capacity: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 xml:space="preserve">Name of Authorized Signatory </w:t>
            </w:r>
            <w:r>
              <w:rPr>
                <w:i/>
              </w:rPr>
              <w:t>(Print</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 xml:space="preserve">Title of Authorized Signatory </w:t>
            </w:r>
            <w:r>
              <w:rPr>
                <w:i/>
              </w:rPr>
              <w:t>(Print</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i/>
              </w:rPr>
            </w:pPr>
            <w:r>
              <w:rPr>
                <w:i/>
              </w:rPr>
              <w:t>(indicate capacity of person signing if signing as custodian, trustee, or on behalf of an entity)</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right"/>
        <w:rPr>
          <w:rFonts w:ascii="Times New Roman" w:hAnsi="Times New Roman"/>
          <w:b/>
          <w:sz w:val="20"/>
        </w:rPr>
      </w:pPr>
      <w:bookmarkStart w:id="4" w:name="d371010dex51.htm"/>
      <w:bookmarkStart w:id="5" w:name="ksd371010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7"/>
        <w:gridCol w:w="101"/>
        <w:gridCol w:w="1326"/>
        <w:gridCol w:w="102"/>
        <w:gridCol w:w="1939"/>
      </w:tblGrid>
      <w:tr>
        <w:trPr/>
        <w:tc>
          <w:tcPr>
            <w:tcW w:w="67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7" w:type="dxa"/>
            <w:gridSpan w:val="3"/>
            <w:tcBorders/>
            <w:vAlign w:val="bottom"/>
          </w:tcPr>
          <w:p>
            <w:pPr>
              <w:pStyle w:val="TableContents"/>
              <w:bidi w:val="0"/>
              <w:spacing w:before="0" w:after="283"/>
              <w:jc w:val="left"/>
              <w:rPr/>
            </w:pPr>
            <w:r>
              <w:rPr/>
              <w:t>12670 High Bluff Drive</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7" w:type="dxa"/>
            <w:gridSpan w:val="3"/>
            <w:tcBorders/>
            <w:vAlign w:val="bottom"/>
          </w:tcPr>
          <w:p>
            <w:pPr>
              <w:pStyle w:val="TableContents"/>
              <w:bidi w:val="0"/>
              <w:spacing w:before="0" w:after="283"/>
              <w:jc w:val="left"/>
              <w:rPr/>
            </w:pPr>
            <w:r>
              <w:rPr/>
              <w:t>San Diego, California 92130</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7" w:type="dxa"/>
            <w:gridSpan w:val="3"/>
            <w:tcBorders/>
            <w:vAlign w:val="bottom"/>
          </w:tcPr>
          <w:p>
            <w:pPr>
              <w:pStyle w:val="TableContents"/>
              <w:bidi w:val="0"/>
              <w:spacing w:before="0" w:after="283"/>
              <w:jc w:val="left"/>
              <w:rPr/>
            </w:pPr>
            <w:r>
              <w:rPr/>
              <w:t>Tel: +1.858.523.5400 Fax: +1.858.523.5450</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7" w:type="dxa"/>
            <w:gridSpan w:val="3"/>
            <w:tcBorders/>
            <w:vAlign w:val="bottom"/>
          </w:tcPr>
          <w:p>
            <w:pPr>
              <w:pStyle w:val="TableContents"/>
              <w:bidi w:val="0"/>
              <w:spacing w:before="0" w:after="283"/>
              <w:jc w:val="left"/>
              <w:rPr/>
            </w:pPr>
            <w:r>
              <w:rPr/>
              <w:t>www.lw.com</w:t>
            </w:r>
          </w:p>
        </w:tc>
      </w:tr>
      <w:tr>
        <w:trPr/>
        <w:tc>
          <w:tcPr>
            <w:tcW w:w="6737" w:type="dxa"/>
            <w:tcBorders/>
            <w:vAlign w:val="bottom"/>
          </w:tcPr>
          <w:p>
            <w:pPr>
              <w:pStyle w:val="TableContents"/>
              <w:bidi w:val="0"/>
              <w:spacing w:before="0" w:after="283"/>
              <w:jc w:val="left"/>
              <w:rPr/>
            </w:pPr>
            <w:r>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15240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367" w:type="dxa"/>
            <w:gridSpan w:val="3"/>
            <w:tcBorders/>
            <w:vAlign w:val="bottom"/>
          </w:tcPr>
          <w:p>
            <w:pPr>
              <w:pStyle w:val="TableContents"/>
              <w:bidi w:val="0"/>
              <w:spacing w:before="0" w:after="283"/>
              <w:jc w:val="left"/>
              <w:rPr/>
            </w:pPr>
            <w:r>
              <w:rPr/>
              <w:t>FIRM / AFFILIATE OFFICES</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Austin</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Milan</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Beijing</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Munich</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Boston</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New York</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Brussels</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Orange County</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Chicago</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Paris</w:t>
            </w:r>
          </w:p>
        </w:tc>
      </w:tr>
      <w:tr>
        <w:trPr/>
        <w:tc>
          <w:tcPr>
            <w:tcW w:w="6737" w:type="dxa"/>
            <w:tcBorders/>
            <w:vAlign w:val="bottom"/>
          </w:tcPr>
          <w:p>
            <w:pPr>
              <w:pStyle w:val="TableContents"/>
              <w:bidi w:val="0"/>
              <w:spacing w:before="0" w:after="283"/>
              <w:jc w:val="left"/>
              <w:rPr/>
            </w:pPr>
            <w:r>
              <w:rPr/>
              <w:t>July 14, 2026</w:t>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Dubai</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Riyadh</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Düsseldorf</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San Diego</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Frankfurt</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San Francisco</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Hamburg</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Seoul</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Hong Kong</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Silicon Valley</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Houston</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Singapore</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London</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Tel Aviv</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Los Angeles</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Tokyo</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pPr>
            <w:r>
              <w:rPr/>
              <w:t>Madrid</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Erasca, Inc. </w:t>
      </w:r>
    </w:p>
    <w:p>
      <w:pPr>
        <w:pStyle w:val="TextBody"/>
        <w:bidi w:val="0"/>
        <w:spacing w:before="0" w:after="0"/>
        <w:jc w:val="left"/>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 (333-297427); 36,142,857 shares of Common Stock, par value $0.0001 per share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Erasca, Inc., a Delaware corporation (the “</w:t>
      </w:r>
      <w:r>
        <w:rPr>
          <w:rFonts w:ascii="Times New Roman" w:hAnsi="Times New Roman"/>
          <w:b/>
          <w:i/>
          <w:sz w:val="20"/>
        </w:rPr>
        <w:t>Company</w:t>
      </w:r>
      <w:r>
        <w:rPr>
          <w:rFonts w:ascii="Times New Roman" w:hAnsi="Times New Roman"/>
          <w:sz w:val="20"/>
        </w:rPr>
        <w:t>”), in connection with the offering of up to 36,142,857 shares (including up to 4,714,285 shares issuable upon exercise of the underwriters’ option to purchase additional shares) of common stock of the Company, par value $0.0001 per share (the “</w:t>
      </w:r>
      <w:r>
        <w:rPr>
          <w:rFonts w:ascii="Times New Roman" w:hAnsi="Times New Roman"/>
          <w:b/>
          <w:i/>
          <w:sz w:val="20"/>
        </w:rPr>
        <w:t>Shares</w:t>
      </w:r>
      <w:r>
        <w:rPr>
          <w:rFonts w:ascii="Times New Roman" w:hAnsi="Times New Roman"/>
          <w:sz w:val="20"/>
        </w:rPr>
        <w:t>”). The offering of the Shares was made under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July 13, 2026 (Registration No. 333-297427) (the “</w:t>
      </w:r>
      <w:r>
        <w:rPr>
          <w:rFonts w:ascii="Times New Roman" w:hAnsi="Times New Roman"/>
          <w:b/>
          <w:i/>
          <w:sz w:val="20"/>
        </w:rPr>
        <w:t>Registration Statement</w:t>
      </w:r>
      <w:r>
        <w:rPr>
          <w:rFonts w:ascii="Times New Roman" w:hAnsi="Times New Roman"/>
          <w:sz w:val="20"/>
        </w:rPr>
        <w:t>”), a base prospectus dated July 13, 2026 included in the Registration Statement at the time it originally became effective (the “</w:t>
      </w:r>
      <w:r>
        <w:rPr>
          <w:rFonts w:ascii="Times New Roman" w:hAnsi="Times New Roman"/>
          <w:b/>
          <w:i/>
          <w:sz w:val="20"/>
        </w:rPr>
        <w:t>Base Prospectus</w:t>
      </w:r>
      <w:r>
        <w:rPr>
          <w:rFonts w:ascii="Times New Roman" w:hAnsi="Times New Roman"/>
          <w:sz w:val="20"/>
        </w:rPr>
        <w:t>”), a preliminary prospectus supplement dated July 13, 2026 filed with the Commission pursuant to Rule 424(b) under the Act (together with the Base Prospectus, the “</w:t>
      </w:r>
      <w:r>
        <w:rPr>
          <w:rFonts w:ascii="Times New Roman" w:hAnsi="Times New Roman"/>
          <w:b/>
          <w:i/>
          <w:sz w:val="20"/>
        </w:rPr>
        <w:t>Preliminary</w:t>
      </w:r>
      <w:r>
        <w:rPr>
          <w:rFonts w:ascii="Times New Roman" w:hAnsi="Times New Roman"/>
          <w:sz w:val="20"/>
        </w:rPr>
        <w:t xml:space="preserve"> </w:t>
      </w:r>
      <w:r>
        <w:rPr>
          <w:rFonts w:ascii="Times New Roman" w:hAnsi="Times New Roman"/>
          <w:b/>
          <w:i/>
          <w:sz w:val="20"/>
        </w:rPr>
        <w:t>Prospectus</w:t>
      </w:r>
      <w:r>
        <w:rPr>
          <w:rFonts w:ascii="Times New Roman" w:hAnsi="Times New Roman"/>
          <w:sz w:val="20"/>
        </w:rPr>
        <w:t>”) and a prospectus supplement dated July 13, 2026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The Shares are being sold pursuant to an underwriting agreement dated July 13, 2026 by and among the Company and J.P. Morgan Securities LLC, Morgan Stanley &amp; Co. LLC, Jefferies LLC and Evercore Group L.L.C., as representatives of the several underwriters listed on Schedule 1 thereto (the “</w:t>
      </w:r>
      <w:r>
        <w:rPr>
          <w:rFonts w:ascii="Times New Roman" w:hAnsi="Times New Roman"/>
          <w:b/>
          <w:i/>
          <w:sz w:val="20"/>
        </w:rPr>
        <w:t>Underwriting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the Preliminary Prospectus or the Prospectus, other than as expressly stated herein with respect to the issue of the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14,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43050" cy="104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sz w:val="20"/>
        </w:rPr>
        <w:t>DGCL</w:t>
      </w:r>
      <w:r>
        <w:rPr>
          <w:rFonts w:ascii="Times New Roman" w:hAnsi="Times New Roman"/>
          <w:sz w:val="20"/>
        </w:rPr>
        <w:t xml:space="preserve">”),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Underwriting Agreement, the issue and sale of the Shares will have been duly authorized by all necessary corporate action of the Company, and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July 14,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Latham &amp; Watkins LLP </w:t>
      </w:r>
    </w:p>
    <w:p>
      <w:pPr>
        <w:pStyle w:val="TextBody"/>
        <w:bidi w:val="0"/>
        <w:spacing w:before="0" w:after="0"/>
        <w:jc w:val="right"/>
        <w:rPr>
          <w:rFonts w:ascii="Times New Roman" w:hAnsi="Times New Roman"/>
          <w:b/>
          <w:sz w:val="20"/>
        </w:rPr>
      </w:pPr>
      <w:bookmarkStart w:id="6" w:name="d371010dex991.htm"/>
      <w:bookmarkStart w:id="7" w:name="ksd371010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390900"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90900" cy="762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Erasca Announces Proposed Public Offering of $500 Million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July 13, 2026 </w:t>
      </w:r>
    </w:p>
    <w:p>
      <w:pPr>
        <w:pStyle w:val="TextBody"/>
        <w:bidi w:val="0"/>
        <w:spacing w:before="120" w:after="0"/>
        <w:jc w:val="left"/>
        <w:rPr>
          <w:rFonts w:ascii="Times New Roman" w:hAnsi="Times New Roman"/>
          <w:sz w:val="20"/>
        </w:rPr>
      </w:pPr>
      <w:r>
        <w:rPr>
          <w:rFonts w:ascii="Times New Roman" w:hAnsi="Times New Roman"/>
          <w:b/>
          <w:sz w:val="20"/>
        </w:rPr>
        <w:t>SAN DIEGO, July</w:t>
      </w:r>
      <w:r>
        <w:rPr>
          <w:rFonts w:ascii="Times New Roman" w:hAnsi="Times New Roman"/>
          <w:sz w:val="20"/>
        </w:rPr>
        <w:t> </w:t>
      </w:r>
      <w:r>
        <w:rPr>
          <w:rFonts w:ascii="Times New Roman" w:hAnsi="Times New Roman"/>
          <w:b/>
          <w:sz w:val="20"/>
        </w:rPr>
        <w:t>13, 2026</w:t>
      </w:r>
      <w:r>
        <w:rPr>
          <w:rFonts w:ascii="Times New Roman" w:hAnsi="Times New Roman"/>
          <w:sz w:val="20"/>
        </w:rPr>
        <w:t xml:space="preserve"> </w:t>
      </w:r>
      <w:r>
        <w:rPr>
          <w:rFonts w:ascii="Times New Roman" w:hAnsi="Times New Roman"/>
          <w:b/>
          <w:sz w:val="20"/>
        </w:rPr>
        <w:t>(GLOBE NEWSWIRE)</w:t>
      </w:r>
      <w:r>
        <w:rPr>
          <w:rFonts w:ascii="Times New Roman" w:hAnsi="Times New Roman"/>
          <w:sz w:val="20"/>
        </w:rPr>
        <w:t xml:space="preserve"> – Erasca, Inc. (Nasdaq: ERAS), a clinical-stage precision oncology company singularly focused on discovering, developing, and commercializing therapies for patients with RAS/MAPK pathway-driven cancers, today announced that it intends to offer and sell, subject to market and other conditions, $500.0 million of shares of its common stock in a proposed underwritten public offering. All of the shares of common stock to be sold in the proposed offering are being offered by Erasca. In addition, Erasca intends to grant the underwriters a 30-day option to purchase up to an additional $75.0 million of shares of its common stock. There can be no assurance as to whether or when the proposed public offering may be completed, or as to the actual size or terms of the proposed offering. </w:t>
      </w:r>
    </w:p>
    <w:p>
      <w:pPr>
        <w:pStyle w:val="TextBody"/>
        <w:bidi w:val="0"/>
        <w:spacing w:before="240" w:after="0"/>
        <w:jc w:val="left"/>
        <w:rPr>
          <w:rFonts w:ascii="Times New Roman" w:hAnsi="Times New Roman"/>
          <w:sz w:val="20"/>
        </w:rPr>
      </w:pPr>
      <w:r>
        <w:rPr>
          <w:rFonts w:ascii="Times New Roman" w:hAnsi="Times New Roman"/>
          <w:sz w:val="20"/>
        </w:rPr>
        <w:t xml:space="preserve">Erasca intends to use the net proceeds from the proposed offering, together with its existing cash, cash equivalents, and marketable securities, to fund the research and development of its product candidates and other development programs and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J.P. Morgan, Morgan Stanley, Jefferies, and Evercore ISI are acting as joint book-running managers for the proposed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described above are being offered by Erasca pursuant to a shelf registration statement on Form S-3, including a base prospectus, that was previously filed with the Securities and Exchange Commission (SEC) on July 13, 2026 and automatically became effective upon filing. A preliminary prospectus supplement and accompanying prospectus relating to this offering will be filed with the SEC. Copies of the prospectus supplement for this offering may be obtained, when available, by contacting J.P. Morgan Securities LLC, c/o Broadridge Financial Solutions, 1155 Long Island Avenue, Edgewood, NY 11717, or by email at prospectus-eq_fi@jpmchase.com and postsalemanualrequests@broadridge.com; Morgan Stanley &amp; Co. LLC, Attention: Prospectus Department, 180 Varick Street, 2nd Floor, New York, New York 10014, or by email at prospectus@morganstanley.com; Jefferies LLC, Attention: Equity Syndicate Prospectus Department, 520 Madison Avenue, New York, NY 10022, by telephone at (877) 821-7388, or by email at Prospectus_Department@Jefferies.com; and Evercore Group L.L.C., Attention: Equity Capital Markets, 55 East 52nd Street, 35th Floor, New York, NY 10055, by telephone at (888) 474-0200, or by email at ecm.prospectus@evercore.com. Electronic copies of the preliminary prospectus supplement and accompanying prospectus will also be available on the website of the SEC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Erasca </w:t>
      </w:r>
    </w:p>
    <w:p>
      <w:pPr>
        <w:pStyle w:val="TextBody"/>
        <w:bidi w:val="0"/>
        <w:spacing w:before="120" w:after="0"/>
        <w:jc w:val="left"/>
        <w:rPr>
          <w:rFonts w:ascii="Times New Roman" w:hAnsi="Times New Roman"/>
          <w:sz w:val="20"/>
        </w:rPr>
      </w:pPr>
      <w:r>
        <w:rPr>
          <w:rFonts w:ascii="Times New Roman" w:hAnsi="Times New Roman"/>
          <w:sz w:val="20"/>
        </w:rPr>
        <w:t xml:space="preserve">At Erasca, our name is our mission: To erase cancer. We are a clinical-stage precision oncology company singularly focused on discovering, developing, and commercializing therapies for patients with RAS/MAPK pathway-driven cancers. Our company was co-founded by leading pioneers in precision oncology and RAS targeting to create novel therapies and combination regimens designed to comprehensively shut down the RAS/MAPK pathway for the treatment of patients with cancer. We believe our team’s capabilities and experience, further guided by our scientific advisory board which includes the world’s leading experts in the RAS/MAPK pathway, uniquely position us to achieve our bold mission of erasing cancer.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Erasca cautions you that statements contained in this press release regarding matters that are not historical facts are forward-looking statements. The forward-looking statements are based on our current beliefs and expectations and include, but are not limited to: our expectations regarding the completion, timing and size of the proposed offering and our intended use of proceeds therefrom, and the grant of the option to purchase additional shares. Actual results may differ from those set forth in this press release due to the risks and uncertainties associated with market conditions and the satisfaction of customary closing conditions related to the proposed offering, as well as risks and uncertainties inherent in our business described in our prior filings with the SEC, including under the heading “Risk Factors” in our annual report on Form 10-K for the year ended December 31, 2025,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24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jallaire@lifesciadvisors.com </w:t>
      </w:r>
    </w:p>
    <w:p>
      <w:pPr>
        <w:pStyle w:val="TextBody"/>
        <w:bidi w:val="0"/>
        <w:spacing w:before="240" w:after="0"/>
        <w:jc w:val="left"/>
        <w:rPr>
          <w:rFonts w:ascii="Times New Roman" w:hAnsi="Times New Roman"/>
          <w:sz w:val="20"/>
        </w:rPr>
      </w:pPr>
      <w:r>
        <w:rPr>
          <w:rFonts w:ascii="Times New Roman" w:hAnsi="Times New Roman"/>
          <w:sz w:val="20"/>
        </w:rPr>
        <w:t xml:space="preserve">Source: Erasca, Inc. </w:t>
      </w:r>
    </w:p>
    <w:p>
      <w:pPr>
        <w:pStyle w:val="TextBody"/>
        <w:bidi w:val="0"/>
        <w:spacing w:before="0" w:after="0"/>
        <w:jc w:val="right"/>
        <w:rPr>
          <w:rFonts w:ascii="Times New Roman" w:hAnsi="Times New Roman"/>
          <w:b/>
          <w:sz w:val="20"/>
        </w:rPr>
      </w:pPr>
      <w:bookmarkStart w:id="8" w:name="d371010dex992.htm"/>
      <w:bookmarkStart w:id="9" w:name="ksd371010dex992"/>
      <w:bookmarkEnd w:id="8"/>
      <w:bookmarkEnd w:id="9"/>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390900" cy="76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90900" cy="762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Erasca Announces Pricing of Upsized Public Offering of Common Stock </w:t>
      </w:r>
    </w:p>
    <w:p>
      <w:pPr>
        <w:pStyle w:val="TextBody"/>
        <w:bidi w:val="0"/>
        <w:spacing w:before="120" w:after="0"/>
        <w:jc w:val="left"/>
        <w:rPr>
          <w:rFonts w:ascii="Times New Roman" w:hAnsi="Times New Roman"/>
          <w:sz w:val="20"/>
        </w:rPr>
      </w:pPr>
      <w:r>
        <w:rPr>
          <w:rFonts w:ascii="Times New Roman" w:hAnsi="Times New Roman"/>
          <w:b/>
          <w:sz w:val="20"/>
        </w:rPr>
        <w:t>SAN DIEGO, July</w:t>
      </w:r>
      <w:r>
        <w:rPr>
          <w:rFonts w:ascii="Times New Roman" w:hAnsi="Times New Roman"/>
          <w:sz w:val="20"/>
        </w:rPr>
        <w:t> </w:t>
      </w:r>
      <w:r>
        <w:rPr>
          <w:rFonts w:ascii="Times New Roman" w:hAnsi="Times New Roman"/>
          <w:b/>
          <w:sz w:val="20"/>
        </w:rPr>
        <w:t>13, 2026</w:t>
      </w:r>
      <w:r>
        <w:rPr>
          <w:rFonts w:ascii="Times New Roman" w:hAnsi="Times New Roman"/>
          <w:sz w:val="20"/>
        </w:rPr>
        <w:t xml:space="preserve"> </w:t>
      </w:r>
      <w:r>
        <w:rPr>
          <w:rFonts w:ascii="Times New Roman" w:hAnsi="Times New Roman"/>
          <w:b/>
          <w:sz w:val="20"/>
        </w:rPr>
        <w:t>(GLOBE NEWSWIRE)</w:t>
      </w:r>
      <w:r>
        <w:rPr>
          <w:rFonts w:ascii="Times New Roman" w:hAnsi="Times New Roman"/>
          <w:sz w:val="20"/>
        </w:rPr>
        <w:t xml:space="preserve"> – Erasca, Inc. (Nasdaq: ERAS), a clinical-stage precision oncology company singularly focused on discovering, developing, and commercializing therapies for patients with RAS/MAPK pathway-driven cancers, today announced the pricing of an upsized public offering of 31,428,572 shares of its common stock. The shares of common stock are being sold to the public at a price of $17.50 per share. All of the shares of common stock to be sold in the public offering are to be sold by Erasca. The gross proceeds to Erasca from the offering, before deducting the underwriting discounts and commissions and other offering expenses, are expected to be approximately $550.0 million. In addition, Erasca has granted the underwriters a 30-day option to purchase up to an additional 4,714,285 shares of common stock at the offering price, less underwriting discounts and commissions. The offering is expected to close on July 15,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Erasca intends to use the net proceeds from this offering, together with its existing cash, cash equivalents and marketable securities, to fund the research and development of its product candidates and other development programs and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J.P. Morgan, Morgan Stanley, Jefferies, and Evercore ISI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described above are being offered by Erasca pursuant to a shelf registration statement on Form S-3, including a base prospectus, that was previously filed with the Securities and Exchange Commission (SEC) on July 13, 2026 and automatically became effective upon filing. </w:t>
      </w:r>
    </w:p>
    <w:p>
      <w:pPr>
        <w:pStyle w:val="TextBody"/>
        <w:bidi w:val="0"/>
        <w:spacing w:before="240" w:after="0"/>
        <w:jc w:val="left"/>
        <w:rPr>
          <w:rFonts w:ascii="Times New Roman" w:hAnsi="Times New Roman"/>
          <w:sz w:val="20"/>
        </w:rPr>
      </w:pPr>
      <w:r>
        <w:rPr>
          <w:rFonts w:ascii="Times New Roman" w:hAnsi="Times New Roman"/>
          <w:sz w:val="20"/>
        </w:rPr>
        <w:t xml:space="preserve">A preliminary prospectus supplement relating to this offering has been filed with the SEC and a final prospectus supplement relating to this offering will be filed with the SEC. The offering may be made only by means of a prospectus supplement and accompanying prospectus. When available, copies of the final prospectus supplement and the accompanying prospectus relating to this offering may be obtained from: J.P. Morgan Securities LLC, c/o Broadridge Financial Solutions, 1155 Long Island Avenue, Edgewood, NY 11717, or by email at prospectus-eq_fi@jpmchase.com and postsalemanualrequests@broadridge.com; Morgan Stanley &amp; Co. LLC, Attention: Prospectus Department, 180 Varick Street, 2nd Floor, New York, New York 10014, or by email at prospectus@morganstanley.com; Jefferies LLC, Attention: Equity Syndicate Prospectus Department, 520 Madison Avenue, New York, NY 10022, by telephone at (877) 821-7388, or by email at Prospectus_Department@Jefferies.com; and Evercore Group L.L.C., Attention: Equity Capital Markets, 55 East 52nd Street, 35th Floor, New York, NY 10055, by telephone at (888) 474-0200, or by email at ecm.prospectus@evercore.com. Electronic copies of the final prospectus supplement and accompanying prospectus will also be available on the website of the SEC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Erasca </w:t>
      </w:r>
    </w:p>
    <w:p>
      <w:pPr>
        <w:pStyle w:val="TextBody"/>
        <w:bidi w:val="0"/>
        <w:spacing w:before="120" w:after="0"/>
        <w:jc w:val="left"/>
        <w:rPr>
          <w:rFonts w:ascii="Times New Roman" w:hAnsi="Times New Roman"/>
          <w:sz w:val="20"/>
        </w:rPr>
      </w:pPr>
      <w:r>
        <w:rPr>
          <w:rFonts w:ascii="Times New Roman" w:hAnsi="Times New Roman"/>
          <w:sz w:val="20"/>
        </w:rPr>
        <w:t xml:space="preserve">At Erasca, our name is our mission: To erase cancer. We are a clinical-stage precision oncology company singularly focused on discovering, developing, and commercializing therapies for patients with RAS/MAPK pathway-driven cancers. Our company was co-founded by leading pioneers in precision oncology and RAS targeting to create novel therapies and combination regimens designed to comprehensively shut down the RAS/MAPK pathway for the treatment of patients with cancer. We believe our team’s capabilities and experience, further guided by our scientific advisory board which includes the world’s leading experts in the RAS/MAPK pathway, uniquely position us to achieve our bold mission of erasing cancer.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Erasca cautions you that statements contained in this press release regarding matters that are not historical facts are forward-looking statements. The forward-looking statements are based on our current beliefs and expectations and include, but are not limited to: our expectations regarding the expected closing of the offering and the anticipated use of proceeds therefrom. Actual results may differ from those set forth in this press release due to the risks and uncertainties associated with market conditions and the satisfaction of customary closing conditions related to the offering, as well as risks and uncertainties inherent in our business described in our prior filings with the SEC, including under the heading “Risk Factors” in our annual report on Form 10-K for the year ended December 31, 2025,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24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jallaire@lifesciadvisors.com </w:t>
      </w:r>
    </w:p>
    <w:p>
      <w:pPr>
        <w:pStyle w:val="TextBody"/>
        <w:bidi w:val="0"/>
        <w:spacing w:before="240" w:after="0"/>
        <w:jc w:val="left"/>
        <w:rPr>
          <w:rFonts w:ascii="Times New Roman" w:hAnsi="Times New Roman"/>
          <w:sz w:val="20"/>
        </w:rPr>
      </w:pPr>
      <w:r>
        <w:rPr>
          <w:rFonts w:ascii="Times New Roman" w:hAnsi="Times New Roman"/>
          <w:sz w:val="20"/>
        </w:rPr>
        <w:t xml:space="preserve">Source: Erasca,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27990</Words>
  <Characters>151095</Characters>
  <CharactersWithSpaces>179107</CharactersWithSpaces>
  <Paragraphs>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