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Erasca,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001-40602</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83-1217027</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3115 Merryfield Row</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300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San Diego, California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92121</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465-6511</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ERAS</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342" w:lineRule="exact"/>
        <w:rPr>
          <w:sz w:val="20"/>
          <w:szCs w:val="20"/>
          <w:color w:val="auto"/>
        </w:rPr>
      </w:pPr>
    </w:p>
    <w:p>
      <w:pPr>
        <w:ind w:left="60" w:right="40"/>
        <w:spacing w:after="0" w:line="275" w:lineRule="auto"/>
        <w:rPr>
          <w:sz w:val="20"/>
          <w:szCs w:val="20"/>
          <w:color w:val="auto"/>
        </w:rPr>
      </w:pPr>
      <w:r>
        <w:rPr>
          <w:rFonts w:ascii="Times New Roman" w:cs="Times New Roman" w:eastAsia="Times New Roman" w:hAnsi="Times New Roman"/>
          <w:sz w:val="16"/>
          <w:szCs w:val="16"/>
          <w:color w:val="auto"/>
        </w:rPr>
        <w:t>On June 26, 2026, Erasca, Inc. (the Company) held its annual meeting of stockholders (the Annual Meeting). As of the close of business on April 27, 2026, the record date for the Annual Meeting, there were 310,965,971 shares of common stock entitled to vote, of which there were 266,073,906 shares present at the Annual Meeting in person or by proxy. At the Annual Meeting, stockholders voted on two matters as described briefly below and in more detail in the Company’s definitive proxy statement dated April 28, 2026. The voting results were as follows: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Election of three Class II Directors for a term of three years expiring at the 2029 annual meeting of stockholders</w:t>
      </w:r>
    </w:p>
    <w:p>
      <w:pPr>
        <w:spacing w:after="0" w:line="25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2200" w:type="dxa"/>
            <w:vAlign w:val="bottom"/>
            <w:shd w:val="clear" w:color="auto" w:fill="C6D9F1"/>
          </w:tcPr>
          <w:p>
            <w:pPr>
              <w:ind w:left="20"/>
              <w:spacing w:after="0"/>
              <w:rPr>
                <w:sz w:val="20"/>
                <w:szCs w:val="20"/>
                <w:color w:val="auto"/>
              </w:rPr>
            </w:pPr>
            <w:r>
              <w:rPr>
                <w:rFonts w:ascii="Times New Roman" w:cs="Times New Roman" w:eastAsia="Times New Roman" w:hAnsi="Times New Roman"/>
                <w:sz w:val="16"/>
                <w:szCs w:val="16"/>
                <w:color w:val="auto"/>
              </w:rPr>
              <w:t>Alexander W. Casdin</w:t>
            </w:r>
          </w:p>
        </w:tc>
        <w:tc>
          <w:tcPr>
            <w:tcW w:w="1380" w:type="dxa"/>
            <w:vAlign w:val="bottom"/>
            <w:shd w:val="clear" w:color="auto" w:fill="C6D9F1"/>
          </w:tcPr>
          <w:p>
            <w:pPr>
              <w:ind w:left="500"/>
              <w:spacing w:after="0"/>
              <w:rPr>
                <w:sz w:val="20"/>
                <w:szCs w:val="20"/>
                <w:color w:val="auto"/>
              </w:rPr>
            </w:pPr>
            <w:r>
              <w:rPr>
                <w:rFonts w:ascii="Times New Roman" w:cs="Times New Roman" w:eastAsia="Times New Roman" w:hAnsi="Times New Roman"/>
                <w:sz w:val="16"/>
                <w:szCs w:val="16"/>
                <w:color w:val="auto"/>
              </w:rPr>
              <w:t>For</w:t>
            </w:r>
          </w:p>
        </w:tc>
        <w:tc>
          <w:tcPr>
            <w:tcW w:w="2780" w:type="dxa"/>
            <w:vAlign w:val="bottom"/>
            <w:shd w:val="clear" w:color="auto" w:fill="C6D9F1"/>
          </w:tcPr>
          <w:p>
            <w:pPr>
              <w:ind w:left="640"/>
              <w:spacing w:after="0"/>
              <w:rPr>
                <w:sz w:val="20"/>
                <w:szCs w:val="20"/>
                <w:color w:val="auto"/>
              </w:rPr>
            </w:pPr>
            <w:r>
              <w:rPr>
                <w:rFonts w:ascii="Times New Roman" w:cs="Times New Roman" w:eastAsia="Times New Roman" w:hAnsi="Times New Roman"/>
                <w:sz w:val="16"/>
                <w:szCs w:val="16"/>
                <w:color w:val="auto"/>
              </w:rPr>
              <w:t>219,569,944 Withheld</w:t>
            </w:r>
          </w:p>
        </w:tc>
        <w:tc>
          <w:tcPr>
            <w:tcW w:w="1640" w:type="dxa"/>
            <w:vAlign w:val="bottom"/>
            <w:shd w:val="clear" w:color="auto" w:fill="C6D9F1"/>
          </w:tcPr>
          <w:p>
            <w:pPr>
              <w:jc w:val="right"/>
              <w:ind w:right="159"/>
              <w:spacing w:after="0"/>
              <w:rPr>
                <w:sz w:val="20"/>
                <w:szCs w:val="20"/>
                <w:color w:val="auto"/>
              </w:rPr>
            </w:pPr>
            <w:r>
              <w:rPr>
                <w:rFonts w:ascii="Times New Roman" w:cs="Times New Roman" w:eastAsia="Times New Roman" w:hAnsi="Times New Roman"/>
                <w:sz w:val="16"/>
                <w:szCs w:val="16"/>
                <w:color w:val="auto"/>
              </w:rPr>
              <w:t>29,886,221</w:t>
            </w:r>
          </w:p>
        </w:tc>
        <w:tc>
          <w:tcPr>
            <w:tcW w:w="1900" w:type="dxa"/>
            <w:vAlign w:val="bottom"/>
            <w:shd w:val="clear" w:color="auto" w:fill="C6D9F1"/>
          </w:tcPr>
          <w:p>
            <w:pPr>
              <w:ind w:left="240"/>
              <w:spacing w:after="0"/>
              <w:rPr>
                <w:sz w:val="20"/>
                <w:szCs w:val="20"/>
                <w:color w:val="auto"/>
              </w:rPr>
            </w:pPr>
            <w:r>
              <w:rPr>
                <w:rFonts w:ascii="Times New Roman" w:cs="Times New Roman" w:eastAsia="Times New Roman" w:hAnsi="Times New Roman"/>
                <w:sz w:val="16"/>
                <w:szCs w:val="16"/>
                <w:color w:val="auto"/>
              </w:rPr>
              <w:t>Broker Non Votes</w:t>
            </w:r>
          </w:p>
        </w:tc>
        <w:tc>
          <w:tcPr>
            <w:tcW w:w="1220" w:type="dxa"/>
            <w:vAlign w:val="bottom"/>
            <w:shd w:val="clear" w:color="auto" w:fill="C6D9F1"/>
          </w:tcPr>
          <w:p>
            <w:pPr>
              <w:jc w:val="right"/>
              <w:spacing w:after="0"/>
              <w:rPr>
                <w:sz w:val="20"/>
                <w:szCs w:val="20"/>
                <w:color w:val="auto"/>
              </w:rPr>
            </w:pPr>
            <w:r>
              <w:rPr>
                <w:rFonts w:ascii="Times New Roman" w:cs="Times New Roman" w:eastAsia="Times New Roman" w:hAnsi="Times New Roman"/>
                <w:sz w:val="16"/>
                <w:szCs w:val="16"/>
                <w:color w:val="auto"/>
              </w:rPr>
              <w:t>16,617,741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2200" w:type="dxa"/>
            <w:vAlign w:val="bottom"/>
            <w:shd w:val="clear" w:color="auto" w:fill="C6D9F1"/>
          </w:tcPr>
          <w:p>
            <w:pPr>
              <w:spacing w:after="0"/>
              <w:rPr>
                <w:sz w:val="10"/>
                <w:szCs w:val="10"/>
                <w:color w:val="auto"/>
              </w:rPr>
            </w:pPr>
          </w:p>
        </w:tc>
        <w:tc>
          <w:tcPr>
            <w:tcW w:w="1380" w:type="dxa"/>
            <w:vAlign w:val="bottom"/>
            <w:shd w:val="clear" w:color="auto" w:fill="C6D9F1"/>
          </w:tcPr>
          <w:p>
            <w:pPr>
              <w:spacing w:after="0"/>
              <w:rPr>
                <w:sz w:val="10"/>
                <w:szCs w:val="10"/>
                <w:color w:val="auto"/>
              </w:rPr>
            </w:pPr>
          </w:p>
        </w:tc>
        <w:tc>
          <w:tcPr>
            <w:tcW w:w="2780" w:type="dxa"/>
            <w:vAlign w:val="bottom"/>
            <w:shd w:val="clear" w:color="auto" w:fill="C6D9F1"/>
          </w:tcPr>
          <w:p>
            <w:pPr>
              <w:spacing w:after="0"/>
              <w:rPr>
                <w:sz w:val="10"/>
                <w:szCs w:val="10"/>
                <w:color w:val="auto"/>
              </w:rPr>
            </w:pPr>
          </w:p>
        </w:tc>
        <w:tc>
          <w:tcPr>
            <w:tcW w:w="1640" w:type="dxa"/>
            <w:vAlign w:val="bottom"/>
            <w:shd w:val="clear" w:color="auto" w:fill="C6D9F1"/>
          </w:tcPr>
          <w:p>
            <w:pPr>
              <w:spacing w:after="0"/>
              <w:rPr>
                <w:sz w:val="10"/>
                <w:szCs w:val="10"/>
                <w:color w:val="auto"/>
              </w:rPr>
            </w:pPr>
          </w:p>
        </w:tc>
        <w:tc>
          <w:tcPr>
            <w:tcW w:w="1900" w:type="dxa"/>
            <w:vAlign w:val="bottom"/>
            <w:shd w:val="clear" w:color="auto" w:fill="C6D9F1"/>
          </w:tcPr>
          <w:p>
            <w:pPr>
              <w:spacing w:after="0"/>
              <w:rPr>
                <w:sz w:val="10"/>
                <w:szCs w:val="10"/>
                <w:color w:val="auto"/>
              </w:rPr>
            </w:pPr>
          </w:p>
        </w:tc>
        <w:tc>
          <w:tcPr>
            <w:tcW w:w="1220" w:type="dxa"/>
            <w:vAlign w:val="bottom"/>
            <w:shd w:val="clear" w:color="auto" w:fill="C6D9F1"/>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Julie Hambleton, M.D.</w:t>
            </w:r>
          </w:p>
        </w:tc>
        <w:tc>
          <w:tcPr>
            <w:tcW w:w="13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For</w:t>
            </w:r>
          </w:p>
        </w:tc>
        <w:tc>
          <w:tcPr>
            <w:tcW w:w="27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223,847,177 Withheld</w:t>
            </w:r>
          </w:p>
        </w:tc>
        <w:tc>
          <w:tcPr>
            <w:tcW w:w="16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25,608,988</w:t>
            </w:r>
          </w:p>
        </w:tc>
        <w:tc>
          <w:tcPr>
            <w:tcW w:w="1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Broker Non Votes</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16,617,741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2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200" w:type="dxa"/>
            <w:vAlign w:val="bottom"/>
            <w:shd w:val="clear" w:color="auto" w:fill="C6D9F1"/>
          </w:tcPr>
          <w:p>
            <w:pPr>
              <w:ind w:left="20"/>
              <w:spacing w:after="0"/>
              <w:rPr>
                <w:sz w:val="20"/>
                <w:szCs w:val="20"/>
                <w:color w:val="auto"/>
              </w:rPr>
            </w:pPr>
            <w:r>
              <w:rPr>
                <w:rFonts w:ascii="Times New Roman" w:cs="Times New Roman" w:eastAsia="Times New Roman" w:hAnsi="Times New Roman"/>
                <w:sz w:val="16"/>
                <w:szCs w:val="16"/>
                <w:color w:val="auto"/>
              </w:rPr>
              <w:t>Michael D. Varney, Ph.D.</w:t>
            </w:r>
          </w:p>
        </w:tc>
        <w:tc>
          <w:tcPr>
            <w:tcW w:w="1380" w:type="dxa"/>
            <w:vAlign w:val="bottom"/>
            <w:shd w:val="clear" w:color="auto" w:fill="C6D9F1"/>
          </w:tcPr>
          <w:p>
            <w:pPr>
              <w:ind w:left="500"/>
              <w:spacing w:after="0"/>
              <w:rPr>
                <w:sz w:val="20"/>
                <w:szCs w:val="20"/>
                <w:color w:val="auto"/>
              </w:rPr>
            </w:pPr>
            <w:r>
              <w:rPr>
                <w:rFonts w:ascii="Times New Roman" w:cs="Times New Roman" w:eastAsia="Times New Roman" w:hAnsi="Times New Roman"/>
                <w:sz w:val="16"/>
                <w:szCs w:val="16"/>
                <w:color w:val="auto"/>
              </w:rPr>
              <w:t>For</w:t>
            </w:r>
          </w:p>
        </w:tc>
        <w:tc>
          <w:tcPr>
            <w:tcW w:w="2780" w:type="dxa"/>
            <w:vAlign w:val="bottom"/>
            <w:shd w:val="clear" w:color="auto" w:fill="C6D9F1"/>
          </w:tcPr>
          <w:p>
            <w:pPr>
              <w:ind w:left="640"/>
              <w:spacing w:after="0"/>
              <w:rPr>
                <w:sz w:val="20"/>
                <w:szCs w:val="20"/>
                <w:color w:val="auto"/>
              </w:rPr>
            </w:pPr>
            <w:r>
              <w:rPr>
                <w:rFonts w:ascii="Times New Roman" w:cs="Times New Roman" w:eastAsia="Times New Roman" w:hAnsi="Times New Roman"/>
                <w:sz w:val="16"/>
                <w:szCs w:val="16"/>
                <w:color w:val="auto"/>
              </w:rPr>
              <w:t>223,863,013 Withheld</w:t>
            </w:r>
          </w:p>
        </w:tc>
        <w:tc>
          <w:tcPr>
            <w:tcW w:w="1640" w:type="dxa"/>
            <w:vAlign w:val="bottom"/>
            <w:shd w:val="clear" w:color="auto" w:fill="C6D9F1"/>
          </w:tcPr>
          <w:p>
            <w:pPr>
              <w:jc w:val="right"/>
              <w:ind w:right="159"/>
              <w:spacing w:after="0"/>
              <w:rPr>
                <w:sz w:val="20"/>
                <w:szCs w:val="20"/>
                <w:color w:val="auto"/>
              </w:rPr>
            </w:pPr>
            <w:r>
              <w:rPr>
                <w:rFonts w:ascii="Times New Roman" w:cs="Times New Roman" w:eastAsia="Times New Roman" w:hAnsi="Times New Roman"/>
                <w:sz w:val="16"/>
                <w:szCs w:val="16"/>
                <w:color w:val="auto"/>
              </w:rPr>
              <w:t>25,593,152</w:t>
            </w:r>
          </w:p>
        </w:tc>
        <w:tc>
          <w:tcPr>
            <w:tcW w:w="1900" w:type="dxa"/>
            <w:vAlign w:val="bottom"/>
            <w:shd w:val="clear" w:color="auto" w:fill="C6D9F1"/>
          </w:tcPr>
          <w:p>
            <w:pPr>
              <w:ind w:left="240"/>
              <w:spacing w:after="0"/>
              <w:rPr>
                <w:sz w:val="20"/>
                <w:szCs w:val="20"/>
                <w:color w:val="auto"/>
              </w:rPr>
            </w:pPr>
            <w:r>
              <w:rPr>
                <w:rFonts w:ascii="Times New Roman" w:cs="Times New Roman" w:eastAsia="Times New Roman" w:hAnsi="Times New Roman"/>
                <w:sz w:val="16"/>
                <w:szCs w:val="16"/>
                <w:color w:val="auto"/>
              </w:rPr>
              <w:t>Broker Non Votes</w:t>
            </w:r>
          </w:p>
        </w:tc>
        <w:tc>
          <w:tcPr>
            <w:tcW w:w="1220" w:type="dxa"/>
            <w:vAlign w:val="bottom"/>
            <w:shd w:val="clear" w:color="auto" w:fill="C6D9F1"/>
          </w:tcPr>
          <w:p>
            <w:pPr>
              <w:jc w:val="right"/>
              <w:spacing w:after="0"/>
              <w:rPr>
                <w:sz w:val="20"/>
                <w:szCs w:val="20"/>
                <w:color w:val="auto"/>
              </w:rPr>
            </w:pPr>
            <w:r>
              <w:rPr>
                <w:rFonts w:ascii="Times New Roman" w:cs="Times New Roman" w:eastAsia="Times New Roman" w:hAnsi="Times New Roman"/>
                <w:sz w:val="16"/>
                <w:szCs w:val="16"/>
                <w:color w:val="auto"/>
              </w:rPr>
              <w:t>16,617,741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2200" w:type="dxa"/>
            <w:vAlign w:val="bottom"/>
            <w:shd w:val="clear" w:color="auto" w:fill="C6D9F1"/>
          </w:tcPr>
          <w:p>
            <w:pPr>
              <w:spacing w:after="0"/>
              <w:rPr>
                <w:sz w:val="8"/>
                <w:szCs w:val="8"/>
                <w:color w:val="auto"/>
              </w:rPr>
            </w:pPr>
          </w:p>
        </w:tc>
        <w:tc>
          <w:tcPr>
            <w:tcW w:w="1380" w:type="dxa"/>
            <w:vAlign w:val="bottom"/>
            <w:shd w:val="clear" w:color="auto" w:fill="C6D9F1"/>
          </w:tcPr>
          <w:p>
            <w:pPr>
              <w:spacing w:after="0"/>
              <w:rPr>
                <w:sz w:val="8"/>
                <w:szCs w:val="8"/>
                <w:color w:val="auto"/>
              </w:rPr>
            </w:pPr>
          </w:p>
        </w:tc>
        <w:tc>
          <w:tcPr>
            <w:tcW w:w="2780" w:type="dxa"/>
            <w:vAlign w:val="bottom"/>
            <w:shd w:val="clear" w:color="auto" w:fill="C6D9F1"/>
          </w:tcPr>
          <w:p>
            <w:pPr>
              <w:spacing w:after="0"/>
              <w:rPr>
                <w:sz w:val="8"/>
                <w:szCs w:val="8"/>
                <w:color w:val="auto"/>
              </w:rPr>
            </w:pPr>
          </w:p>
        </w:tc>
        <w:tc>
          <w:tcPr>
            <w:tcW w:w="1640" w:type="dxa"/>
            <w:vAlign w:val="bottom"/>
            <w:shd w:val="clear" w:color="auto" w:fill="C6D9F1"/>
          </w:tcPr>
          <w:p>
            <w:pPr>
              <w:spacing w:after="0"/>
              <w:rPr>
                <w:sz w:val="8"/>
                <w:szCs w:val="8"/>
                <w:color w:val="auto"/>
              </w:rPr>
            </w:pPr>
          </w:p>
        </w:tc>
        <w:tc>
          <w:tcPr>
            <w:tcW w:w="1900" w:type="dxa"/>
            <w:vAlign w:val="bottom"/>
            <w:shd w:val="clear" w:color="auto" w:fill="C6D9F1"/>
          </w:tcPr>
          <w:p>
            <w:pPr>
              <w:spacing w:after="0"/>
              <w:rPr>
                <w:sz w:val="8"/>
                <w:szCs w:val="8"/>
                <w:color w:val="auto"/>
              </w:rPr>
            </w:pPr>
          </w:p>
        </w:tc>
        <w:tc>
          <w:tcPr>
            <w:tcW w:w="1220" w:type="dxa"/>
            <w:vAlign w:val="bottom"/>
            <w:shd w:val="clear" w:color="auto" w:fill="C6D9F1"/>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The three nominees for Class II Director were elected.</w:t>
      </w:r>
    </w:p>
    <w:p>
      <w:pPr>
        <w:spacing w:after="0" w:line="2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Ratification of the appointment of KPMG LLP as the Company’s independent registered public accounting firm for the fiscal year ending December 31, 2026</w:t>
      </w:r>
    </w:p>
    <w:p>
      <w:pPr>
        <w:spacing w:after="0" w:line="219" w:lineRule="exact"/>
        <w:rPr>
          <w:sz w:val="20"/>
          <w:szCs w:val="20"/>
          <w:color w:val="auto"/>
        </w:rPr>
      </w:pPr>
    </w:p>
    <w:p>
      <w:pPr>
        <w:ind w:left="240"/>
        <w:spacing w:after="0"/>
        <w:tabs>
          <w:tab w:leader="none" w:pos="2220" w:val="left"/>
          <w:tab w:leader="none" w:pos="4240" w:val="left"/>
          <w:tab w:leader="none" w:pos="6260" w:val="left"/>
          <w:tab w:leader="none" w:pos="8280" w:val="left"/>
          <w:tab w:leader="none" w:pos="10280" w:val="left"/>
        </w:tabs>
        <w:rPr>
          <w:sz w:val="20"/>
          <w:szCs w:val="20"/>
          <w:color w:val="auto"/>
        </w:rPr>
      </w:pPr>
      <w:r>
        <w:rPr>
          <w:rFonts w:ascii="Times New Roman" w:cs="Times New Roman" w:eastAsia="Times New Roman" w:hAnsi="Times New Roman"/>
          <w:sz w:val="18"/>
          <w:szCs w:val="18"/>
          <w:color w:val="auto"/>
        </w:rPr>
        <w:t>For</w:t>
      </w:r>
      <w:r>
        <w:rPr>
          <w:sz w:val="20"/>
          <w:szCs w:val="20"/>
          <w:color w:val="auto"/>
        </w:rPr>
        <w:tab/>
      </w:r>
      <w:r>
        <w:rPr>
          <w:rFonts w:ascii="Times New Roman" w:cs="Times New Roman" w:eastAsia="Times New Roman" w:hAnsi="Times New Roman"/>
          <w:sz w:val="18"/>
          <w:szCs w:val="18"/>
          <w:color w:val="auto"/>
        </w:rPr>
        <w:t>264,569,118</w:t>
      </w:r>
      <w:r>
        <w:rPr>
          <w:sz w:val="20"/>
          <w:szCs w:val="20"/>
          <w:color w:val="auto"/>
        </w:rPr>
        <w:tab/>
      </w:r>
      <w:r>
        <w:rPr>
          <w:rFonts w:ascii="Times New Roman" w:cs="Times New Roman" w:eastAsia="Times New Roman" w:hAnsi="Times New Roman"/>
          <w:sz w:val="18"/>
          <w:szCs w:val="18"/>
          <w:color w:val="auto"/>
        </w:rPr>
        <w:t>Withheld</w:t>
      </w:r>
      <w:r>
        <w:rPr>
          <w:sz w:val="20"/>
          <w:szCs w:val="20"/>
          <w:color w:val="auto"/>
        </w:rPr>
        <w:tab/>
      </w:r>
      <w:r>
        <w:rPr>
          <w:rFonts w:ascii="Times New Roman" w:cs="Times New Roman" w:eastAsia="Times New Roman" w:hAnsi="Times New Roman"/>
          <w:sz w:val="18"/>
          <w:szCs w:val="18"/>
          <w:color w:val="auto"/>
        </w:rPr>
        <w:t>1,434,485</w:t>
      </w:r>
      <w:r>
        <w:rPr>
          <w:sz w:val="20"/>
          <w:szCs w:val="20"/>
          <w:color w:val="auto"/>
        </w:rPr>
        <w:tab/>
      </w:r>
      <w:r>
        <w:rPr>
          <w:rFonts w:ascii="Times New Roman" w:cs="Times New Roman" w:eastAsia="Times New Roman" w:hAnsi="Times New Roman"/>
          <w:sz w:val="18"/>
          <w:szCs w:val="18"/>
          <w:color w:val="auto"/>
        </w:rPr>
        <w:t>Against</w:t>
      </w:r>
      <w:r>
        <w:rPr>
          <w:sz w:val="20"/>
          <w:szCs w:val="20"/>
          <w:color w:val="auto"/>
        </w:rPr>
        <w:tab/>
      </w:r>
      <w:r>
        <w:rPr>
          <w:rFonts w:ascii="Times New Roman" w:cs="Times New Roman" w:eastAsia="Times New Roman" w:hAnsi="Times New Roman"/>
          <w:sz w:val="18"/>
          <w:szCs w:val="18"/>
          <w:color w:val="auto"/>
        </w:rPr>
        <w:t>70,303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-119380</wp:posOffset>
            </wp:positionV>
            <wp:extent cx="705485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54850" cy="137160"/>
                    </a:xfrm>
                    <a:prstGeom prst="rect">
                      <a:avLst/>
                    </a:prstGeom>
                    <a:noFill/>
                  </pic:spPr>
                </pic:pic>
              </a:graphicData>
            </a:graphic>
          </wp:anchor>
        </w:drawing>
      </w:r>
    </w:p>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There were 0 broker non-votes for this proposal.</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The appointment of KPMG LLP was ratified.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624840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Erasca,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30,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Ebun Garner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Ebun Garner,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2026-07-01T05:06:18Z</dcterms:created>
  <dcterms:modified xsi:type="dcterms:W3CDTF">2026-07-01T05:06:18Z</dcterms:modified>
</cp:coreProperties>
</file>