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3579ds3asr.htm"/>
        <w:bookmarkStart w:id="1" w:name="ksd133579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13,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ERASCA,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8"/>
              </w:rPr>
            </w:pPr>
            <w:r>
              <w:rPr>
                <w:rFonts w:ascii="Times New Roman" w:hAnsi="Times New Roman"/>
                <w:b/>
                <w:sz w:val="18"/>
              </w:rPr>
              <w:t>3115 Merryfield Row, Suite 300</w:t>
            </w:r>
          </w:p>
          <w:p>
            <w:pPr>
              <w:pStyle w:val="TableContents"/>
              <w:bidi w:val="0"/>
              <w:spacing w:before="0" w:after="0"/>
              <w:jc w:val="center"/>
              <w:rPr>
                <w:rFonts w:ascii="Times New Roman" w:hAnsi="Times New Roman"/>
                <w:b/>
                <w:sz w:val="18"/>
              </w:rPr>
            </w:pPr>
            <w:r>
              <w:rPr>
                <w:rFonts w:ascii="Times New Roman" w:hAnsi="Times New Roman"/>
                <w:b/>
                <w:sz w:val="18"/>
              </w:rPr>
              <w:t>San Diego, California 92121</w:t>
            </w:r>
          </w:p>
          <w:p>
            <w:pPr>
              <w:pStyle w:val="TableContents"/>
              <w:bidi w:val="0"/>
              <w:spacing w:before="0" w:after="20"/>
              <w:jc w:val="center"/>
              <w:rPr>
                <w:rFonts w:ascii="Times New Roman" w:hAnsi="Times New Roman"/>
                <w:b/>
                <w:sz w:val="18"/>
              </w:rPr>
            </w:pPr>
            <w:r>
              <w:rPr>
                <w:rFonts w:ascii="Times New Roman" w:hAnsi="Times New Roman"/>
                <w:b/>
                <w:sz w:val="18"/>
              </w:rPr>
              <w:t>(858) 465-6511</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83-1217027</w:t>
            </w:r>
          </w:p>
        </w:tc>
      </w:tr>
      <w:tr>
        <w:trPr/>
        <w:tc>
          <w:tcPr>
            <w:tcW w:w="3470"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4"/>
              </w:rPr>
            </w:pPr>
            <w:r>
              <w:rPr>
                <w:rFonts w:ascii="Times New Roman" w:hAnsi="Times New Roman"/>
                <w:b/>
                <w:sz w:val="14"/>
              </w:rPr>
              <w:t>(Address of Principal Executive</w:t>
            </w:r>
          </w:p>
          <w:p>
            <w:pPr>
              <w:pStyle w:val="TableContents"/>
              <w:bidi w:val="0"/>
              <w:spacing w:before="0" w:after="20"/>
              <w:jc w:val="center"/>
              <w:rPr>
                <w:rFonts w:ascii="Times New Roman" w:hAnsi="Times New Roman"/>
                <w:b/>
                <w:sz w:val="14"/>
              </w:rPr>
            </w:pPr>
            <w:r>
              <w:rPr>
                <w:rFonts w:ascii="Times New Roman" w:hAnsi="Times New Roman"/>
                <w:b/>
                <w:sz w:val="14"/>
              </w:rPr>
              <w:t>Offices including Zip Code)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Jonathan E. Lim, M.D. </w:t>
      </w:r>
    </w:p>
    <w:p>
      <w:pPr>
        <w:pStyle w:val="TextBody"/>
        <w:bidi w:val="0"/>
        <w:spacing w:before="0" w:after="0"/>
        <w:jc w:val="center"/>
        <w:rPr>
          <w:rFonts w:ascii="Times New Roman" w:hAnsi="Times New Roman"/>
          <w:b/>
          <w:sz w:val="18"/>
        </w:rPr>
      </w:pPr>
      <w:r>
        <w:rPr>
          <w:rFonts w:ascii="Times New Roman" w:hAnsi="Times New Roman"/>
          <w:b/>
          <w:sz w:val="18"/>
        </w:rPr>
        <w:t xml:space="preserve">Chairman and 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Erasca, Inc. </w:t>
      </w:r>
    </w:p>
    <w:p>
      <w:pPr>
        <w:pStyle w:val="TextBody"/>
        <w:bidi w:val="0"/>
        <w:spacing w:before="0" w:after="0"/>
        <w:jc w:val="center"/>
        <w:rPr>
          <w:rFonts w:ascii="Times New Roman" w:hAnsi="Times New Roman"/>
          <w:b/>
          <w:sz w:val="18"/>
        </w:rPr>
      </w:pPr>
      <w:r>
        <w:rPr>
          <w:rFonts w:ascii="Times New Roman" w:hAnsi="Times New Roman"/>
          <w:b/>
          <w:sz w:val="18"/>
        </w:rPr>
        <w:t xml:space="preserve">3115 Merryfield Row,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San Diego, California 92121 </w:t>
      </w:r>
    </w:p>
    <w:p>
      <w:pPr>
        <w:pStyle w:val="TextBody"/>
        <w:bidi w:val="0"/>
        <w:spacing w:before="0" w:after="0"/>
        <w:jc w:val="center"/>
        <w:rPr>
          <w:rFonts w:ascii="Times New Roman" w:hAnsi="Times New Roman"/>
          <w:b/>
          <w:sz w:val="18"/>
        </w:rPr>
      </w:pPr>
      <w:r>
        <w:rPr>
          <w:rFonts w:ascii="Times New Roman" w:hAnsi="Times New Roman"/>
          <w:b/>
          <w:sz w:val="18"/>
        </w:rPr>
        <w:t xml:space="preserve">(858) 465-6511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8"/>
              </w:rPr>
            </w:pPr>
            <w:r>
              <w:rPr>
                <w:rFonts w:ascii="Times New Roman" w:hAnsi="Times New Roman"/>
                <w:b/>
                <w:sz w:val="18"/>
              </w:rPr>
              <w:t>Matthew T. Bush</w:t>
            </w:r>
          </w:p>
          <w:p>
            <w:pPr>
              <w:pStyle w:val="TableContents"/>
              <w:bidi w:val="0"/>
              <w:spacing w:before="0" w:after="0"/>
              <w:jc w:val="center"/>
              <w:rPr>
                <w:rFonts w:ascii="Times New Roman" w:hAnsi="Times New Roman"/>
                <w:b/>
                <w:sz w:val="18"/>
              </w:rPr>
            </w:pPr>
            <w:r>
              <w:rPr>
                <w:rFonts w:ascii="Times New Roman" w:hAnsi="Times New Roman"/>
                <w:b/>
                <w:sz w:val="18"/>
              </w:rPr>
              <w:t>Cheston J. Larson</w:t>
            </w:r>
          </w:p>
          <w:p>
            <w:pPr>
              <w:pStyle w:val="TableContents"/>
              <w:bidi w:val="0"/>
              <w:spacing w:before="0" w:after="0"/>
              <w:jc w:val="center"/>
              <w:rPr>
                <w:rFonts w:ascii="Times New Roman" w:hAnsi="Times New Roman"/>
                <w:b/>
                <w:sz w:val="18"/>
              </w:rPr>
            </w:pPr>
            <w:r>
              <w:rPr>
                <w:rFonts w:ascii="Times New Roman" w:hAnsi="Times New Roman"/>
                <w:b/>
                <w:sz w:val="18"/>
              </w:rPr>
              <w:t>Latham &amp; Watkins LLP</w:t>
            </w:r>
          </w:p>
          <w:p>
            <w:pPr>
              <w:pStyle w:val="TableContents"/>
              <w:bidi w:val="0"/>
              <w:spacing w:before="0" w:after="0"/>
              <w:jc w:val="center"/>
              <w:rPr>
                <w:rFonts w:ascii="Times New Roman" w:hAnsi="Times New Roman"/>
                <w:b/>
                <w:sz w:val="18"/>
              </w:rPr>
            </w:pPr>
            <w:r>
              <w:rPr>
                <w:rFonts w:ascii="Times New Roman" w:hAnsi="Times New Roman"/>
                <w:b/>
                <w:sz w:val="18"/>
              </w:rPr>
              <w:t>12670 High Bluff Drive</w:t>
            </w:r>
          </w:p>
          <w:p>
            <w:pPr>
              <w:pStyle w:val="TableContents"/>
              <w:bidi w:val="0"/>
              <w:spacing w:before="0" w:after="0"/>
              <w:jc w:val="center"/>
              <w:rPr>
                <w:rFonts w:ascii="Times New Roman" w:hAnsi="Times New Roman"/>
                <w:b/>
                <w:sz w:val="18"/>
              </w:rPr>
            </w:pPr>
            <w:r>
              <w:rPr>
                <w:rFonts w:ascii="Times New Roman" w:hAnsi="Times New Roman"/>
                <w:b/>
                <w:sz w:val="18"/>
              </w:rPr>
              <w:t>San Diego, CA 92130</w:t>
            </w:r>
          </w:p>
          <w:p>
            <w:pPr>
              <w:pStyle w:val="TableContents"/>
              <w:bidi w:val="0"/>
              <w:spacing w:before="0" w:after="20"/>
              <w:jc w:val="center"/>
              <w:rPr>
                <w:rFonts w:ascii="Times New Roman" w:hAnsi="Times New Roman"/>
                <w:b/>
                <w:sz w:val="18"/>
              </w:rPr>
            </w:pPr>
            <w:r>
              <w:rPr>
                <w:rFonts w:ascii="Times New Roman" w:hAnsi="Times New Roman"/>
                <w:b/>
                <w:sz w:val="18"/>
              </w:rPr>
              <w:t>(858) 523-5400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David M. Chacko, M.D., Chief Financial Officer</w:t>
            </w:r>
          </w:p>
          <w:p>
            <w:pPr>
              <w:pStyle w:val="TableContents"/>
              <w:bidi w:val="0"/>
              <w:spacing w:before="0" w:after="0"/>
              <w:jc w:val="center"/>
              <w:rPr>
                <w:rFonts w:ascii="Times New Roman" w:hAnsi="Times New Roman"/>
                <w:b/>
                <w:sz w:val="18"/>
              </w:rPr>
            </w:pPr>
            <w:r>
              <w:rPr>
                <w:rFonts w:ascii="Times New Roman" w:hAnsi="Times New Roman"/>
                <w:b/>
                <w:sz w:val="18"/>
              </w:rPr>
              <w:t>and Chief Business Officer</w:t>
              <w:br/>
              <w:t>Ebun S. Garner, General Counsel</w:t>
            </w:r>
          </w:p>
          <w:p>
            <w:pPr>
              <w:pStyle w:val="TableContents"/>
              <w:bidi w:val="0"/>
              <w:spacing w:before="0" w:after="0"/>
              <w:jc w:val="center"/>
              <w:rPr>
                <w:rFonts w:ascii="Times New Roman" w:hAnsi="Times New Roman"/>
                <w:b/>
                <w:sz w:val="18"/>
              </w:rPr>
            </w:pPr>
            <w:r>
              <w:rPr>
                <w:rFonts w:ascii="Times New Roman" w:hAnsi="Times New Roman"/>
                <w:b/>
                <w:sz w:val="18"/>
              </w:rPr>
              <w:t>Erasca, Inc.</w:t>
            </w:r>
          </w:p>
          <w:p>
            <w:pPr>
              <w:pStyle w:val="TableContents"/>
              <w:bidi w:val="0"/>
              <w:spacing w:before="0" w:after="0"/>
              <w:jc w:val="center"/>
              <w:rPr>
                <w:rFonts w:ascii="Times New Roman" w:hAnsi="Times New Roman"/>
                <w:b/>
                <w:sz w:val="18"/>
              </w:rPr>
            </w:pPr>
            <w:r>
              <w:rPr>
                <w:rFonts w:ascii="Times New Roman" w:hAnsi="Times New Roman"/>
                <w:b/>
                <w:sz w:val="18"/>
              </w:rPr>
              <w:t>3115 Merryfield Row, Suite 300</w:t>
            </w:r>
          </w:p>
          <w:p>
            <w:pPr>
              <w:pStyle w:val="TableContents"/>
              <w:bidi w:val="0"/>
              <w:spacing w:before="0" w:after="0"/>
              <w:jc w:val="center"/>
              <w:rPr>
                <w:rFonts w:ascii="Times New Roman" w:hAnsi="Times New Roman"/>
                <w:b/>
                <w:sz w:val="18"/>
              </w:rPr>
            </w:pPr>
            <w:r>
              <w:rPr>
                <w:rFonts w:ascii="Times New Roman" w:hAnsi="Times New Roman"/>
                <w:b/>
                <w:sz w:val="18"/>
              </w:rPr>
              <w:t>San Diego, California 92121</w:t>
            </w:r>
          </w:p>
          <w:p>
            <w:pPr>
              <w:pStyle w:val="TableContents"/>
              <w:bidi w:val="0"/>
              <w:spacing w:before="0" w:after="20"/>
              <w:jc w:val="center"/>
              <w:rPr>
                <w:rFonts w:ascii="Times New Roman" w:hAnsi="Times New Roman"/>
                <w:b/>
                <w:sz w:val="18"/>
              </w:rPr>
            </w:pPr>
            <w:r>
              <w:rPr>
                <w:rFonts w:ascii="Times New Roman" w:hAnsi="Times New Roman"/>
                <w:b/>
                <w:sz w:val="18"/>
              </w:rPr>
              <w:t>(858) 465-6511</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 date of this registration statement. </w:t>
      </w:r>
    </w:p>
    <w:p>
      <w:pPr>
        <w:pStyle w:val="TextBody"/>
        <w:bidi w:val="0"/>
        <w:spacing w:before="2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3"/>
        <w:gridCol w:w="4836"/>
        <w:gridCol w:w="120"/>
        <w:gridCol w:w="2645"/>
        <w:gridCol w:w="103"/>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3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3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28545" cy="393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8545" cy="393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a133579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“ERAS.” On July 10, 2026, the last reported sale price of our common stock on the Nasdaq Global Select Market was $18.53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a1335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a13357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supplements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“Erasca,” “we,” “our,” “us” and the “Company” in this prospectus, we mean Erasca, Inc. and its subsidiaries,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a133579_2"/>
      <w:bookmarkEnd w:id="4"/>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www.erasca.com. The information on, or accessible through,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12, 2026</w:t>
              </w:r>
            </w:hyperlink>
            <w:r>
              <w:rPr>
                <w:rFonts w:ascii="Times New Roman" w:hAnsi="Times New Roman"/>
                <w:sz w:val="20"/>
              </w:rPr>
              <w:t xml:space="preserve">, </w:t>
            </w:r>
            <w:hyperlink r:id="rId8">
              <w:r>
                <w:rPr>
                  <w:rStyle w:val="InternetLink"/>
                  <w:rFonts w:ascii="Times New Roman" w:hAnsi="Times New Roman"/>
                  <w:sz w:val="20"/>
                </w:rPr>
                <w:t>January  22, 2026</w:t>
              </w:r>
            </w:hyperlink>
            <w:r>
              <w:rPr>
                <w:rFonts w:ascii="Times New Roman" w:hAnsi="Times New Roman"/>
                <w:sz w:val="20"/>
              </w:rPr>
              <w:t xml:space="preserve">, </w:t>
            </w:r>
            <w:hyperlink r:id="rId9">
              <w:r>
                <w:rPr>
                  <w:rStyle w:val="InternetLink"/>
                  <w:rFonts w:ascii="Times New Roman" w:hAnsi="Times New Roman"/>
                  <w:sz w:val="20"/>
                </w:rPr>
                <w:t>January  29, 2026,</w:t>
              </w:r>
            </w:hyperlink>
            <w:r>
              <w:rPr>
                <w:rFonts w:ascii="Times New Roman" w:hAnsi="Times New Roman"/>
                <w:sz w:val="20"/>
              </w:rPr>
              <w:t xml:space="preserve"> </w:t>
            </w:r>
            <w:hyperlink r:id="rId10">
              <w:r>
                <w:rPr>
                  <w:rStyle w:val="InternetLink"/>
                  <w:rFonts w:ascii="Times New Roman" w:hAnsi="Times New Roman"/>
                  <w:sz w:val="20"/>
                </w:rPr>
                <w:t>April  21, 2026</w:t>
              </w:r>
            </w:hyperlink>
            <w:r>
              <w:rPr>
                <w:rFonts w:ascii="Times New Roman" w:hAnsi="Times New Roman"/>
                <w:sz w:val="20"/>
              </w:rPr>
              <w:t xml:space="preserve">, </w:t>
            </w:r>
            <w:hyperlink r:id="rId11">
              <w:r>
                <w:rPr>
                  <w:rStyle w:val="InternetLink"/>
                  <w:rFonts w:ascii="Times New Roman" w:hAnsi="Times New Roman"/>
                  <w:sz w:val="20"/>
                </w:rPr>
                <w:t>April  27, 2026</w:t>
              </w:r>
            </w:hyperlink>
            <w:r>
              <w:rPr>
                <w:rFonts w:ascii="Times New Roman" w:hAnsi="Times New Roman"/>
                <w:sz w:val="20"/>
              </w:rPr>
              <w:t xml:space="preserve">, </w:t>
            </w:r>
            <w:hyperlink r:id="rId12">
              <w:r>
                <w:rPr>
                  <w:rStyle w:val="InternetLink"/>
                  <w:rFonts w:ascii="Times New Roman" w:hAnsi="Times New Roman"/>
                  <w:sz w:val="20"/>
                </w:rPr>
                <w:t>April 27, 2026</w:t>
              </w:r>
            </w:hyperlink>
            <w:r>
              <w:rPr>
                <w:rFonts w:ascii="Times New Roman" w:hAnsi="Times New Roman"/>
                <w:sz w:val="20"/>
              </w:rPr>
              <w:t xml:space="preserve"> and </w:t>
            </w:r>
            <w:hyperlink r:id="rId13">
              <w:r>
                <w:rPr>
                  <w:rStyle w:val="InternetLink"/>
                  <w:rFonts w:ascii="Times New Roman" w:hAnsi="Times New Roman"/>
                  <w:sz w:val="20"/>
                </w:rPr>
                <w:t>July 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filed with the SEC on July 13, 2021,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Erasca,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center"/>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center"/>
        <w:rPr>
          <w:rFonts w:ascii="Times New Roman" w:hAnsi="Times New Roman"/>
          <w:sz w:val="20"/>
        </w:rPr>
      </w:pPr>
      <w:r>
        <w:rPr>
          <w:rFonts w:ascii="Times New Roman" w:hAnsi="Times New Roman"/>
          <w:sz w:val="20"/>
        </w:rPr>
        <w:t xml:space="preserve">(858) 465-6511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a133579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 Our pipeline enables us to pursue a systematic, data-driven, portfolio-wide clinical development effort to identify therapeutic approaches with the goal of prolonging survival in numerous patient populations with high unmet medical needs. </w:t>
      </w:r>
    </w:p>
    <w:p>
      <w:pPr>
        <w:pStyle w:val="TextBody"/>
        <w:bidi w:val="0"/>
        <w:spacing w:before="240" w:after="0"/>
        <w:jc w:val="left"/>
        <w:rPr>
          <w:rFonts w:ascii="Times New Roman" w:hAnsi="Times New Roman"/>
          <w:sz w:val="20"/>
        </w:rPr>
      </w:pPr>
      <w:r>
        <w:rPr>
          <w:rFonts w:ascii="Times New Roman" w:hAnsi="Times New Roman"/>
          <w:sz w:val="20"/>
        </w:rPr>
        <w:t xml:space="preserve">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(SAB), which includes the world’s leading experts in the RAS/MAPK pathway, uniquely position us to achieve our bold mission of erasing cancer.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on July 2, 2018. Our principal executive offices are located at 3115 Merryfield Row, Suite 300, San Diego, California 92121, and our telephone number is (858) 465-6511.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a13357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a133579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All statements other than statements of historical facts contained in this prospectus and the documents incorporated by reference herein,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“would,” “could,”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known and unknown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any forward-looking statement.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a13357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a133579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capital stock. Because it is only a summary, it does not contain all the information that may be important to you and is subject to and qualified in its entirety by reference to our amended and restated certificate of incorporation and amended and restated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our authorized capital stock consisted of 800,000,000 shares of common stock, $0.0001 par value per share, and 80,000,000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the heading “Anti-Takeover Effects of Delaware Law and Our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have no preemptive or conversion rights or other subscription rights and there are no redemption or sinking funds provisions applicable to the common stock. The outstanding shares of common stock are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Suite 101,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have no outstanding shares of preferred stock. Under the terms of our amended and restated certificate of incorporation, our board of directors has the authority, without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our stockholders, to issue up to 80,000,000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Amended and Restated Stockholders Agreement, dated April 15, 2020, by and among us and certain of our stockholders, certain of our stockholders are entitled to the following rights with respect to the registration of their shares for public resale under the Securities Act.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360" w:after="0"/>
        <w:jc w:val="left"/>
        <w:rPr>
          <w:rFonts w:ascii="Times New Roman" w:hAnsi="Times New Roman"/>
          <w:i/>
          <w:sz w:val="20"/>
        </w:rPr>
      </w:pPr>
      <w:r>
        <w:rPr>
          <w:rFonts w:ascii="Times New Roman" w:hAnsi="Times New Roman"/>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i/>
          <w:sz w:val="20"/>
        </w:rPr>
        <w:t>Form S-1</w:t>
      </w:r>
      <w:r>
        <w:rPr>
          <w:rFonts w:ascii="Times New Roman" w:hAnsi="Times New Roman"/>
          <w:sz w:val="20"/>
        </w:rPr>
        <w:t xml:space="preserve">. If at any time the holders of at least a majority of the registrable securities request in writing that we effect a registration with respect to all or a part of the registrable securities then outstanding where the aggregate price to the public of the offering is $20.0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for the holders of registrable securities in response to these demand registration rights. </w:t>
      </w:r>
    </w:p>
    <w:p>
      <w:pPr>
        <w:pStyle w:val="TextBody"/>
        <w:bidi w:val="0"/>
        <w:spacing w:before="240" w:after="0"/>
        <w:jc w:val="left"/>
        <w:rPr>
          <w:rFonts w:ascii="Times New Roman" w:hAnsi="Times New Roman"/>
          <w:sz w:val="20"/>
        </w:rPr>
      </w:pPr>
      <w:r>
        <w:rPr>
          <w:rFonts w:ascii="Times New Roman" w:hAnsi="Times New Roman"/>
          <w:i/>
          <w:sz w:val="20"/>
        </w:rPr>
        <w:t>Form S-3</w:t>
      </w:r>
      <w:r>
        <w:rPr>
          <w:rFonts w:ascii="Times New Roman" w:hAnsi="Times New Roman"/>
          <w:sz w:val="20"/>
        </w:rPr>
        <w:t xml:space="preserve">. If at any time the holders of the registrable securities request in writing that we effect a registration with respect to all or a part of the registrable securities then outstanding where the price to the public of the offering is $5.0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requesting registration intend to distribute their shares by means of an underwriting, the underwriter of such offering will have the right to limit the numbers of shares to be underwritten for reasons related to the marketing of the shares. </w:t>
      </w:r>
    </w:p>
    <w:p>
      <w:pPr>
        <w:pStyle w:val="TextBody"/>
        <w:bidi w:val="0"/>
        <w:spacing w:before="360" w:after="0"/>
        <w:jc w:val="left"/>
        <w:rPr>
          <w:rFonts w:ascii="Times New Roman" w:hAnsi="Times New Roman"/>
          <w:i/>
          <w:sz w:val="20"/>
        </w:rPr>
      </w:pPr>
      <w:r>
        <w:rPr>
          <w:rFonts w:ascii="Times New Roman" w:hAnsi="Times New Roman"/>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i/>
          <w:sz w:val="20"/>
        </w:rPr>
      </w:pPr>
      <w:r>
        <w:rPr>
          <w:rFonts w:ascii="Times New Roman" w:hAnsi="Times New Roman"/>
          <w:i/>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terminate in August 2026.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80,000,000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of directors, chief executive officer or president, or by a resolution adopted by a majority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with one class being elected each year by our stockholders.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a133579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“Erasca,” “we,” “our” or “us” refer to Erasca,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Erasca)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Erasca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Erasca;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a133579_9"/>
      <w:bookmarkEnd w:id="11"/>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a133579_10"/>
      <w:bookmarkEnd w:id="12"/>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a133579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a133579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San Diego, California, will pass upon certain legal matters relating to the issuance and sale of the securities offered hereby on behalf of Erasca, Inc. Latham &amp; Watkins LLP and certain attorneys in the firm who have rendered, and will continue to render, legal services to us, own shares of our common stock representing in the aggregate less than one percent of the shares of our common stock outstanding.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5" w:name="txa133579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Erasca, Inc.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14.</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26"/>
        <w:gridCol w:w="530"/>
        <w:gridCol w:w="140"/>
        <w:gridCol w:w="887"/>
        <w:gridCol w:w="356"/>
      </w:tblGrid>
      <w:tr>
        <w:trPr/>
        <w:tc>
          <w:tcPr>
            <w:tcW w:w="5026"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(1) </w:t>
            </w:r>
          </w:p>
        </w:tc>
      </w:tr>
      <w:tr>
        <w:trPr/>
        <w:tc>
          <w:tcPr>
            <w:tcW w:w="5026"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5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(2) </w:t>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(2) </w:t>
            </w:r>
          </w:p>
        </w:tc>
      </w:tr>
      <w:tr>
        <w:trPr/>
        <w:tc>
          <w:tcPr>
            <w:tcW w:w="5026"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(2) </w:t>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trustee fees and expenses</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(2) </w:t>
            </w:r>
          </w:p>
        </w:tc>
      </w:tr>
      <w:tr>
        <w:trPr/>
        <w:tc>
          <w:tcPr>
            <w:tcW w:w="502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5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(2) </w:t>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the Registrant is deferring payment of all applicable registration fees for the securities offered by this registration statement.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provide that we will indemnify each person who was or is a party or threatened to be made a party to any threatened, pending or completed action, suit or proceeding (other than an action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or distribution agreement that we enter into with any underwriters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 of 1933,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6"/>
        <w:gridCol w:w="512"/>
        <w:gridCol w:w="8817"/>
      </w:tblGrid>
      <w:tr>
        <w:trPr/>
        <w:tc>
          <w:tcPr>
            <w:tcW w:w="876"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8817" w:type="dxa"/>
            <w:tcBorders/>
            <w:vAlign w:val="center"/>
          </w:tcPr>
          <w:p>
            <w:pPr>
              <w:pStyle w:val="TableContents"/>
              <w:bidi w:val="0"/>
              <w:spacing w:before="0" w:after="283"/>
              <w:jc w:val="left"/>
              <w:rPr>
                <w:sz w:val="4"/>
                <w:szCs w:val="4"/>
              </w:rPr>
            </w:pPr>
            <w:r>
              <w:rPr>
                <w:sz w:val="4"/>
                <w:szCs w:val="4"/>
              </w:rPr>
            </w:r>
          </w:p>
        </w:tc>
      </w:tr>
      <w:tr>
        <w:trPr/>
        <w:tc>
          <w:tcPr>
            <w:tcW w:w="876" w:type="dxa"/>
            <w:tcBorders/>
            <w:vAlign w:val="bottom"/>
          </w:tcPr>
          <w:p>
            <w:pPr>
              <w:pStyle w:val="TableContents"/>
              <w:bidi w:val="0"/>
              <w:spacing w:before="0" w:after="283"/>
              <w:jc w:val="center"/>
              <w:rPr>
                <w:b/>
              </w:rPr>
            </w:pPr>
            <w:r>
              <w:rPr>
                <w:b/>
              </w:rPr>
              <w:t>Exhibit</w:t>
              <w:br/>
              <w:t>Number</w:t>
            </w:r>
          </w:p>
        </w:tc>
        <w:tc>
          <w:tcPr>
            <w:tcW w:w="512" w:type="dxa"/>
            <w:tcBorders/>
            <w:vAlign w:val="bottom"/>
          </w:tcPr>
          <w:p>
            <w:pPr>
              <w:pStyle w:val="TableContents"/>
              <w:bidi w:val="0"/>
              <w:spacing w:before="0" w:after="283"/>
              <w:jc w:val="left"/>
              <w:rPr/>
            </w:pPr>
            <w:r>
              <w:rPr/>
              <w:t>  </w:t>
            </w:r>
          </w:p>
        </w:tc>
        <w:tc>
          <w:tcPr>
            <w:tcW w:w="8817" w:type="dxa"/>
            <w:tcBorders/>
            <w:vAlign w:val="bottom"/>
          </w:tcPr>
          <w:p>
            <w:pPr>
              <w:pStyle w:val="TableContents"/>
              <w:bidi w:val="0"/>
              <w:spacing w:before="0" w:after="283"/>
              <w:jc w:val="center"/>
              <w:rPr>
                <w:b/>
              </w:rPr>
            </w:pPr>
            <w:r>
              <w:rPr>
                <w:b/>
              </w:rPr>
              <w:t>Description</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1.1*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r>
              <w:rPr/>
              <w:t>Form of Underwriting Agreement.</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3.1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5">
              <w:r>
                <w:rPr>
                  <w:rStyle w:val="InternetLink"/>
                </w:rPr>
                <w:t>Amended and Restated Certificate of Incorporation (incorporated by reference to the Company’s Current Report on Form 8-K, filed with the SEC on July 20, 2021).</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3.2</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6">
              <w:r>
                <w:rPr>
                  <w:rStyle w:val="InternetLink"/>
                </w:rPr>
                <w:t>Amended and Restated Bylaws (incorporated by reference to the Company’s Current Report on Form 8-K, filed with the SEC on July 20, 2021).</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7">
              <w:r>
                <w:rPr>
                  <w:rStyle w:val="InternetLink"/>
                </w:rPr>
                <w:t>Specimen stock certificate evidencing the shares of common stock (incorporated by reference to the Company’s Registration Statement on Form S-1, filed with the SEC on June 25, 2021).</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76"/>
        <w:gridCol w:w="499"/>
        <w:gridCol w:w="8830"/>
      </w:tblGrid>
      <w:tr>
        <w:trPr/>
        <w:tc>
          <w:tcPr>
            <w:tcW w:w="876"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8830" w:type="dxa"/>
            <w:tcBorders/>
            <w:vAlign w:val="center"/>
          </w:tcPr>
          <w:p>
            <w:pPr>
              <w:pStyle w:val="TableContents"/>
              <w:bidi w:val="0"/>
              <w:spacing w:before="0" w:after="283"/>
              <w:jc w:val="left"/>
              <w:rPr>
                <w:sz w:val="4"/>
                <w:szCs w:val="4"/>
              </w:rPr>
            </w:pPr>
            <w:r>
              <w:rPr>
                <w:sz w:val="4"/>
                <w:szCs w:val="4"/>
              </w:rPr>
            </w:r>
          </w:p>
        </w:tc>
      </w:tr>
      <w:tr>
        <w:trPr/>
        <w:tc>
          <w:tcPr>
            <w:tcW w:w="876" w:type="dxa"/>
            <w:tcBorders/>
            <w:vAlign w:val="bottom"/>
          </w:tcPr>
          <w:p>
            <w:pPr>
              <w:pStyle w:val="TableContents"/>
              <w:bidi w:val="0"/>
              <w:spacing w:before="0" w:after="283"/>
              <w:jc w:val="center"/>
              <w:rPr>
                <w:b/>
              </w:rPr>
            </w:pPr>
            <w:r>
              <w:rPr>
                <w:b/>
              </w:rPr>
              <w:t>Exhibit</w:t>
              <w:br/>
              <w:t>Number</w:t>
            </w:r>
          </w:p>
        </w:tc>
        <w:tc>
          <w:tcPr>
            <w:tcW w:w="499" w:type="dxa"/>
            <w:tcBorders/>
            <w:vAlign w:val="bottom"/>
          </w:tcPr>
          <w:p>
            <w:pPr>
              <w:pStyle w:val="TableContents"/>
              <w:bidi w:val="0"/>
              <w:spacing w:before="0" w:after="283"/>
              <w:jc w:val="left"/>
              <w:rPr/>
            </w:pPr>
            <w:r>
              <w:rPr/>
              <w:t>  </w:t>
            </w:r>
          </w:p>
        </w:tc>
        <w:tc>
          <w:tcPr>
            <w:tcW w:w="8830" w:type="dxa"/>
            <w:tcBorders/>
            <w:vAlign w:val="bottom"/>
          </w:tcPr>
          <w:p>
            <w:pPr>
              <w:pStyle w:val="TableContents"/>
              <w:bidi w:val="0"/>
              <w:spacing w:before="0" w:after="283"/>
              <w:jc w:val="center"/>
              <w:rPr>
                <w:b/>
              </w:rPr>
            </w:pPr>
            <w:r>
              <w:rPr>
                <w:b/>
              </w:rPr>
              <w:t>Description</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4.2</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r:id="rId18">
              <w:r>
                <w:rPr>
                  <w:rStyle w:val="InternetLink"/>
                </w:rPr>
                <w:t>Amended and Restated Stockholders Agreement, dated April  15, 2020, by and among the Registrant and certain of its stockholders (incorporated by reference to the Company’s Registration Statement on Form S-1, filed with the SEC on June 25, 2021).</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4.3*</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Form of Preferred Stock Certificate.</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4.4</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w:anchor="d133579dex44.htm">
              <w:r>
                <w:rPr>
                  <w:rStyle w:val="InternetLink"/>
                </w:rPr>
                <w:t xml:space="preserve">Form of Indenture.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4.5*</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Form of Debt Security.</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4.6*</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Form of Warrant.</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4.7*</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Form of Warrant Agreement.</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4.8*</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Form of Unit Agreement.</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5.1</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w:anchor="d133579dex51.htm">
              <w:r>
                <w:rPr>
                  <w:rStyle w:val="InternetLink"/>
                </w:rPr>
                <w:t xml:space="preserve">Opinion of Latham &amp; Watkins LLP.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23.1</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w:anchor="d133579dex231.htm">
              <w:r>
                <w:rPr>
                  <w:rStyle w:val="InternetLink"/>
                </w:rPr>
                <w:t>Consent of KPMG LLP, Independent Registered Public Accounting Firm.</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23.2</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w:anchor="d133579dex51.htm">
              <w:r>
                <w:rPr>
                  <w:rStyle w:val="InternetLink"/>
                </w:rPr>
                <w:t xml:space="preserve">Consent of Latham &amp; Watkins LLP (included in Exhibit 5.1).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24.1</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w:anchor="ii133579_sig">
              <w:r>
                <w:rPr>
                  <w:rStyle w:val="InternetLink"/>
                </w:rPr>
                <w:t xml:space="preserve">Power of Attorney (included on the signature page hereto).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25.1*</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Statement of Eligibility of Trustee on Form T-1 under the Trust Indenture Act of 1939, as amended.</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107</w:t>
            </w:r>
          </w:p>
        </w:tc>
        <w:tc>
          <w:tcPr>
            <w:tcW w:w="499"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hyperlink w:anchor="d133579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be filed by amendment or by a report filed under the Exchange Act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(6) That, for the purpose of determining liability of the registrant under the Securities Act of 1933 to any purchaser in the initial distribution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20" w:after="0"/>
        <w:jc w:val="left"/>
        <w:rPr>
          <w:rFonts w:ascii="Times New Roman" w:hAnsi="Times New Roman"/>
          <w:sz w:val="20"/>
        </w:rPr>
      </w:pPr>
      <w:r>
        <w:rPr>
          <w:rFonts w:ascii="Times New Roman" w:hAnsi="Times New Roman"/>
          <w:sz w:val="20"/>
        </w:rPr>
        <w:t xml:space="preserve">(j) 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ii133579_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the 13th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ERASCA,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Jonathan E. Lim</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Jonathan E. Lim, M.D.</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Chairman, Chief Executive Officer and Co-Founder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constitutes and appoints, jointly and severally, Jonathan E. Lim, M.D. and David M. Chacko, M.D., and each one of them, his or her true and lawful attorneys-in-fact and agents, each with full power of substitution and resubstitution, for him or her and in his or her name, place and stead, in any and all capacities, to file and sign any and all amendments (including post-effective amendments) to this registration statement, and to file and sign any other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each of said attorneys-in-fact and agents or any of them, or his or their substitute or substitutes, may lawfully do or cause to be done by virtue hereof. This power of attorney shall be governed by and construed with the laws of the State of Delaware and applicable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on behalf of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34"/>
        <w:gridCol w:w="120"/>
        <w:gridCol w:w="3807"/>
        <w:gridCol w:w="198"/>
        <w:gridCol w:w="1846"/>
      </w:tblGrid>
      <w:tr>
        <w:trPr/>
        <w:tc>
          <w:tcPr>
            <w:tcW w:w="4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4234"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807" w:type="dxa"/>
            <w:tcBorders/>
            <w:vAlign w:val="bottom"/>
          </w:tcPr>
          <w:p>
            <w:pPr>
              <w:pStyle w:val="TableContents"/>
              <w:bidi w:val="0"/>
              <w:spacing w:before="0" w:after="283"/>
              <w:jc w:val="center"/>
              <w:rPr>
                <w:b/>
              </w:rPr>
            </w:pPr>
            <w:r>
              <w:rPr>
                <w:b/>
              </w:rPr>
              <w:t>TITLE</w:t>
            </w:r>
          </w:p>
        </w:tc>
        <w:tc>
          <w:tcPr>
            <w:tcW w:w="198" w:type="dxa"/>
            <w:tcBorders/>
            <w:vAlign w:val="bottom"/>
          </w:tcPr>
          <w:p>
            <w:pPr>
              <w:pStyle w:val="TableContents"/>
              <w:bidi w:val="0"/>
              <w:spacing w:before="0" w:after="283"/>
              <w:jc w:val="left"/>
              <w:rPr/>
            </w:pPr>
            <w:r>
              <w:rPr/>
              <w:t> </w:t>
            </w:r>
          </w:p>
        </w:tc>
        <w:tc>
          <w:tcPr>
            <w:tcW w:w="1846" w:type="dxa"/>
            <w:tcBorders/>
            <w:vAlign w:val="bottom"/>
          </w:tcPr>
          <w:p>
            <w:pPr>
              <w:pStyle w:val="TableContents"/>
              <w:bidi w:val="0"/>
              <w:spacing w:before="0" w:after="283"/>
              <w:jc w:val="center"/>
              <w:rPr>
                <w:b/>
              </w:rPr>
            </w:pPr>
            <w:r>
              <w:rPr>
                <w:b/>
              </w:rPr>
              <w:t>DATE</w:t>
            </w:r>
          </w:p>
        </w:tc>
      </w:tr>
      <w:tr>
        <w:trPr>
          <w:trHeight w:val="240" w:hRule="atLeast"/>
        </w:trPr>
        <w:tc>
          <w:tcPr>
            <w:tcW w:w="4234"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044" w:type="dxa"/>
            <w:gridSpan w:val="2"/>
            <w:tcBorders/>
            <w:vAlign w:val="center"/>
          </w:tcPr>
          <w:p>
            <w:pPr>
              <w:pStyle w:val="TableContents"/>
              <w:bidi w:val="0"/>
              <w:spacing w:before="0" w:after="283"/>
              <w:jc w:val="left"/>
              <w:rPr>
                <w:sz w:val="4"/>
                <w:szCs w:val="4"/>
              </w:rPr>
            </w:pPr>
            <w:r>
              <w:rPr>
                <w:sz w:val="4"/>
                <w:szCs w:val="4"/>
              </w:rPr>
            </w:r>
          </w:p>
        </w:tc>
      </w:tr>
      <w:tr>
        <w:trPr/>
        <w:tc>
          <w:tcPr>
            <w:tcW w:w="42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Jonathan E. Lim</w:t>
            </w:r>
          </w:p>
          <w:p>
            <w:pPr>
              <w:pStyle w:val="TableContents"/>
              <w:bidi w:val="0"/>
              <w:spacing w:before="0" w:after="20"/>
              <w:jc w:val="left"/>
              <w:rPr>
                <w:rFonts w:ascii="Times New Roman" w:hAnsi="Times New Roman"/>
                <w:sz w:val="20"/>
              </w:rPr>
            </w:pPr>
            <w:r>
              <w:rPr>
                <w:rFonts w:ascii="Times New Roman" w:hAnsi="Times New Roman"/>
                <w:sz w:val="20"/>
              </w:rPr>
              <w:t>Jonathan E. Lim, M.D.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left"/>
              <w:rPr/>
            </w:pPr>
            <w:r>
              <w:rPr/>
              <w:t>Chairman, Chief Executive Officer and Co-Founder (principal executive officer)</w:t>
            </w:r>
          </w:p>
        </w:tc>
        <w:tc>
          <w:tcPr>
            <w:tcW w:w="198"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4"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044" w:type="dxa"/>
            <w:gridSpan w:val="2"/>
            <w:tcBorders/>
            <w:vAlign w:val="center"/>
          </w:tcPr>
          <w:p>
            <w:pPr>
              <w:pStyle w:val="TableContents"/>
              <w:bidi w:val="0"/>
              <w:spacing w:before="0" w:after="283"/>
              <w:jc w:val="left"/>
              <w:rPr>
                <w:sz w:val="4"/>
                <w:szCs w:val="4"/>
              </w:rPr>
            </w:pPr>
            <w:r>
              <w:rPr>
                <w:sz w:val="4"/>
                <w:szCs w:val="4"/>
              </w:rPr>
            </w:r>
          </w:p>
        </w:tc>
      </w:tr>
      <w:tr>
        <w:trPr/>
        <w:tc>
          <w:tcPr>
            <w:tcW w:w="42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M. Chacko</w:t>
            </w:r>
          </w:p>
          <w:p>
            <w:pPr>
              <w:pStyle w:val="TableContents"/>
              <w:bidi w:val="0"/>
              <w:spacing w:before="0" w:after="20"/>
              <w:jc w:val="left"/>
              <w:rPr>
                <w:rFonts w:ascii="Times New Roman" w:hAnsi="Times New Roman"/>
                <w:sz w:val="20"/>
              </w:rPr>
            </w:pPr>
            <w:r>
              <w:rPr>
                <w:rFonts w:ascii="Times New Roman" w:hAnsi="Times New Roman"/>
                <w:sz w:val="20"/>
              </w:rPr>
              <w:t>David M. Chacko, M.D.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left"/>
              <w:rPr/>
            </w:pPr>
            <w:r>
              <w:rPr/>
              <w:t>Chief Financial Officer and Chief Business Officer (principal financial and accounting officer)</w:t>
            </w:r>
          </w:p>
        </w:tc>
        <w:tc>
          <w:tcPr>
            <w:tcW w:w="198"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4"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044" w:type="dxa"/>
            <w:gridSpan w:val="2"/>
            <w:tcBorders/>
            <w:vAlign w:val="center"/>
          </w:tcPr>
          <w:p>
            <w:pPr>
              <w:pStyle w:val="TableContents"/>
              <w:bidi w:val="0"/>
              <w:spacing w:before="0" w:after="283"/>
              <w:jc w:val="left"/>
              <w:rPr>
                <w:sz w:val="4"/>
                <w:szCs w:val="4"/>
              </w:rPr>
            </w:pPr>
            <w:r>
              <w:rPr>
                <w:sz w:val="4"/>
                <w:szCs w:val="4"/>
              </w:rPr>
            </w:r>
          </w:p>
        </w:tc>
      </w:tr>
      <w:tr>
        <w:trPr/>
        <w:tc>
          <w:tcPr>
            <w:tcW w:w="42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A. Bristol</w:t>
            </w:r>
          </w:p>
          <w:p>
            <w:pPr>
              <w:pStyle w:val="TableContents"/>
              <w:bidi w:val="0"/>
              <w:spacing w:before="0" w:after="20"/>
              <w:jc w:val="left"/>
              <w:rPr>
                <w:rFonts w:ascii="Times New Roman" w:hAnsi="Times New Roman"/>
                <w:sz w:val="20"/>
              </w:rPr>
            </w:pPr>
            <w:r>
              <w:rPr>
                <w:rFonts w:ascii="Times New Roman" w:hAnsi="Times New Roman"/>
                <w:sz w:val="20"/>
              </w:rPr>
              <w:t>James A. Bristol, Ph.D.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left"/>
              <w:rPr/>
            </w:pPr>
            <w:r>
              <w:rPr/>
              <w:t>Director</w:t>
            </w:r>
          </w:p>
        </w:tc>
        <w:tc>
          <w:tcPr>
            <w:tcW w:w="198"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4"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044" w:type="dxa"/>
            <w:gridSpan w:val="2"/>
            <w:tcBorders/>
            <w:vAlign w:val="center"/>
          </w:tcPr>
          <w:p>
            <w:pPr>
              <w:pStyle w:val="TableContents"/>
              <w:bidi w:val="0"/>
              <w:spacing w:before="0" w:after="283"/>
              <w:jc w:val="left"/>
              <w:rPr>
                <w:sz w:val="4"/>
                <w:szCs w:val="4"/>
              </w:rPr>
            </w:pPr>
            <w:r>
              <w:rPr>
                <w:sz w:val="4"/>
                <w:szCs w:val="4"/>
              </w:rPr>
            </w:r>
          </w:p>
        </w:tc>
      </w:tr>
      <w:tr>
        <w:trPr/>
        <w:tc>
          <w:tcPr>
            <w:tcW w:w="42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Alexander W. Casdin</w:t>
            </w:r>
          </w:p>
          <w:p>
            <w:pPr>
              <w:pStyle w:val="TableContents"/>
              <w:bidi w:val="0"/>
              <w:spacing w:before="0" w:after="20"/>
              <w:jc w:val="left"/>
              <w:rPr>
                <w:rFonts w:ascii="Times New Roman" w:hAnsi="Times New Roman"/>
                <w:sz w:val="20"/>
              </w:rPr>
            </w:pPr>
            <w:r>
              <w:rPr>
                <w:rFonts w:ascii="Times New Roman" w:hAnsi="Times New Roman"/>
                <w:sz w:val="20"/>
              </w:rPr>
              <w:t>Alexander W. Casdin</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left"/>
              <w:rPr/>
            </w:pPr>
            <w:r>
              <w:rPr/>
              <w:t>Director</w:t>
            </w:r>
          </w:p>
        </w:tc>
        <w:tc>
          <w:tcPr>
            <w:tcW w:w="198"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4"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044" w:type="dxa"/>
            <w:gridSpan w:val="2"/>
            <w:tcBorders/>
            <w:vAlign w:val="center"/>
          </w:tcPr>
          <w:p>
            <w:pPr>
              <w:pStyle w:val="TableContents"/>
              <w:bidi w:val="0"/>
              <w:spacing w:before="0" w:after="283"/>
              <w:jc w:val="left"/>
              <w:rPr>
                <w:sz w:val="4"/>
                <w:szCs w:val="4"/>
              </w:rPr>
            </w:pPr>
            <w:r>
              <w:rPr>
                <w:sz w:val="4"/>
                <w:szCs w:val="4"/>
              </w:rPr>
            </w:r>
          </w:p>
        </w:tc>
      </w:tr>
      <w:tr>
        <w:trPr/>
        <w:tc>
          <w:tcPr>
            <w:tcW w:w="42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Julie Hambleton</w:t>
            </w:r>
          </w:p>
          <w:p>
            <w:pPr>
              <w:pStyle w:val="TableContents"/>
              <w:bidi w:val="0"/>
              <w:spacing w:before="0" w:after="20"/>
              <w:jc w:val="left"/>
              <w:rPr>
                <w:rFonts w:ascii="Times New Roman" w:hAnsi="Times New Roman"/>
                <w:sz w:val="20"/>
              </w:rPr>
            </w:pPr>
            <w:r>
              <w:rPr>
                <w:rFonts w:ascii="Times New Roman" w:hAnsi="Times New Roman"/>
                <w:sz w:val="20"/>
              </w:rPr>
              <w:t>Julie Hambleton, M.D.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left"/>
              <w:rPr/>
            </w:pPr>
            <w:r>
              <w:rPr/>
              <w:t>Director</w:t>
            </w:r>
          </w:p>
        </w:tc>
        <w:tc>
          <w:tcPr>
            <w:tcW w:w="198"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231"/>
        <w:gridCol w:w="120"/>
        <w:gridCol w:w="3820"/>
        <w:gridCol w:w="199"/>
        <w:gridCol w:w="1835"/>
      </w:tblGrid>
      <w:tr>
        <w:trPr/>
        <w:tc>
          <w:tcPr>
            <w:tcW w:w="42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820" w:type="dxa"/>
            <w:tcBorders/>
            <w:vAlign w:val="bottom"/>
          </w:tcPr>
          <w:p>
            <w:pPr>
              <w:pStyle w:val="TableContents"/>
              <w:bidi w:val="0"/>
              <w:spacing w:before="0" w:after="283"/>
              <w:jc w:val="center"/>
              <w:rPr>
                <w:b/>
              </w:rPr>
            </w:pPr>
            <w:r>
              <w:rPr>
                <w:b/>
              </w:rPr>
              <w:t>TITLE</w:t>
            </w:r>
          </w:p>
        </w:tc>
        <w:tc>
          <w:tcPr>
            <w:tcW w:w="199"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center"/>
              <w:rPr>
                <w:b/>
              </w:rPr>
            </w:pPr>
            <w:r>
              <w:rPr>
                <w:b/>
              </w:rPr>
              <w:t>DATE</w:t>
            </w:r>
          </w:p>
        </w:tc>
      </w:tr>
      <w:tr>
        <w:trPr>
          <w:trHeight w:val="240" w:hRule="atLeast"/>
        </w:trPr>
        <w:tc>
          <w:tcPr>
            <w:tcW w:w="4231" w:type="dxa"/>
            <w:tcBorders/>
            <w:vAlign w:val="center"/>
          </w:tcPr>
          <w:p>
            <w:pPr>
              <w:pStyle w:val="TableContents"/>
              <w:bidi w:val="0"/>
              <w:spacing w:before="0" w:after="283"/>
              <w:jc w:val="left"/>
              <w:rPr>
                <w:sz w:val="4"/>
                <w:szCs w:val="4"/>
              </w:rPr>
            </w:pPr>
            <w:r>
              <w:rPr>
                <w:sz w:val="4"/>
                <w:szCs w:val="4"/>
              </w:rPr>
            </w:r>
          </w:p>
        </w:tc>
        <w:tc>
          <w:tcPr>
            <w:tcW w:w="3940" w:type="dxa"/>
            <w:gridSpan w:val="2"/>
            <w:tcBorders/>
            <w:vAlign w:val="center"/>
          </w:tcPr>
          <w:p>
            <w:pPr>
              <w:pStyle w:val="TableContents"/>
              <w:bidi w:val="0"/>
              <w:spacing w:before="0" w:after="283"/>
              <w:jc w:val="left"/>
              <w:rPr>
                <w:sz w:val="4"/>
                <w:szCs w:val="4"/>
              </w:rPr>
            </w:pPr>
            <w:r>
              <w:rPr>
                <w:sz w:val="4"/>
                <w:szCs w:val="4"/>
              </w:rPr>
            </w:r>
          </w:p>
        </w:tc>
        <w:tc>
          <w:tcPr>
            <w:tcW w:w="2034" w:type="dxa"/>
            <w:gridSpan w:val="2"/>
            <w:tcBorders/>
            <w:vAlign w:val="center"/>
          </w:tcPr>
          <w:p>
            <w:pPr>
              <w:pStyle w:val="TableContents"/>
              <w:bidi w:val="0"/>
              <w:spacing w:before="0" w:after="283"/>
              <w:jc w:val="left"/>
              <w:rPr>
                <w:sz w:val="4"/>
                <w:szCs w:val="4"/>
              </w:rPr>
            </w:pPr>
            <w:r>
              <w:rPr>
                <w:sz w:val="4"/>
                <w:szCs w:val="4"/>
              </w:rPr>
            </w:r>
          </w:p>
        </w:tc>
      </w:tr>
      <w:tr>
        <w:trPr/>
        <w:tc>
          <w:tcPr>
            <w:tcW w:w="423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Valerie Harding-Start</w:t>
            </w:r>
          </w:p>
          <w:p>
            <w:pPr>
              <w:pStyle w:val="TableContents"/>
              <w:bidi w:val="0"/>
              <w:spacing w:before="0" w:after="20"/>
              <w:jc w:val="left"/>
              <w:rPr>
                <w:rFonts w:ascii="Times New Roman" w:hAnsi="Times New Roman"/>
                <w:sz w:val="20"/>
              </w:rPr>
            </w:pPr>
            <w:r>
              <w:rPr>
                <w:rFonts w:ascii="Times New Roman" w:hAnsi="Times New Roman"/>
                <w:sz w:val="20"/>
              </w:rPr>
              <w:t>Valerie Harding-Start, Ph.D.</w:t>
            </w:r>
          </w:p>
        </w:tc>
        <w:tc>
          <w:tcPr>
            <w:tcW w:w="120"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1" w:type="dxa"/>
            <w:tcBorders/>
            <w:vAlign w:val="center"/>
          </w:tcPr>
          <w:p>
            <w:pPr>
              <w:pStyle w:val="TableContents"/>
              <w:bidi w:val="0"/>
              <w:spacing w:before="0" w:after="283"/>
              <w:jc w:val="left"/>
              <w:rPr>
                <w:sz w:val="4"/>
                <w:szCs w:val="4"/>
              </w:rPr>
            </w:pPr>
            <w:r>
              <w:rPr>
                <w:sz w:val="4"/>
                <w:szCs w:val="4"/>
              </w:rPr>
            </w:r>
          </w:p>
        </w:tc>
        <w:tc>
          <w:tcPr>
            <w:tcW w:w="3940" w:type="dxa"/>
            <w:gridSpan w:val="2"/>
            <w:tcBorders/>
            <w:vAlign w:val="center"/>
          </w:tcPr>
          <w:p>
            <w:pPr>
              <w:pStyle w:val="TableContents"/>
              <w:bidi w:val="0"/>
              <w:spacing w:before="0" w:after="283"/>
              <w:jc w:val="left"/>
              <w:rPr>
                <w:sz w:val="4"/>
                <w:szCs w:val="4"/>
              </w:rPr>
            </w:pPr>
            <w:r>
              <w:rPr>
                <w:sz w:val="4"/>
                <w:szCs w:val="4"/>
              </w:rPr>
            </w:r>
          </w:p>
        </w:tc>
        <w:tc>
          <w:tcPr>
            <w:tcW w:w="2034" w:type="dxa"/>
            <w:gridSpan w:val="2"/>
            <w:tcBorders/>
            <w:vAlign w:val="center"/>
          </w:tcPr>
          <w:p>
            <w:pPr>
              <w:pStyle w:val="TableContents"/>
              <w:bidi w:val="0"/>
              <w:spacing w:before="0" w:after="283"/>
              <w:jc w:val="left"/>
              <w:rPr>
                <w:sz w:val="4"/>
                <w:szCs w:val="4"/>
              </w:rPr>
            </w:pPr>
            <w:r>
              <w:rPr>
                <w:sz w:val="4"/>
                <w:szCs w:val="4"/>
              </w:rPr>
            </w:r>
          </w:p>
        </w:tc>
      </w:tr>
      <w:tr>
        <w:trPr/>
        <w:tc>
          <w:tcPr>
            <w:tcW w:w="423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Jean I. Liu</w:t>
            </w:r>
          </w:p>
          <w:p>
            <w:pPr>
              <w:pStyle w:val="TableContents"/>
              <w:bidi w:val="0"/>
              <w:spacing w:before="0" w:after="20"/>
              <w:jc w:val="left"/>
              <w:rPr>
                <w:rFonts w:ascii="Times New Roman" w:hAnsi="Times New Roman"/>
                <w:sz w:val="20"/>
              </w:rPr>
            </w:pPr>
            <w:r>
              <w:rPr>
                <w:rFonts w:ascii="Times New Roman" w:hAnsi="Times New Roman"/>
                <w:sz w:val="20"/>
              </w:rPr>
              <w:t>Jean I. Liu, J.D.</w:t>
            </w:r>
          </w:p>
        </w:tc>
        <w:tc>
          <w:tcPr>
            <w:tcW w:w="120"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1" w:type="dxa"/>
            <w:tcBorders/>
            <w:vAlign w:val="center"/>
          </w:tcPr>
          <w:p>
            <w:pPr>
              <w:pStyle w:val="TableContents"/>
              <w:bidi w:val="0"/>
              <w:spacing w:before="0" w:after="283"/>
              <w:jc w:val="left"/>
              <w:rPr>
                <w:sz w:val="4"/>
                <w:szCs w:val="4"/>
              </w:rPr>
            </w:pPr>
            <w:r>
              <w:rPr>
                <w:sz w:val="4"/>
                <w:szCs w:val="4"/>
              </w:rPr>
            </w:r>
          </w:p>
        </w:tc>
        <w:tc>
          <w:tcPr>
            <w:tcW w:w="3940" w:type="dxa"/>
            <w:gridSpan w:val="2"/>
            <w:tcBorders/>
            <w:vAlign w:val="center"/>
          </w:tcPr>
          <w:p>
            <w:pPr>
              <w:pStyle w:val="TableContents"/>
              <w:bidi w:val="0"/>
              <w:spacing w:before="0" w:after="283"/>
              <w:jc w:val="left"/>
              <w:rPr>
                <w:sz w:val="4"/>
                <w:szCs w:val="4"/>
              </w:rPr>
            </w:pPr>
            <w:r>
              <w:rPr>
                <w:sz w:val="4"/>
                <w:szCs w:val="4"/>
              </w:rPr>
            </w:r>
          </w:p>
        </w:tc>
        <w:tc>
          <w:tcPr>
            <w:tcW w:w="2034" w:type="dxa"/>
            <w:gridSpan w:val="2"/>
            <w:tcBorders/>
            <w:vAlign w:val="center"/>
          </w:tcPr>
          <w:p>
            <w:pPr>
              <w:pStyle w:val="TableContents"/>
              <w:bidi w:val="0"/>
              <w:spacing w:before="0" w:after="283"/>
              <w:jc w:val="left"/>
              <w:rPr>
                <w:sz w:val="4"/>
                <w:szCs w:val="4"/>
              </w:rPr>
            </w:pPr>
            <w:r>
              <w:rPr>
                <w:sz w:val="4"/>
                <w:szCs w:val="4"/>
              </w:rPr>
            </w:r>
          </w:p>
        </w:tc>
      </w:tr>
      <w:tr>
        <w:trPr/>
        <w:tc>
          <w:tcPr>
            <w:tcW w:w="423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Pratik S. Multani</w:t>
            </w:r>
          </w:p>
          <w:p>
            <w:pPr>
              <w:pStyle w:val="TableContents"/>
              <w:bidi w:val="0"/>
              <w:spacing w:before="0" w:after="20"/>
              <w:jc w:val="left"/>
              <w:rPr>
                <w:rFonts w:ascii="Times New Roman" w:hAnsi="Times New Roman"/>
                <w:sz w:val="20"/>
              </w:rPr>
            </w:pPr>
            <w:r>
              <w:rPr>
                <w:rFonts w:ascii="Times New Roman" w:hAnsi="Times New Roman"/>
                <w:sz w:val="20"/>
              </w:rPr>
              <w:t>Pratik S. Multani, M.D.</w:t>
            </w:r>
          </w:p>
        </w:tc>
        <w:tc>
          <w:tcPr>
            <w:tcW w:w="120"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231" w:type="dxa"/>
            <w:tcBorders/>
            <w:vAlign w:val="center"/>
          </w:tcPr>
          <w:p>
            <w:pPr>
              <w:pStyle w:val="TableContents"/>
              <w:bidi w:val="0"/>
              <w:spacing w:before="0" w:after="283"/>
              <w:jc w:val="left"/>
              <w:rPr>
                <w:sz w:val="4"/>
                <w:szCs w:val="4"/>
              </w:rPr>
            </w:pPr>
            <w:r>
              <w:rPr>
                <w:sz w:val="4"/>
                <w:szCs w:val="4"/>
              </w:rPr>
            </w:r>
          </w:p>
        </w:tc>
        <w:tc>
          <w:tcPr>
            <w:tcW w:w="3940" w:type="dxa"/>
            <w:gridSpan w:val="2"/>
            <w:tcBorders/>
            <w:vAlign w:val="center"/>
          </w:tcPr>
          <w:p>
            <w:pPr>
              <w:pStyle w:val="TableContents"/>
              <w:bidi w:val="0"/>
              <w:spacing w:before="0" w:after="283"/>
              <w:jc w:val="left"/>
              <w:rPr>
                <w:sz w:val="4"/>
                <w:szCs w:val="4"/>
              </w:rPr>
            </w:pPr>
            <w:r>
              <w:rPr>
                <w:sz w:val="4"/>
                <w:szCs w:val="4"/>
              </w:rPr>
            </w:r>
          </w:p>
        </w:tc>
        <w:tc>
          <w:tcPr>
            <w:tcW w:w="2034" w:type="dxa"/>
            <w:gridSpan w:val="2"/>
            <w:tcBorders/>
            <w:vAlign w:val="center"/>
          </w:tcPr>
          <w:p>
            <w:pPr>
              <w:pStyle w:val="TableContents"/>
              <w:bidi w:val="0"/>
              <w:spacing w:before="0" w:after="283"/>
              <w:jc w:val="left"/>
              <w:rPr>
                <w:sz w:val="4"/>
                <w:szCs w:val="4"/>
              </w:rPr>
            </w:pPr>
            <w:r>
              <w:rPr>
                <w:sz w:val="4"/>
                <w:szCs w:val="4"/>
              </w:rPr>
            </w:r>
          </w:p>
        </w:tc>
      </w:tr>
      <w:tr>
        <w:trPr/>
        <w:tc>
          <w:tcPr>
            <w:tcW w:w="423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D. Varney</w:t>
            </w:r>
          </w:p>
          <w:p>
            <w:pPr>
              <w:pStyle w:val="TableContents"/>
              <w:bidi w:val="0"/>
              <w:spacing w:before="0" w:after="20"/>
              <w:jc w:val="left"/>
              <w:rPr>
                <w:rFonts w:ascii="Times New Roman" w:hAnsi="Times New Roman"/>
                <w:sz w:val="20"/>
              </w:rPr>
            </w:pPr>
            <w:r>
              <w:rPr>
                <w:rFonts w:ascii="Times New Roman" w:hAnsi="Times New Roman"/>
                <w:sz w:val="20"/>
              </w:rPr>
              <w:t>Michael D. Varney, Ph.D.</w:t>
            </w:r>
          </w:p>
        </w:tc>
        <w:tc>
          <w:tcPr>
            <w:tcW w:w="120"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Director and Chair of Research and Development</w:t>
            </w:r>
          </w:p>
        </w:tc>
        <w:tc>
          <w:tcPr>
            <w:tcW w:w="199"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7" w:name="d133579dex44.htm"/>
      <w:bookmarkStart w:id="18" w:name="ksd133579dex44"/>
      <w:bookmarkEnd w:id="17"/>
      <w:bookmarkEnd w:id="18"/>
      <w:r>
        <w:rPr>
          <w:rFonts w:ascii="Times New Roman" w:hAnsi="Times New Roman"/>
          <w:b/>
          <w:sz w:val="20"/>
        </w:rPr>
        <w:t xml:space="preserve">Exhibit 4.4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ERASCA,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25"/>
        <w:gridCol w:w="7522"/>
        <w:gridCol w:w="173"/>
        <w:gridCol w:w="90"/>
        <w:gridCol w:w="395"/>
        <w:gridCol w:w="63"/>
      </w:tblGrid>
      <w:tr>
        <w:trPr/>
        <w:tc>
          <w:tcPr>
            <w:tcW w:w="183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52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84" w:type="dxa"/>
            <w:gridSpan w:val="3"/>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I. DEFINITIONS AND INCORPORATION BY REFERENCE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Other 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Incorporation by Reference of Trust Indenture Act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Rules of Construction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II. THE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Issuable in Series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Establishment of Terms of Series of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Execution and Authentication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Registrar, Paying Agent and Notice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Paying Agent to Hold Money in Trust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Holder Lists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Transfer and Exchange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Mutilated, Destroyed, Lost and Stolen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Outstanding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Treasury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Temporary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Cancellation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Defaulted Interest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Global Securities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CUSIP Numbers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Notice to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Selection of Securities to be Redeemed</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Notice of Redemption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Effect of Notice of Redemption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Deposit of Redemption Price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Securities Redeemed in Part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IV. COVENANTS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Payment of Principal and Interest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SEC Reports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Compliance Certificate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Stay, Extension and Usury Laws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V. SUCCESSORS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When Company May Merge,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837"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25"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283"/>
              <w:jc w:val="left"/>
              <w:rPr/>
            </w:pPr>
            <w:r>
              <w:rPr/>
              <w:t>Successor Corporation Substituted</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7"/>
        <w:gridCol w:w="123"/>
        <w:gridCol w:w="7744"/>
        <w:gridCol w:w="165"/>
        <w:gridCol w:w="60"/>
        <w:gridCol w:w="263"/>
        <w:gridCol w:w="63"/>
      </w:tblGrid>
      <w:tr>
        <w:trPr/>
        <w:tc>
          <w:tcPr>
            <w:tcW w:w="178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4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VI. DEFAULTS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Acceleration of Maturity; Rescission and Annulment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Collection of Indebtedness and Suits for Enforcement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Trustee May Enforce Claims Without Possession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Application of Money Collected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Limitation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Unconditional Right of Holders to Receive Principal and Interest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Restoration of Rights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Rights and Remedies Cumulative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Delay or Omission Not 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Control by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Waiver of Past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Undertaking for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VII.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Duties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Individual 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Trustee’s Disclaimer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Notice of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Reports by Trustee to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Compensation and 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Replacement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Successor Trustee by Merger,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Eligibility; Disqualification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Preferential Collection of Claims Against Company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VIII. SATISFACTION AND DISCHARGE;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Satisfaction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Application of Trust Funds; Indemnification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Legal Defeasance of Securities of any Series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Covenant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Repayment to Company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Reinstatement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IX. AMENDMENTS AND 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Without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With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Limitations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Compliance with Trust Indenture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Revocation and Effect of Consents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Notation on or Exchange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Trustee Protected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X. MISCELLANEOUS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Trust Indenture Act Controls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3" w:type="dxa"/>
            <w:tcBorders/>
            <w:vAlign w:val="bottom"/>
          </w:tcPr>
          <w:p>
            <w:pPr>
              <w:pStyle w:val="TableContents"/>
              <w:bidi w:val="0"/>
              <w:spacing w:before="0" w:after="283"/>
              <w:jc w:val="left"/>
              <w:rPr/>
            </w:pPr>
            <w:r>
              <w:rPr/>
              <w:t> </w:t>
            </w:r>
          </w:p>
        </w:tc>
        <w:tc>
          <w:tcPr>
            <w:tcW w:w="7744" w:type="dxa"/>
            <w:tcBorders/>
          </w:tcPr>
          <w:p>
            <w:pPr>
              <w:pStyle w:val="TableContents"/>
              <w:bidi w:val="0"/>
              <w:spacing w:before="0" w:after="283"/>
              <w:jc w:val="left"/>
              <w:rPr/>
            </w:pPr>
            <w:r>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41"/>
        <w:gridCol w:w="121"/>
        <w:gridCol w:w="7693"/>
        <w:gridCol w:w="164"/>
        <w:gridCol w:w="60"/>
        <w:gridCol w:w="262"/>
        <w:gridCol w:w="64"/>
      </w:tblGrid>
      <w:tr>
        <w:trPr/>
        <w:tc>
          <w:tcPr>
            <w:tcW w:w="18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93"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Communication by Holders with Other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Certificate and Opinion as to Conditions Precedent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Statements Required in Certificate or Opinion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Rules by Trustee and Agents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Legal Holidays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No Recourse Against Others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Counterparts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Governing Law; Waiver of Jury Trial; Consent to Jurisdiction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No Adverse Interpretation of Other Agreements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Successors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Severability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Table of Contents, Headings,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Securities in a Foreign Currency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Judgment Currency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Force Majeure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U.S.A. Patriot Act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XI. SINKING FUNDS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Applicability of Article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Satisfaction of Sinking Fund Payments with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8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21"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Redemption of Securities for Sinking Fund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ERASCA, INC.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____________, 20__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84"/>
        <w:gridCol w:w="121"/>
        <w:gridCol w:w="5506"/>
        <w:gridCol w:w="121"/>
        <w:gridCol w:w="2173"/>
      </w:tblGrid>
      <w:tr>
        <w:trPr/>
        <w:tc>
          <w:tcPr>
            <w:tcW w:w="22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2284" w:type="dxa"/>
            <w:tcBorders/>
          </w:tcPr>
          <w:p>
            <w:pPr>
              <w:pStyle w:val="TableContents"/>
              <w:bidi w:val="0"/>
              <w:spacing w:before="0" w:after="283"/>
              <w:jc w:val="right"/>
              <w:rPr/>
            </w:pPr>
            <w:r>
              <w:rPr/>
              <w:t>§ 310(a)(1)</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7.10</w:t>
            </w:r>
          </w:p>
        </w:tc>
      </w:tr>
      <w:tr>
        <w:trPr/>
        <w:tc>
          <w:tcPr>
            <w:tcW w:w="2284" w:type="dxa"/>
            <w:tcBorders/>
          </w:tcPr>
          <w:p>
            <w:pPr>
              <w:pStyle w:val="TableContents"/>
              <w:bidi w:val="0"/>
              <w:spacing w:before="0" w:after="283"/>
              <w:jc w:val="right"/>
              <w:rPr/>
            </w:pPr>
            <w:r>
              <w:rPr/>
              <w:t>(a)(2)</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7.10</w:t>
            </w:r>
          </w:p>
        </w:tc>
      </w:tr>
      <w:tr>
        <w:trPr/>
        <w:tc>
          <w:tcPr>
            <w:tcW w:w="2284" w:type="dxa"/>
            <w:tcBorders/>
          </w:tcPr>
          <w:p>
            <w:pPr>
              <w:pStyle w:val="TableContents"/>
              <w:bidi w:val="0"/>
              <w:spacing w:before="0" w:after="283"/>
              <w:jc w:val="right"/>
              <w:rPr/>
            </w:pPr>
            <w:r>
              <w:rPr/>
              <w:t>(a)(3)</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(a)(4)</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(a)(5)</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7.10</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7.10</w:t>
            </w:r>
          </w:p>
        </w:tc>
      </w:tr>
      <w:tr>
        <w:trPr/>
        <w:tc>
          <w:tcPr>
            <w:tcW w:w="2284" w:type="dxa"/>
            <w:tcBorders/>
          </w:tcPr>
          <w:p>
            <w:pPr>
              <w:pStyle w:val="TableContents"/>
              <w:bidi w:val="0"/>
              <w:spacing w:before="0" w:after="283"/>
              <w:jc w:val="right"/>
              <w:rPr/>
            </w:pPr>
            <w:r>
              <w:rPr/>
              <w:t>§ 311(a)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7.11</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7.11</w:t>
            </w:r>
          </w:p>
        </w:tc>
      </w:tr>
      <w:tr>
        <w:trPr/>
        <w:tc>
          <w:tcPr>
            <w:tcW w:w="2284" w:type="dxa"/>
            <w:tcBorders/>
          </w:tcPr>
          <w:p>
            <w:pPr>
              <w:pStyle w:val="TableContents"/>
              <w:bidi w:val="0"/>
              <w:spacing w:before="0" w:after="283"/>
              <w:jc w:val="right"/>
              <w:rPr/>
            </w:pPr>
            <w:r>
              <w:rPr/>
              <w:t>(c)</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 312(a)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2.6</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10.3</w:t>
            </w:r>
          </w:p>
        </w:tc>
      </w:tr>
      <w:tr>
        <w:trPr/>
        <w:tc>
          <w:tcPr>
            <w:tcW w:w="2284" w:type="dxa"/>
            <w:tcBorders/>
          </w:tcPr>
          <w:p>
            <w:pPr>
              <w:pStyle w:val="TableContents"/>
              <w:bidi w:val="0"/>
              <w:spacing w:before="0" w:after="283"/>
              <w:jc w:val="right"/>
              <w:rPr/>
            </w:pPr>
            <w:r>
              <w:rPr/>
              <w:t>(c)</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10.3</w:t>
            </w:r>
          </w:p>
        </w:tc>
      </w:tr>
      <w:tr>
        <w:trPr/>
        <w:tc>
          <w:tcPr>
            <w:tcW w:w="2284" w:type="dxa"/>
            <w:tcBorders/>
          </w:tcPr>
          <w:p>
            <w:pPr>
              <w:pStyle w:val="TableContents"/>
              <w:bidi w:val="0"/>
              <w:spacing w:before="0" w:after="283"/>
              <w:jc w:val="right"/>
              <w:rPr/>
            </w:pPr>
            <w:r>
              <w:rPr/>
              <w:t>§ 313(a)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7.6</w:t>
            </w:r>
          </w:p>
        </w:tc>
      </w:tr>
      <w:tr>
        <w:trPr/>
        <w:tc>
          <w:tcPr>
            <w:tcW w:w="2284" w:type="dxa"/>
            <w:tcBorders/>
          </w:tcPr>
          <w:p>
            <w:pPr>
              <w:pStyle w:val="TableContents"/>
              <w:bidi w:val="0"/>
              <w:spacing w:before="0" w:after="283"/>
              <w:jc w:val="right"/>
              <w:rPr/>
            </w:pPr>
            <w:r>
              <w:rPr/>
              <w:t>(b)(1)</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7.6</w:t>
            </w:r>
          </w:p>
        </w:tc>
      </w:tr>
      <w:tr>
        <w:trPr/>
        <w:tc>
          <w:tcPr>
            <w:tcW w:w="2284" w:type="dxa"/>
            <w:tcBorders/>
          </w:tcPr>
          <w:p>
            <w:pPr>
              <w:pStyle w:val="TableContents"/>
              <w:bidi w:val="0"/>
              <w:spacing w:before="0" w:after="283"/>
              <w:jc w:val="right"/>
              <w:rPr/>
            </w:pPr>
            <w:r>
              <w:rPr/>
              <w:t>(b)(2)</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7.6</w:t>
            </w:r>
          </w:p>
        </w:tc>
      </w:tr>
      <w:tr>
        <w:trPr/>
        <w:tc>
          <w:tcPr>
            <w:tcW w:w="2284" w:type="dxa"/>
            <w:tcBorders/>
          </w:tcPr>
          <w:p>
            <w:pPr>
              <w:pStyle w:val="TableContents"/>
              <w:bidi w:val="0"/>
              <w:spacing w:before="0" w:after="283"/>
              <w:jc w:val="right"/>
              <w:rPr/>
            </w:pPr>
            <w:r>
              <w:rPr/>
              <w:t>(c)(1)</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7.6</w:t>
            </w:r>
          </w:p>
        </w:tc>
      </w:tr>
      <w:tr>
        <w:trPr/>
        <w:tc>
          <w:tcPr>
            <w:tcW w:w="2284" w:type="dxa"/>
            <w:tcBorders/>
          </w:tcPr>
          <w:p>
            <w:pPr>
              <w:pStyle w:val="TableContents"/>
              <w:bidi w:val="0"/>
              <w:spacing w:before="0" w:after="283"/>
              <w:jc w:val="right"/>
              <w:rPr/>
            </w:pPr>
            <w:r>
              <w:rPr/>
              <w:t>(d)</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7.6</w:t>
            </w:r>
          </w:p>
        </w:tc>
      </w:tr>
      <w:tr>
        <w:trPr/>
        <w:tc>
          <w:tcPr>
            <w:tcW w:w="2284" w:type="dxa"/>
            <w:tcBorders/>
          </w:tcPr>
          <w:p>
            <w:pPr>
              <w:pStyle w:val="TableContents"/>
              <w:bidi w:val="0"/>
              <w:spacing w:before="0" w:after="283"/>
              <w:jc w:val="right"/>
              <w:rPr/>
            </w:pPr>
            <w:r>
              <w:rPr/>
              <w:t>§ 314(a)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4.2, 10.5</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(c)(1)</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10.4</w:t>
            </w:r>
          </w:p>
        </w:tc>
      </w:tr>
      <w:tr>
        <w:trPr/>
        <w:tc>
          <w:tcPr>
            <w:tcW w:w="2284" w:type="dxa"/>
            <w:tcBorders/>
          </w:tcPr>
          <w:p>
            <w:pPr>
              <w:pStyle w:val="TableContents"/>
              <w:bidi w:val="0"/>
              <w:spacing w:before="0" w:after="283"/>
              <w:jc w:val="right"/>
              <w:rPr/>
            </w:pPr>
            <w:r>
              <w:rPr/>
              <w:t>(c)(2)</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10.4</w:t>
            </w:r>
          </w:p>
        </w:tc>
      </w:tr>
      <w:tr>
        <w:trPr/>
        <w:tc>
          <w:tcPr>
            <w:tcW w:w="2284" w:type="dxa"/>
            <w:tcBorders/>
          </w:tcPr>
          <w:p>
            <w:pPr>
              <w:pStyle w:val="TableContents"/>
              <w:bidi w:val="0"/>
              <w:spacing w:before="0" w:after="283"/>
              <w:jc w:val="right"/>
              <w:rPr/>
            </w:pPr>
            <w:r>
              <w:rPr/>
              <w:t>(c)(3)</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(d)</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(e)</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10.5</w:t>
            </w:r>
          </w:p>
        </w:tc>
      </w:tr>
      <w:tr>
        <w:trPr/>
        <w:tc>
          <w:tcPr>
            <w:tcW w:w="2284" w:type="dxa"/>
            <w:tcBorders/>
          </w:tcPr>
          <w:p>
            <w:pPr>
              <w:pStyle w:val="TableContents"/>
              <w:bidi w:val="0"/>
              <w:spacing w:before="0" w:after="283"/>
              <w:jc w:val="right"/>
              <w:rPr/>
            </w:pPr>
            <w:r>
              <w:rPr/>
              <w:t>(f)</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Not Applicable</w:t>
            </w:r>
          </w:p>
        </w:tc>
      </w:tr>
      <w:tr>
        <w:trPr/>
        <w:tc>
          <w:tcPr>
            <w:tcW w:w="2284" w:type="dxa"/>
            <w:tcBorders/>
          </w:tcPr>
          <w:p>
            <w:pPr>
              <w:pStyle w:val="TableContents"/>
              <w:bidi w:val="0"/>
              <w:spacing w:before="0" w:after="283"/>
              <w:jc w:val="right"/>
              <w:rPr/>
            </w:pPr>
            <w:r>
              <w:rPr/>
              <w:t>§ 315(a)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7.5</w:t>
            </w:r>
          </w:p>
        </w:tc>
      </w:tr>
      <w:tr>
        <w:trPr/>
        <w:tc>
          <w:tcPr>
            <w:tcW w:w="2284" w:type="dxa"/>
            <w:tcBorders/>
          </w:tcPr>
          <w:p>
            <w:pPr>
              <w:pStyle w:val="TableContents"/>
              <w:bidi w:val="0"/>
              <w:spacing w:before="0" w:after="283"/>
              <w:jc w:val="right"/>
              <w:rPr/>
            </w:pPr>
            <w:r>
              <w:rPr/>
              <w:t>(c)</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w:t>
            </w:r>
          </w:p>
        </w:tc>
      </w:tr>
      <w:tr>
        <w:trPr/>
        <w:tc>
          <w:tcPr>
            <w:tcW w:w="2284" w:type="dxa"/>
            <w:tcBorders/>
          </w:tcPr>
          <w:p>
            <w:pPr>
              <w:pStyle w:val="TableContents"/>
              <w:bidi w:val="0"/>
              <w:spacing w:before="0" w:after="283"/>
              <w:jc w:val="right"/>
              <w:rPr/>
            </w:pPr>
            <w:r>
              <w:rPr/>
              <w:t>(d)</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7.1</w:t>
            </w:r>
          </w:p>
        </w:tc>
      </w:tr>
      <w:tr>
        <w:trPr/>
        <w:tc>
          <w:tcPr>
            <w:tcW w:w="2284" w:type="dxa"/>
            <w:tcBorders/>
          </w:tcPr>
          <w:p>
            <w:pPr>
              <w:pStyle w:val="TableContents"/>
              <w:bidi w:val="0"/>
              <w:spacing w:before="0" w:after="283"/>
              <w:jc w:val="right"/>
              <w:rPr/>
            </w:pPr>
            <w:r>
              <w:rPr/>
              <w:t>(e)</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6.14</w:t>
            </w:r>
          </w:p>
        </w:tc>
      </w:tr>
      <w:tr>
        <w:trPr/>
        <w:tc>
          <w:tcPr>
            <w:tcW w:w="2284" w:type="dxa"/>
            <w:tcBorders/>
          </w:tcPr>
          <w:p>
            <w:pPr>
              <w:pStyle w:val="TableContents"/>
              <w:bidi w:val="0"/>
              <w:spacing w:before="0" w:after="283"/>
              <w:jc w:val="right"/>
              <w:rPr/>
            </w:pPr>
            <w:r>
              <w:rPr/>
              <w:t>§ 316(a)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2.10</w:t>
            </w:r>
          </w:p>
        </w:tc>
      </w:tr>
      <w:tr>
        <w:trPr/>
        <w:tc>
          <w:tcPr>
            <w:tcW w:w="2284" w:type="dxa"/>
            <w:tcBorders/>
          </w:tcPr>
          <w:p>
            <w:pPr>
              <w:pStyle w:val="TableContents"/>
              <w:bidi w:val="0"/>
              <w:spacing w:before="0" w:after="283"/>
              <w:jc w:val="right"/>
              <w:rPr/>
            </w:pPr>
            <w:r>
              <w:rPr/>
              <w:t>(a)(1)(A)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6.12</w:t>
            </w:r>
          </w:p>
        </w:tc>
      </w:tr>
      <w:tr>
        <w:trPr/>
        <w:tc>
          <w:tcPr>
            <w:tcW w:w="2284" w:type="dxa"/>
            <w:tcBorders/>
          </w:tcPr>
          <w:p>
            <w:pPr>
              <w:pStyle w:val="TableContents"/>
              <w:bidi w:val="0"/>
              <w:spacing w:before="0" w:after="283"/>
              <w:jc w:val="right"/>
              <w:rPr/>
            </w:pPr>
            <w:r>
              <w:rPr/>
              <w:t>(a)(1)(B)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6.13</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6.8</w:t>
            </w:r>
          </w:p>
        </w:tc>
      </w:tr>
      <w:tr>
        <w:trPr/>
        <w:tc>
          <w:tcPr>
            <w:tcW w:w="2284" w:type="dxa"/>
            <w:tcBorders/>
          </w:tcPr>
          <w:p>
            <w:pPr>
              <w:pStyle w:val="TableContents"/>
              <w:bidi w:val="0"/>
              <w:spacing w:before="0" w:after="283"/>
              <w:jc w:val="right"/>
              <w:rPr/>
            </w:pPr>
            <w:r>
              <w:rPr/>
              <w:t>§ 317(a)(1)</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6.3</w:t>
            </w:r>
          </w:p>
        </w:tc>
      </w:tr>
      <w:tr>
        <w:trPr/>
        <w:tc>
          <w:tcPr>
            <w:tcW w:w="2284" w:type="dxa"/>
            <w:tcBorders/>
          </w:tcPr>
          <w:p>
            <w:pPr>
              <w:pStyle w:val="TableContents"/>
              <w:bidi w:val="0"/>
              <w:spacing w:before="0" w:after="283"/>
              <w:jc w:val="right"/>
              <w:rPr/>
            </w:pPr>
            <w:r>
              <w:rPr/>
              <w:t>(a)(2)</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6.4</w:t>
            </w:r>
          </w:p>
        </w:tc>
      </w:tr>
      <w:tr>
        <w:trPr/>
        <w:tc>
          <w:tcPr>
            <w:tcW w:w="2284" w:type="dxa"/>
            <w:tcBorders/>
          </w:tcPr>
          <w:p>
            <w:pPr>
              <w:pStyle w:val="TableContents"/>
              <w:bidi w:val="0"/>
              <w:spacing w:before="0" w:after="283"/>
              <w:jc w:val="right"/>
              <w:rPr/>
            </w:pPr>
            <w:r>
              <w:rPr/>
              <w:t>(b)</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2.5</w:t>
            </w:r>
          </w:p>
        </w:tc>
      </w:tr>
      <w:tr>
        <w:trPr/>
        <w:tc>
          <w:tcPr>
            <w:tcW w:w="2284" w:type="dxa"/>
            <w:tcBorders/>
          </w:tcPr>
          <w:p>
            <w:pPr>
              <w:pStyle w:val="TableContents"/>
              <w:bidi w:val="0"/>
              <w:spacing w:before="0" w:after="283"/>
              <w:jc w:val="right"/>
              <w:rPr/>
            </w:pPr>
            <w:r>
              <w:rPr/>
              <w:t>§ 318(a)</w:t>
            </w:r>
          </w:p>
        </w:tc>
        <w:tc>
          <w:tcPr>
            <w:tcW w:w="121" w:type="dxa"/>
            <w:tcBorders/>
            <w:vAlign w:val="bottom"/>
          </w:tcPr>
          <w:p>
            <w:pPr>
              <w:pStyle w:val="TableContents"/>
              <w:bidi w:val="0"/>
              <w:spacing w:before="0" w:after="283"/>
              <w:jc w:val="left"/>
              <w:rPr/>
            </w:pPr>
            <w:r>
              <w:rPr/>
              <w:t>  </w:t>
            </w:r>
          </w:p>
        </w:tc>
        <w:tc>
          <w:tcPr>
            <w:tcW w:w="5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10.1</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__________, 20__ between Erasca, Inc., Delaware corporation (“</w:t>
      </w:r>
      <w:r>
        <w:rPr>
          <w:rFonts w:ascii="Times New Roman" w:hAnsi="Times New Roman"/>
          <w:i/>
          <w:sz w:val="20"/>
        </w:rPr>
        <w:t>Company”</w:t>
      </w:r>
      <w:r>
        <w:rPr>
          <w:rFonts w:ascii="Times New Roman" w:hAnsi="Times New Roman"/>
          <w:sz w:val="20"/>
        </w:rPr>
        <w:t>), and [____________]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Additional Amounts</w:t>
      </w:r>
      <w:r>
        <w:rPr>
          <w:rFonts w:ascii="Times New Roman" w:hAnsi="Times New Roman"/>
          <w:sz w:val="20"/>
        </w:rPr>
        <w:t xml:space="preserve">” means any additional amounts which are required hereby or by any Security, under circumstances specified herein or therein, to be paid by the Company in respect of certain taxes imposed on Holders specified herein or therein and which are owing to such Holders.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Paying Agent or Notice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a legal holiday in the City of New York, New York (or in connection with any payment, the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any and all shares, interests, participations, rights or other equivalents (however designated) of corporate stock.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and delivered to the Trustee.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passage of time or both would be,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Security is registered on the Registrar’s books.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bidi w:val="0"/>
        <w:spacing w:before="24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the Chief Financial Officer, the Treasurer or any Assistant Treasurer, the Secretary or any Assistant Secretary and any Vice President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that meets the requirements of this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who is acceptable to the Trustee. The counsel may be an employee of or counsel to the Company. The opinion may contain customary limitations, conditions and exceptions.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and any Additional Amounts in respect of, the Security.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Security</w:t>
      </w:r>
      <w:r>
        <w:rPr>
          <w:rFonts w:ascii="Times New Roman" w:hAnsi="Times New Roman"/>
          <w:sz w:val="20"/>
        </w:rPr>
        <w:t>” or “</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or interest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50"/>
        <w:gridCol w:w="750"/>
        <w:gridCol w:w="2639"/>
      </w:tblGrid>
      <w:tr>
        <w:trPr/>
        <w:tc>
          <w:tcPr>
            <w:tcW w:w="3550" w:type="dxa"/>
            <w:tcBorders/>
            <w:vAlign w:val="center"/>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r>
      <w:tr>
        <w:trPr/>
        <w:tc>
          <w:tcPr>
            <w:tcW w:w="3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750" w:type="dxa"/>
            <w:tcBorders/>
            <w:vAlign w:val="bottom"/>
          </w:tcPr>
          <w:p>
            <w:pPr>
              <w:pStyle w:val="TableContents"/>
              <w:bidi w:val="0"/>
              <w:spacing w:before="0" w:after="283"/>
              <w:jc w:val="left"/>
              <w:rPr/>
            </w:pPr>
            <w:r>
              <w:rPr/>
              <w:t>  </w:t>
            </w:r>
          </w:p>
        </w:tc>
        <w:tc>
          <w:tcPr>
            <w:tcW w:w="2639" w:type="dxa"/>
            <w:tcBorders>
              <w:bottom w:val="single" w:sz="8" w:space="0" w:color="000000"/>
            </w:tcBorders>
            <w:tcMar>
              <w:bottom w:w="28" w:type="dxa"/>
            </w:tcMar>
            <w:vAlign w:val="bottom"/>
          </w:tcPr>
          <w:p>
            <w:pPr>
              <w:pStyle w:val="TableContents"/>
              <w:bidi w:val="0"/>
              <w:spacing w:before="0" w:after="283"/>
              <w:jc w:val="center"/>
              <w:rPr>
                <w:b/>
              </w:rPr>
            </w:pPr>
            <w:r>
              <w:rPr>
                <w:b/>
              </w:rPr>
              <w:t>DEFINED IN SECTION</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Agent Member”</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2.14.6</w:t>
            </w:r>
          </w:p>
        </w:tc>
      </w:tr>
      <w:tr>
        <w:trPr/>
        <w:tc>
          <w:tcPr>
            <w:tcW w:w="3550" w:type="dxa"/>
            <w:tcBorders/>
          </w:tcPr>
          <w:p>
            <w:pPr>
              <w:pStyle w:val="TableContents"/>
              <w:bidi w:val="0"/>
              <w:spacing w:before="0" w:after="0"/>
              <w:jc w:val="left"/>
              <w:rPr/>
            </w:pPr>
            <w:r>
              <w:rPr/>
              <w:t>“</w:t>
            </w:r>
            <w:r>
              <w:rPr>
                <w:rFonts w:ascii="Times New Roman" w:hAnsi="Times New Roman"/>
                <w:i/>
                <w:sz w:val="20"/>
              </w:rPr>
              <w:t>Bankruptcy Law”</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6.1</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Custodian”</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6.1</w:t>
            </w:r>
          </w:p>
        </w:tc>
      </w:tr>
      <w:tr>
        <w:trPr/>
        <w:tc>
          <w:tcPr>
            <w:tcW w:w="3550" w:type="dxa"/>
            <w:tcBorders/>
          </w:tcPr>
          <w:p>
            <w:pPr>
              <w:pStyle w:val="TableContents"/>
              <w:bidi w:val="0"/>
              <w:spacing w:before="0" w:after="0"/>
              <w:jc w:val="left"/>
              <w:rPr/>
            </w:pPr>
            <w:r>
              <w:rPr/>
              <w:t>“</w:t>
            </w:r>
            <w:r>
              <w:rPr>
                <w:rFonts w:ascii="Times New Roman" w:hAnsi="Times New Roman"/>
                <w:i/>
                <w:sz w:val="20"/>
              </w:rPr>
              <w:t>Event of Default”</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6.1</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Judgment Currency”</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10.16</w:t>
            </w:r>
          </w:p>
        </w:tc>
      </w:tr>
      <w:tr>
        <w:trPr/>
        <w:tc>
          <w:tcPr>
            <w:tcW w:w="3550" w:type="dxa"/>
            <w:tcBorders/>
          </w:tcPr>
          <w:p>
            <w:pPr>
              <w:pStyle w:val="TableContents"/>
              <w:bidi w:val="0"/>
              <w:spacing w:before="0" w:after="0"/>
              <w:jc w:val="left"/>
              <w:rPr/>
            </w:pPr>
            <w:r>
              <w:rPr/>
              <w:t>“</w:t>
            </w:r>
            <w:r>
              <w:rPr>
                <w:rFonts w:ascii="Times New Roman" w:hAnsi="Times New Roman"/>
                <w:i/>
                <w:sz w:val="20"/>
              </w:rPr>
              <w:t>mandatory sinking fund payment”</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11.1</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New York Banking Day”</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10.16</w:t>
            </w:r>
          </w:p>
        </w:tc>
      </w:tr>
      <w:tr>
        <w:trPr/>
        <w:tc>
          <w:tcPr>
            <w:tcW w:w="3550" w:type="dxa"/>
            <w:tcBorders/>
          </w:tcPr>
          <w:p>
            <w:pPr>
              <w:pStyle w:val="TableContents"/>
              <w:bidi w:val="0"/>
              <w:spacing w:before="0" w:after="0"/>
              <w:jc w:val="left"/>
              <w:rPr/>
            </w:pPr>
            <w:r>
              <w:rPr/>
              <w:t>“</w:t>
            </w:r>
            <w:r>
              <w:rPr>
                <w:rFonts w:ascii="Times New Roman" w:hAnsi="Times New Roman"/>
                <w:i/>
                <w:sz w:val="20"/>
              </w:rPr>
              <w:t>Notice Agent”</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2.4</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optional sinking fund payment”</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11.1</w:t>
            </w:r>
          </w:p>
        </w:tc>
      </w:tr>
      <w:tr>
        <w:trPr/>
        <w:tc>
          <w:tcPr>
            <w:tcW w:w="3550" w:type="dxa"/>
            <w:tcBorders/>
          </w:tcPr>
          <w:p>
            <w:pPr>
              <w:pStyle w:val="TableContents"/>
              <w:bidi w:val="0"/>
              <w:spacing w:before="0" w:after="0"/>
              <w:jc w:val="left"/>
              <w:rPr/>
            </w:pPr>
            <w:r>
              <w:rPr/>
              <w:t>“</w:t>
            </w:r>
            <w:r>
              <w:rPr>
                <w:rFonts w:ascii="Times New Roman" w:hAnsi="Times New Roman"/>
                <w:i/>
                <w:sz w:val="20"/>
              </w:rPr>
              <w:t>Paying Agent”</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2.4</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Registrar”</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2.4</w:t>
            </w:r>
          </w:p>
        </w:tc>
      </w:tr>
      <w:tr>
        <w:trPr/>
        <w:tc>
          <w:tcPr>
            <w:tcW w:w="3550" w:type="dxa"/>
            <w:tcBorders/>
          </w:tcPr>
          <w:p>
            <w:pPr>
              <w:pStyle w:val="TableContents"/>
              <w:bidi w:val="0"/>
              <w:spacing w:before="0" w:after="0"/>
              <w:jc w:val="left"/>
              <w:rPr/>
            </w:pPr>
            <w:r>
              <w:rPr/>
              <w:t>“</w:t>
            </w:r>
            <w:r>
              <w:rPr>
                <w:rFonts w:ascii="Times New Roman" w:hAnsi="Times New Roman"/>
                <w:i/>
                <w:sz w:val="20"/>
              </w:rPr>
              <w:t>Required Currency”</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10.16</w:t>
            </w:r>
          </w:p>
        </w:tc>
      </w:tr>
      <w:tr>
        <w:trPr/>
        <w:tc>
          <w:tcPr>
            <w:tcW w:w="3550" w:type="dxa"/>
            <w:tcBorders/>
            <w:shd w:fill="CCEEFF" w:val="clear"/>
          </w:tcPr>
          <w:p>
            <w:pPr>
              <w:pStyle w:val="TableContents"/>
              <w:bidi w:val="0"/>
              <w:spacing w:before="0" w:after="0"/>
              <w:jc w:val="left"/>
              <w:rPr/>
            </w:pPr>
            <w:r>
              <w:rPr/>
              <w:t>“</w:t>
            </w:r>
            <w:r>
              <w:rPr>
                <w:rFonts w:ascii="Times New Roman" w:hAnsi="Times New Roman"/>
                <w:i/>
                <w:sz w:val="20"/>
              </w:rPr>
              <w:t>Specified Courts”</w:t>
            </w:r>
          </w:p>
        </w:tc>
        <w:tc>
          <w:tcPr>
            <w:tcW w:w="750"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center"/>
              <w:rPr/>
            </w:pPr>
            <w:r>
              <w:rPr/>
              <w:t>10.10</w:t>
            </w:r>
          </w:p>
        </w:tc>
      </w:tr>
      <w:tr>
        <w:trPr/>
        <w:tc>
          <w:tcPr>
            <w:tcW w:w="3550" w:type="dxa"/>
            <w:tcBorders/>
          </w:tcPr>
          <w:p>
            <w:pPr>
              <w:pStyle w:val="TableContents"/>
              <w:bidi w:val="0"/>
              <w:spacing w:before="0" w:after="0"/>
              <w:jc w:val="left"/>
              <w:rPr/>
            </w:pPr>
            <w:r>
              <w:rPr/>
              <w:t>“</w:t>
            </w:r>
            <w:r>
              <w:rPr>
                <w:rFonts w:ascii="Times New Roman" w:hAnsi="Times New Roman"/>
                <w:i/>
                <w:sz w:val="20"/>
              </w:rPr>
              <w:t>successor person”</w:t>
            </w:r>
          </w:p>
        </w:tc>
        <w:tc>
          <w:tcPr>
            <w:tcW w:w="750"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center"/>
              <w:rPr/>
            </w:pPr>
            <w:r>
              <w:rPr/>
              <w:t>5.1</w:t>
            </w:r>
          </w:p>
        </w:tc>
      </w:tr>
    </w:tbl>
    <w:p>
      <w:pPr>
        <w:pStyle w:val="TextBody"/>
        <w:bidi w:val="0"/>
        <w:spacing w:before="240" w:after="0"/>
        <w:jc w:val="left"/>
        <w:rPr>
          <w:rFonts w:ascii="Times New Roman" w:hAnsi="Times New Roman"/>
          <w:sz w:val="20"/>
        </w:rPr>
      </w:pPr>
      <w:r>
        <w:rPr>
          <w:rFonts w:ascii="Times New Roman" w:hAnsi="Times New Roman"/>
          <w:sz w:val="20"/>
        </w:rPr>
        <w:t>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12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120" w:after="0"/>
        <w:jc w:val="left"/>
        <w:rPr/>
      </w:pPr>
      <w:r>
        <w:rPr/>
        <w:t>“</w:t>
      </w:r>
      <w:r>
        <w:rPr>
          <w:rFonts w:ascii="Times New Roman" w:hAnsi="Times New Roman"/>
          <w:i/>
          <w:sz w:val="20"/>
        </w:rPr>
        <w:t>indenture security holder</w:t>
      </w:r>
      <w:r>
        <w:rPr>
          <w:rFonts w:ascii="Times New Roman" w:hAnsi="Times New Roman"/>
          <w:sz w:val="20"/>
        </w:rPr>
        <w:t xml:space="preserve">” means a Holder. </w:t>
      </w:r>
    </w:p>
    <w:p>
      <w:pPr>
        <w:pStyle w:val="TextBody"/>
        <w:bidi w:val="0"/>
        <w:spacing w:before="120" w:after="0"/>
        <w:jc w:val="left"/>
        <w:rPr/>
      </w:pPr>
      <w:r>
        <w:rPr/>
        <w:t>“</w:t>
      </w:r>
      <w:r>
        <w:rPr>
          <w:rFonts w:ascii="Times New Roman" w:hAnsi="Times New Roman"/>
          <w:i/>
          <w:sz w:val="20"/>
        </w:rPr>
        <w:t>indenture to be qualified</w:t>
      </w:r>
      <w:r>
        <w:rPr>
          <w:rFonts w:ascii="Times New Roman" w:hAnsi="Times New Roman"/>
          <w:sz w:val="20"/>
        </w:rPr>
        <w:t xml:space="preserve">” means this Indenture. </w:t>
      </w:r>
    </w:p>
    <w:p>
      <w:pPr>
        <w:pStyle w:val="TextBody"/>
        <w:bidi w:val="0"/>
        <w:spacing w:before="120" w:after="0"/>
        <w:jc w:val="left"/>
        <w:rPr/>
      </w:pPr>
      <w:r>
        <w:rPr/>
        <w:t>“</w:t>
      </w:r>
      <w:r>
        <w:rPr>
          <w:rFonts w:ascii="Times New Roman" w:hAnsi="Times New Roman"/>
          <w:i/>
          <w:sz w:val="20"/>
        </w:rPr>
        <w:t>indenture trustee</w:t>
      </w:r>
      <w:r>
        <w:rPr>
          <w:rFonts w:ascii="Times New Roman" w:hAnsi="Times New Roman"/>
          <w:sz w:val="20"/>
        </w:rPr>
        <w:t>” or “</w:t>
      </w:r>
      <w:r>
        <w:rPr>
          <w:rFonts w:ascii="Times New Roman" w:hAnsi="Times New Roman"/>
          <w:i/>
          <w:sz w:val="20"/>
        </w:rPr>
        <w:t>institutional trustee</w:t>
      </w:r>
      <w:r>
        <w:rPr>
          <w:rFonts w:ascii="Times New Roman" w:hAnsi="Times New Roman"/>
          <w:sz w:val="20"/>
        </w:rPr>
        <w:t xml:space="preserve">” means the Trustee. </w:t>
      </w:r>
    </w:p>
    <w:p>
      <w:pPr>
        <w:pStyle w:val="TextBody"/>
        <w:bidi w:val="0"/>
        <w:spacing w:before="12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(f) in the computation of periods of time from a specified date to a later specified date, the word “from” means “from and including,” and the words “to” and “until” each mean “to but excluding”; and </w:t>
      </w:r>
    </w:p>
    <w:p>
      <w:pPr>
        <w:pStyle w:val="TextBody"/>
        <w:bidi w:val="0"/>
        <w:spacing w:before="120" w:after="0"/>
        <w:jc w:val="left"/>
        <w:rPr>
          <w:rFonts w:ascii="Times New Roman" w:hAnsi="Times New Roman"/>
          <w:sz w:val="20"/>
        </w:rPr>
      </w:pPr>
      <w:r>
        <w:rPr>
          <w:rFonts w:ascii="Times New Roman" w:hAnsi="Times New Roman"/>
          <w:sz w:val="20"/>
        </w:rPr>
        <w:t xml:space="preserve">(g) the phrase “in writing” as used herein shall be deemed to include PDFs, e-mails and other electronic means of transmission, unless otherwise indicated.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Section 2.2. </w:t>
      </w:r>
      <w:r>
        <w:rPr>
          <w:rFonts w:ascii="Times New Roman" w:hAnsi="Times New Roman"/>
          <w:sz w:val="20"/>
          <w:u w:val="single"/>
        </w:rPr>
        <w:t>Establishment of Terms of Series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and ranking (including the terms of any subordination provisions)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 </w:t>
      </w:r>
    </w:p>
    <w:p>
      <w:pPr>
        <w:pStyle w:val="TextBody"/>
        <w:bidi w:val="0"/>
        <w:spacing w:before="24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24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may be redeemed, in whole or in part, at the option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2.2.10. if other than denominations of $1,000 and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bidi w:val="0"/>
        <w:spacing w:before="24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2.2.19. any addition to, deletion of or change in the covenants applicable to Securities of the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2.2.20. any Depositaries, interest rate calculation agents, exchange rate calculation agents or other agents with respect to Securities of such Series if other than those appointed herein; </w:t>
      </w:r>
    </w:p>
    <w:p>
      <w:pPr>
        <w:pStyle w:val="TextBody"/>
        <w:bidi w:val="0"/>
        <w:spacing w:before="24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bidi w:val="0"/>
        <w:spacing w:before="240" w:after="0"/>
        <w:jc w:val="left"/>
        <w:rPr>
          <w:rFonts w:ascii="Times New Roman" w:hAnsi="Times New Roman"/>
          <w:sz w:val="20"/>
        </w:rPr>
      </w:pPr>
      <w:r>
        <w:rPr>
          <w:rFonts w:ascii="Times New Roman" w:hAnsi="Times New Roman"/>
          <w:sz w:val="20"/>
        </w:rPr>
        <w:t xml:space="preserve">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2.2.23. whether any of the Company’s direct or indirect Subsidiaries will guarantee the Securities of that Series, including the terms of subordination, if any, of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w:t>
      </w:r>
    </w:p>
    <w:p>
      <w:pPr>
        <w:pStyle w:val="TextBody"/>
        <w:bidi w:val="0"/>
        <w:spacing w:before="240" w:after="0"/>
        <w:jc w:val="left"/>
        <w:rPr>
          <w:rFonts w:ascii="Times New Roman" w:hAnsi="Times New Roman"/>
          <w:sz w:val="20"/>
        </w:rPr>
      </w:pPr>
      <w:r>
        <w:rPr>
          <w:rFonts w:ascii="Times New Roman" w:hAnsi="Times New Roman"/>
          <w:sz w:val="20"/>
        </w:rPr>
        <w:t>Section 2.3.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Officer shall sign the Securities for the Company by manual, facsimile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sz w:val="20"/>
        </w:rPr>
        <w:t>Section 2.4. </w:t>
      </w:r>
      <w:r>
        <w:rPr>
          <w:rFonts w:ascii="Times New Roman" w:hAnsi="Times New Roman"/>
          <w:sz w:val="20"/>
          <w:u w:val="single"/>
        </w:rPr>
        <w:t>Registrar, Paying Agent and Notice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where Securities of such Series may be surrendered for registration of transfer or exchange (“</w:t>
      </w:r>
      <w:r>
        <w:rPr>
          <w:rFonts w:ascii="Times New Roman" w:hAnsi="Times New Roman"/>
          <w:i/>
          <w:sz w:val="20"/>
        </w:rPr>
        <w:t>Registrar</w:t>
      </w:r>
      <w:r>
        <w:rPr>
          <w:rFonts w:ascii="Times New Roman" w:hAnsi="Times New Roman"/>
          <w:sz w:val="20"/>
        </w:rPr>
        <w:t>”) and where notices and demands to or upon the Company in respect of the Securities of such Series and this Indenture may be delivered (“</w:t>
      </w:r>
      <w:r>
        <w:rPr>
          <w:rFonts w:ascii="Times New Roman" w:hAnsi="Times New Roman"/>
          <w:i/>
          <w:sz w:val="20"/>
        </w:rPr>
        <w:t>Notice Agent</w:t>
      </w:r>
      <w:r>
        <w:rPr>
          <w:rFonts w:ascii="Times New Roman" w:hAnsi="Times New Roman"/>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appointment of the Trustee as the Notice Agent shall exclude the appointment of the Trustee or any office of the Trustee as an agent to receive the service of legal process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sz w:val="20"/>
        </w:rPr>
        <w:t>Registrar</w:t>
      </w:r>
      <w:r>
        <w:rPr>
          <w:rFonts w:ascii="Times New Roman" w:hAnsi="Times New Roman"/>
          <w:sz w:val="20"/>
        </w:rPr>
        <w:t>” includes any co-registrar; the term “</w:t>
      </w:r>
      <w:r>
        <w:rPr>
          <w:rFonts w:ascii="Times New Roman" w:hAnsi="Times New Roman"/>
          <w:i/>
          <w:sz w:val="20"/>
        </w:rPr>
        <w:t>Paying Agent</w:t>
      </w:r>
      <w:r>
        <w:rPr>
          <w:rFonts w:ascii="Times New Roman" w:hAnsi="Times New Roman"/>
          <w:sz w:val="20"/>
        </w:rPr>
        <w:t>” includes any additional paying agent; and the term “</w:t>
      </w:r>
      <w:r>
        <w:rPr>
          <w:rFonts w:ascii="Times New Roman" w:hAnsi="Times New Roman"/>
          <w:i/>
          <w:sz w:val="20"/>
        </w:rPr>
        <w:t>Notice Agent</w:t>
      </w:r>
      <w:r>
        <w:rPr>
          <w:rFonts w:ascii="Times New Roman" w:hAnsi="Times New Roman"/>
          <w:sz w:val="20"/>
        </w:rPr>
        <w:t xml:space="preserve">” includes any additional notice agent. The Company or any of its Affiliates may serve as Registrar or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 </w:t>
      </w:r>
    </w:p>
    <w:p>
      <w:pPr>
        <w:pStyle w:val="TextBody"/>
        <w:bidi w:val="0"/>
        <w:spacing w:before="240" w:after="0"/>
        <w:jc w:val="left"/>
        <w:rPr>
          <w:rFonts w:ascii="Times New Roman" w:hAnsi="Times New Roman"/>
          <w:sz w:val="20"/>
        </w:rPr>
      </w:pPr>
      <w:r>
        <w:rPr>
          <w:rFonts w:ascii="Times New Roman" w:hAnsi="Times New Roman"/>
          <w:sz w:val="20"/>
        </w:rPr>
        <w:t>Section 2.5.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 </w:t>
      </w:r>
    </w:p>
    <w:p>
      <w:pPr>
        <w:pStyle w:val="TextBody"/>
        <w:bidi w:val="0"/>
        <w:spacing w:before="240" w:after="0"/>
        <w:jc w:val="left"/>
        <w:rPr>
          <w:rFonts w:ascii="Times New Roman" w:hAnsi="Times New Roman"/>
          <w:sz w:val="20"/>
        </w:rPr>
      </w:pPr>
      <w:r>
        <w:rPr>
          <w:rFonts w:ascii="Times New Roman" w:hAnsi="Times New Roman"/>
          <w:sz w:val="20"/>
        </w:rPr>
        <w:t>Section 2.6. </w:t>
      </w:r>
      <w:r>
        <w:rPr>
          <w:rFonts w:ascii="Times New Roman" w:hAnsi="Times New Roman"/>
          <w:sz w:val="20"/>
          <w:u w:val="single"/>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2.7.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 </w:t>
      </w:r>
    </w:p>
    <w:p>
      <w:pPr>
        <w:pStyle w:val="TextBody"/>
        <w:bidi w:val="0"/>
        <w:spacing w:before="240" w:after="0"/>
        <w:jc w:val="left"/>
        <w:rPr>
          <w:rFonts w:ascii="Times New Roman" w:hAnsi="Times New Roman"/>
          <w:sz w:val="20"/>
        </w:rPr>
      </w:pPr>
      <w:r>
        <w:rPr>
          <w:rFonts w:ascii="Times New Roman" w:hAnsi="Times New Roman"/>
          <w:sz w:val="20"/>
        </w:rPr>
        <w:t>Section 2.8.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Section 2.9.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2.8, it ceases to be outstanding until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(but see Section 2.10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Section 2.10. </w:t>
      </w:r>
      <w:r>
        <w:rPr>
          <w:rFonts w:ascii="Times New Roman" w:hAnsi="Times New Roman"/>
          <w:sz w:val="20"/>
          <w:u w:val="single"/>
        </w:rPr>
        <w:t>Treasury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Section 2.11.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2.12.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Section 2.13.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Section 2.14.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 </w:t>
      </w:r>
    </w:p>
    <w:p>
      <w:pPr>
        <w:pStyle w:val="TextBody"/>
        <w:bidi w:val="0"/>
        <w:spacing w:before="240" w:after="0"/>
        <w:jc w:val="left"/>
        <w:rPr>
          <w:rFonts w:ascii="Times New Roman" w:hAnsi="Times New Roman"/>
          <w:sz w:val="20"/>
        </w:rPr>
      </w:pPr>
      <w:r>
        <w:rPr>
          <w:rFonts w:ascii="Times New Roman" w:hAnsi="Times New Roman"/>
          <w:sz w:val="20"/>
        </w:rPr>
        <w:t xml:space="preserve">2.14.3. </w:t>
      </w:r>
      <w:r>
        <w:rPr>
          <w:rFonts w:ascii="Times New Roman" w:hAnsi="Times New Roman"/>
          <w:sz w:val="20"/>
          <w:u w:val="single"/>
        </w:rPr>
        <w:t>Legends</w:t>
      </w:r>
      <w:r>
        <w:rPr>
          <w:rFonts w:ascii="Times New Roman" w:hAnsi="Times New Roman"/>
          <w:sz w:val="20"/>
        </w:rPr>
        <w:t xml:space="preserve">. Any Global Security issued hereunder shall bear a legend in substantially the following form: </w:t>
      </w:r>
    </w:p>
    <w:p>
      <w:pPr>
        <w:pStyle w:val="TextBody"/>
        <w:bidi w:val="0"/>
        <w:spacing w:before="12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In addition, so long as the Depository Trust Company (“DTC”) is the Depositary, each Global Security registered in the name of DTC or its nominee shall bear a legend in substantially the following form: </w:t>
      </w:r>
    </w:p>
    <w:p>
      <w:pPr>
        <w:pStyle w:val="TextBody"/>
        <w:bidi w:val="0"/>
        <w:spacing w:before="120" w:after="0"/>
        <w:jc w:val="left"/>
        <w:rPr/>
      </w:pPr>
      <w:r>
        <w:rPr/>
        <w:t>“</w:t>
      </w:r>
      <w:r>
        <w:rPr>
          <w:rFonts w:ascii="Times New Roman" w:hAnsi="Times New Roman"/>
          <w:sz w:val="20"/>
        </w:rPr>
        <w:t xml:space="preserve">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2.14.5.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2.14.6. </w:t>
      </w:r>
      <w:r>
        <w:rPr>
          <w:rFonts w:ascii="Times New Roman" w:hAnsi="Times New Roman"/>
          <w:sz w:val="20"/>
          <w:u w:val="single"/>
        </w:rPr>
        <w:t>Agent Members</w:t>
      </w:r>
      <w:r>
        <w:rPr>
          <w:rFonts w:ascii="Times New Roman" w:hAnsi="Times New Roman"/>
          <w:sz w:val="20"/>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hAnsi="Times New Roman"/>
          <w:i/>
          <w:sz w:val="20"/>
        </w:rPr>
        <w:t>Agent Members</w:t>
      </w:r>
      <w:r>
        <w:rPr>
          <w:rFonts w:ascii="Times New Roman" w:hAnsi="Times New Roman"/>
          <w:sz w:val="20"/>
        </w:rPr>
        <w:t xml:space="preserve">”)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 </w:t>
      </w:r>
    </w:p>
    <w:p>
      <w:pPr>
        <w:pStyle w:val="TextBody"/>
        <w:bidi w:val="0"/>
        <w:spacing w:before="240" w:after="0"/>
        <w:jc w:val="left"/>
        <w:rPr>
          <w:rFonts w:ascii="Times New Roman" w:hAnsi="Times New Roman"/>
          <w:sz w:val="20"/>
        </w:rPr>
      </w:pPr>
      <w:r>
        <w:rPr>
          <w:rFonts w:ascii="Times New Roman" w:hAnsi="Times New Roman"/>
          <w:sz w:val="20"/>
        </w:rPr>
        <w:t>Section 2.15.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Section 3.1.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3.2.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 </w:t>
      </w:r>
    </w:p>
    <w:p>
      <w:pPr>
        <w:pStyle w:val="TextBody"/>
        <w:bidi w:val="0"/>
        <w:spacing w:before="240" w:after="0"/>
        <w:jc w:val="left"/>
        <w:rPr>
          <w:rFonts w:ascii="Times New Roman" w:hAnsi="Times New Roman"/>
          <w:sz w:val="20"/>
        </w:rPr>
      </w:pPr>
      <w:r>
        <w:rPr>
          <w:rFonts w:ascii="Times New Roman" w:hAnsi="Times New Roman"/>
          <w:sz w:val="20"/>
        </w:rPr>
        <w:t>Section 3.3.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that Securities of the Series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(f) that interest on Securities of the Series called for redemption ceases to accrue on and after the redemption date unless the Company defaults in the deposit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(g) the “CUSIP” number, if any; and </w:t>
      </w:r>
    </w:p>
    <w:p>
      <w:pPr>
        <w:pStyle w:val="TextBody"/>
        <w:bidi w:val="0"/>
        <w:spacing w:before="120" w:after="0"/>
        <w:jc w:val="left"/>
        <w:rPr>
          <w:rFonts w:ascii="Times New Roman" w:hAnsi="Times New Roman"/>
          <w:sz w:val="20"/>
        </w:rPr>
      </w:pPr>
      <w:r>
        <w:rPr>
          <w:rFonts w:ascii="Times New Roman" w:hAnsi="Times New Roman"/>
          <w:sz w:val="20"/>
        </w:rPr>
        <w:t xml:space="preserve">(h)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 </w:t>
      </w:r>
    </w:p>
    <w:p>
      <w:pPr>
        <w:pStyle w:val="TextBody"/>
        <w:bidi w:val="0"/>
        <w:spacing w:before="240" w:after="0"/>
        <w:jc w:val="left"/>
        <w:rPr>
          <w:rFonts w:ascii="Times New Roman" w:hAnsi="Times New Roman"/>
          <w:sz w:val="20"/>
        </w:rPr>
      </w:pPr>
      <w:r>
        <w:rPr>
          <w:rFonts w:ascii="Times New Roman" w:hAnsi="Times New Roman"/>
          <w:sz w:val="20"/>
        </w:rPr>
        <w:t>Section 3.4.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Section 3.5.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or before 11:00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sz w:val="20"/>
        </w:rPr>
        <w:t>Section 3.6.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Security that is redeemed in part, the Trustee shall authenticate for the Holder a new Security of the same Series and the same maturity equal in principal amount to the unredeemed portion of the Security surrendered.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Section 4.1.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4.2. </w:t>
      </w:r>
      <w:r>
        <w:rPr>
          <w:rFonts w:ascii="Times New Roman" w:hAnsi="Times New Roman"/>
          <w:sz w:val="20"/>
          <w:u w:val="single"/>
        </w:rPr>
        <w:t>SEC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 </w:t>
      </w:r>
    </w:p>
    <w:p>
      <w:pPr>
        <w:pStyle w:val="TextBody"/>
        <w:bidi w:val="0"/>
        <w:spacing w:before="240" w:after="0"/>
        <w:jc w:val="left"/>
        <w:rPr>
          <w:rFonts w:ascii="Times New Roman" w:hAnsi="Times New Roman"/>
          <w:sz w:val="20"/>
        </w:rPr>
      </w:pPr>
      <w:r>
        <w:rPr>
          <w:rFonts w:ascii="Times New Roman" w:hAnsi="Times New Roman"/>
          <w:sz w:val="20"/>
        </w:rPr>
        <w:t xml:space="preserve">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 </w:t>
      </w:r>
    </w:p>
    <w:p>
      <w:pPr>
        <w:pStyle w:val="TextBody"/>
        <w:bidi w:val="0"/>
        <w:spacing w:before="240" w:after="0"/>
        <w:jc w:val="left"/>
        <w:rPr>
          <w:rFonts w:ascii="Times New Roman" w:hAnsi="Times New Roman"/>
          <w:sz w:val="20"/>
        </w:rPr>
      </w:pPr>
      <w:r>
        <w:rPr>
          <w:rFonts w:ascii="Times New Roman" w:hAnsi="Times New Roman"/>
          <w:sz w:val="20"/>
        </w:rPr>
        <w:t>Section 4.3.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 </w:t>
      </w:r>
    </w:p>
    <w:p>
      <w:pPr>
        <w:pStyle w:val="TextBody"/>
        <w:bidi w:val="0"/>
        <w:spacing w:before="240" w:after="0"/>
        <w:jc w:val="left"/>
        <w:rPr>
          <w:rFonts w:ascii="Times New Roman" w:hAnsi="Times New Roman"/>
          <w:sz w:val="20"/>
        </w:rPr>
      </w:pPr>
      <w:r>
        <w:rPr>
          <w:rFonts w:ascii="Times New Roman" w:hAnsi="Times New Roman"/>
          <w:sz w:val="20"/>
        </w:rPr>
        <w:t>Section 4.4.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Section 5.1. </w:t>
      </w:r>
      <w:r>
        <w:rPr>
          <w:rFonts w:ascii="Times New Roman" w:hAnsi="Times New Roman"/>
          <w:sz w:val="20"/>
          <w:u w:val="single"/>
        </w:rPr>
        <w:t>When Company May Merge,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not consolidate with or merge with or into, or convey, transfer or lease all or substantially all of its properties and assets to, any person (a “</w:t>
      </w:r>
      <w:r>
        <w:rPr>
          <w:rFonts w:ascii="Times New Roman" w:hAnsi="Times New Roman"/>
          <w:i/>
          <w:sz w:val="20"/>
        </w:rPr>
        <w:t>successor person</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Section 5.2. </w:t>
      </w:r>
      <w:r>
        <w:rPr>
          <w:rFonts w:ascii="Times New Roman" w:hAnsi="Times New Roman"/>
          <w:sz w:val="20"/>
          <w:u w:val="single"/>
        </w:rPr>
        <w:t>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Company in the case of a sale, conveyance or other disposition (other than a lease) shall be released from all obligations and covenants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(v) generally is unable to pay its debts as the same become due; </w:t>
      </w:r>
    </w:p>
    <w:p>
      <w:pPr>
        <w:pStyle w:val="TextBody"/>
        <w:bidi w:val="0"/>
        <w:spacing w:before="12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w:t>
      </w:r>
    </w:p>
    <w:p>
      <w:pPr>
        <w:pStyle w:val="TextBody"/>
        <w:bidi w:val="0"/>
        <w:spacing w:before="240" w:after="0"/>
        <w:jc w:val="left"/>
        <w:rPr>
          <w:rFonts w:ascii="Times New Roman" w:hAnsi="Times New Roman"/>
          <w:sz w:val="20"/>
        </w:rPr>
      </w:pPr>
      <w:r>
        <w:rPr>
          <w:rFonts w:ascii="Times New Roman" w:hAnsi="Times New Roman"/>
          <w:sz w:val="20"/>
        </w:rPr>
        <w:t>Section 6.2.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Section 6.3.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12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240" w:after="0"/>
        <w:jc w:val="left"/>
        <w:rPr>
          <w:rFonts w:ascii="Times New Roman" w:hAnsi="Times New Roman"/>
          <w:sz w:val="20"/>
        </w:rPr>
      </w:pPr>
      <w:r>
        <w:rPr>
          <w:rFonts w:ascii="Times New Roman" w:hAnsi="Times New Roman"/>
          <w:i/>
          <w:sz w:val="20"/>
        </w:rPr>
        <w:t>then,</w:t>
      </w:r>
      <w:r>
        <w:rPr>
          <w:rFonts w:ascii="Times New Roman" w:hAnsi="Times New Roman"/>
          <w:sz w:val="20"/>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Section 6.4.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Section 6.5.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Section 6.6.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under Section 7.7; and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Section 6.7.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p>
    <w:p>
      <w:pPr>
        <w:pStyle w:val="TextBody"/>
        <w:bidi w:val="0"/>
        <w:spacing w:before="240" w:after="0"/>
        <w:jc w:val="left"/>
        <w:rPr>
          <w:rFonts w:ascii="Times New Roman" w:hAnsi="Times New Roman"/>
          <w:sz w:val="20"/>
        </w:rPr>
      </w:pPr>
      <w:r>
        <w:rPr>
          <w:rFonts w:ascii="Times New Roman" w:hAnsi="Times New Roman"/>
          <w:sz w:val="20"/>
        </w:rPr>
        <w:t>Section 6.8. </w:t>
      </w:r>
      <w:r>
        <w:rPr>
          <w:rFonts w:ascii="Times New Roman" w:hAnsi="Times New Roman"/>
          <w:sz w:val="20"/>
          <w:u w:val="single"/>
        </w:rPr>
        <w:t>Unconditional Right of Holders to Receive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Section 6.9.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Section 6.12.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Section 6.13.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and no implied covenants or obligations will be read into this Indenture against the Trustee.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does not limit the effect of paragraph (b)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paragraph (a),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costs, expenses and liabilities which might be incurred by it in performing such duty or exercising such right or power.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Notice Agent, the Registrar, any authenticating agent and the Trustee when acting in any other capacity hereunder shall be entitled to the protections and immunities as are set forth in this Article VII. </w:t>
      </w:r>
    </w:p>
    <w:p>
      <w:pPr>
        <w:pStyle w:val="TextBody"/>
        <w:bidi w:val="0"/>
        <w:spacing w:before="12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its right to be indemnified, are extended to, and will be enforceable by, the Trustee in each of its capacities under this Indenture. </w:t>
      </w:r>
    </w:p>
    <w:p>
      <w:pPr>
        <w:pStyle w:val="TextBody"/>
        <w:bidi w:val="0"/>
        <w:spacing w:before="240" w:after="0"/>
        <w:jc w:val="left"/>
        <w:rPr>
          <w:rFonts w:ascii="Times New Roman" w:hAnsi="Times New Roman"/>
          <w:sz w:val="20"/>
        </w:rPr>
      </w:pPr>
      <w:r>
        <w:rPr>
          <w:rFonts w:ascii="Times New Roman" w:hAnsi="Times New Roman"/>
          <w:sz w:val="20"/>
        </w:rPr>
        <w:t>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Depositary shall be deemed an agent of the Trustee, and the Trustee shall not be responsible for any act or omission by any Depositary.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In no event shall the Trustee be liable to any person for special, punitive, indirect, consequential or incidental loss or damage of any kind whatsoever (including but not limited to lost profits), even if the Trustee has been advised of the likelihood of such loss or damage. </w:t>
      </w:r>
    </w:p>
    <w:p>
      <w:pPr>
        <w:pStyle w:val="TextBody"/>
        <w:bidi w:val="0"/>
        <w:spacing w:before="12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120" w:after="0"/>
        <w:jc w:val="left"/>
        <w:rPr>
          <w:rFonts w:ascii="Times New Roman" w:hAnsi="Times New Roman"/>
          <w:sz w:val="20"/>
        </w:rPr>
      </w:pPr>
      <w:r>
        <w:rPr>
          <w:rFonts w:ascii="Times New Roman" w:hAnsi="Times New Roman"/>
          <w:sz w:val="20"/>
        </w:rPr>
        <w:t xml:space="preserve">(k) The Trustee will not be required to give any bond or surety in respect of the execution of this Indenture or otherwise. </w:t>
      </w:r>
    </w:p>
    <w:p>
      <w:pPr>
        <w:pStyle w:val="TextBody"/>
        <w:bidi w:val="0"/>
        <w:spacing w:before="240" w:after="0"/>
        <w:jc w:val="left"/>
        <w:rPr>
          <w:rFonts w:ascii="Times New Roman" w:hAnsi="Times New Roman"/>
          <w:sz w:val="20"/>
        </w:rPr>
      </w:pPr>
      <w:r>
        <w:rPr>
          <w:rFonts w:ascii="Times New Roman" w:hAnsi="Times New Roman"/>
          <w:sz w:val="20"/>
        </w:rPr>
        <w:t>Section 7.3.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Section 7.5.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 </w:t>
      </w:r>
    </w:p>
    <w:p>
      <w:pPr>
        <w:pStyle w:val="TextBody"/>
        <w:bidi w:val="0"/>
        <w:spacing w:before="240" w:after="0"/>
        <w:jc w:val="left"/>
        <w:rPr>
          <w:rFonts w:ascii="Times New Roman" w:hAnsi="Times New Roman"/>
          <w:sz w:val="20"/>
        </w:rPr>
      </w:pPr>
      <w:r>
        <w:rPr>
          <w:rFonts w:ascii="Times New Roman" w:hAnsi="Times New Roman"/>
          <w:sz w:val="20"/>
        </w:rPr>
        <w:t>Section 7.6.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after each anniversary of the date of this Indenture, the Trustee shall transmit by mail to all Holders, as their names and addresses appear on the register kept by the Registrar, a brief report dated as of such anniversary date, in accordance with, and to the extent required under, TIA § 313.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Section 7.7.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6.1(d) or (e)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Section 7.8.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240" w:after="0"/>
        <w:jc w:val="left"/>
        <w:rPr>
          <w:rFonts w:ascii="Times New Roman" w:hAnsi="Times New Roman"/>
          <w:sz w:val="20"/>
        </w:rPr>
      </w:pPr>
      <w:r>
        <w:rPr>
          <w:rFonts w:ascii="Times New Roman" w:hAnsi="Times New Roman"/>
          <w:sz w:val="20"/>
        </w:rPr>
        <w:t>Section 7.9.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 </w:t>
      </w:r>
    </w:p>
    <w:p>
      <w:pPr>
        <w:pStyle w:val="TextBody"/>
        <w:bidi w:val="0"/>
        <w:spacing w:before="240" w:after="0"/>
        <w:jc w:val="left"/>
        <w:rPr>
          <w:rFonts w:ascii="Times New Roman" w:hAnsi="Times New Roman"/>
          <w:sz w:val="20"/>
        </w:rPr>
      </w:pPr>
      <w:r>
        <w:rPr>
          <w:rFonts w:ascii="Times New Roman" w:hAnsi="Times New Roman"/>
          <w:sz w:val="20"/>
        </w:rPr>
        <w:t>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 </w:t>
      </w:r>
    </w:p>
    <w:p>
      <w:pPr>
        <w:pStyle w:val="TextBody"/>
        <w:bidi w:val="0"/>
        <w:spacing w:before="240" w:after="0"/>
        <w:jc w:val="left"/>
        <w:rPr>
          <w:rFonts w:ascii="Times New Roman" w:hAnsi="Times New Roman"/>
          <w:sz w:val="20"/>
        </w:rPr>
      </w:pPr>
      <w:r>
        <w:rPr>
          <w:rFonts w:ascii="Times New Roman" w:hAnsi="Times New Roman"/>
          <w:sz w:val="20"/>
        </w:rPr>
        <w:t>Section 7.11.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Section 8.1.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Securities that have been destroyed, lost or stolen and that have been replaced or paid)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by reason of sending a notice of redemption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w:t>
      </w:r>
    </w:p>
    <w:p>
      <w:pPr>
        <w:pStyle w:val="TextBody"/>
        <w:bidi w:val="0"/>
        <w:spacing w:before="12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(4) are deemed paid and discharged pursuant to Section 8.3,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provided for relating to the satisfaction and discharge contemplated by this Section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 </w:t>
      </w:r>
    </w:p>
    <w:p>
      <w:pPr>
        <w:pStyle w:val="TextBody"/>
        <w:bidi w:val="0"/>
        <w:spacing w:before="240" w:after="0"/>
        <w:jc w:val="left"/>
        <w:rPr>
          <w:rFonts w:ascii="Times New Roman" w:hAnsi="Times New Roman"/>
          <w:sz w:val="20"/>
        </w:rPr>
      </w:pPr>
      <w:r>
        <w:rPr>
          <w:rFonts w:ascii="Times New Roman" w:hAnsi="Times New Roman"/>
          <w:sz w:val="20"/>
        </w:rPr>
        <w:t>Section 8.2. </w:t>
      </w:r>
      <w:r>
        <w:rPr>
          <w:rFonts w:ascii="Times New Roman" w:hAnsi="Times New Roman"/>
          <w:sz w:val="20"/>
          <w:u w:val="single"/>
        </w:rPr>
        <w:t>Application of Trust Funds;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Section 8.3. </w:t>
      </w:r>
      <w:r>
        <w:rPr>
          <w:rFonts w:ascii="Times New Roman" w:hAnsi="Times New Roman"/>
          <w:sz w:val="20"/>
          <w:u w:val="single"/>
        </w:rPr>
        <w:t>Legal Defeasance of Securities of any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Sections 2.4, 2.5, 2.7, 2.8, 7.7, 8.2, 8.3, 8.5 and 8.6;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trusts and immunities of the Trustee hereunder and the Company’s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Section 8.4.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Section 8.5.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sz w:val="20"/>
        </w:rPr>
        <w:t>Section 8.6.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Section 9.1.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w:t>
      </w:r>
    </w:p>
    <w:p>
      <w:pPr>
        <w:pStyle w:val="TextBody"/>
        <w:bidi w:val="0"/>
        <w:spacing w:before="120" w:after="0"/>
        <w:jc w:val="left"/>
        <w:rPr>
          <w:rFonts w:ascii="Times New Roman" w:hAnsi="Times New Roman"/>
          <w:sz w:val="20"/>
        </w:rPr>
      </w:pPr>
      <w:r>
        <w:rPr>
          <w:rFonts w:ascii="Times New Roman" w:hAnsi="Times New Roman"/>
          <w:sz w:val="20"/>
        </w:rPr>
        <w:t xml:space="preserve">(b) to comply with Article V; </w:t>
      </w:r>
    </w:p>
    <w:p>
      <w:pPr>
        <w:pStyle w:val="TextBody"/>
        <w:bidi w:val="0"/>
        <w:spacing w:before="12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(d) to add guarantees with respect to Securities of any Series or secure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(e) to surrender any of the Company’s rights or powers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(f) to add covenants or events of default for the benefit of the holders of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(g) to comply with the applicable procedures of the applicable depositary; </w:t>
      </w:r>
    </w:p>
    <w:p>
      <w:pPr>
        <w:pStyle w:val="TextBody"/>
        <w:bidi w:val="0"/>
        <w:spacing w:before="120" w:after="0"/>
        <w:jc w:val="left"/>
        <w:rPr>
          <w:rFonts w:ascii="Times New Roman" w:hAnsi="Times New Roman"/>
          <w:sz w:val="20"/>
        </w:rPr>
      </w:pPr>
      <w:r>
        <w:rPr>
          <w:rFonts w:ascii="Times New Roman" w:hAnsi="Times New Roman"/>
          <w:sz w:val="20"/>
        </w:rPr>
        <w:t xml:space="preserve">(h) to make any change that does not adversely affect the rights of any Holder; </w:t>
      </w:r>
    </w:p>
    <w:p>
      <w:pPr>
        <w:pStyle w:val="TextBody"/>
        <w:bidi w:val="0"/>
        <w:spacing w:before="12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 </w:t>
      </w:r>
    </w:p>
    <w:p>
      <w:pPr>
        <w:pStyle w:val="TextBody"/>
        <w:bidi w:val="0"/>
        <w:spacing w:before="12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240" w:after="0"/>
        <w:jc w:val="left"/>
        <w:rPr>
          <w:rFonts w:ascii="Times New Roman" w:hAnsi="Times New Roman"/>
          <w:sz w:val="20"/>
        </w:rPr>
      </w:pPr>
      <w:r>
        <w:rPr>
          <w:rFonts w:ascii="Times New Roman" w:hAnsi="Times New Roman"/>
          <w:sz w:val="20"/>
        </w:rPr>
        <w:t>Section 9.2.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each 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6.8, 6.13 or 9.3 (this sentence);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provided that such redemption is made at the Company’s option. </w:t>
      </w:r>
    </w:p>
    <w:p>
      <w:pPr>
        <w:pStyle w:val="TextBody"/>
        <w:bidi w:val="0"/>
        <w:spacing w:before="240" w:after="0"/>
        <w:jc w:val="left"/>
        <w:rPr>
          <w:rFonts w:ascii="Times New Roman" w:hAnsi="Times New Roman"/>
          <w:sz w:val="20"/>
        </w:rPr>
      </w:pPr>
      <w:r>
        <w:rPr>
          <w:rFonts w:ascii="Times New Roman" w:hAnsi="Times New Roman"/>
          <w:sz w:val="20"/>
        </w:rPr>
        <w:t>Section 9.4.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Section 9.5.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240" w:after="0"/>
        <w:jc w:val="left"/>
        <w:rPr>
          <w:rFonts w:ascii="Times New Roman" w:hAnsi="Times New Roman"/>
          <w:sz w:val="20"/>
        </w:rPr>
      </w:pPr>
      <w:r>
        <w:rPr>
          <w:rFonts w:ascii="Times New Roman" w:hAnsi="Times New Roman"/>
          <w:sz w:val="20"/>
        </w:rPr>
        <w:t>Section 9.6.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sz w:val="20"/>
        </w:rPr>
        <w:t>Section 9.7. </w:t>
      </w:r>
      <w:r>
        <w:rPr>
          <w:rFonts w:ascii="Times New Roman" w:hAnsi="Times New Roman"/>
          <w:sz w:val="20"/>
          <w:u w:val="single"/>
        </w:rPr>
        <w:t>Trustee Protected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Section 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Erasca, Inc. </w:t>
      </w:r>
    </w:p>
    <w:p>
      <w:pPr>
        <w:pStyle w:val="TextBody"/>
        <w:bidi w:val="0"/>
        <w:spacing w:before="0" w:after="0"/>
        <w:jc w:val="left"/>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Ebun Garner,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(858) 465-6511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12670 High Bluff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92130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T. Bush </w:t>
      </w:r>
    </w:p>
    <w:p>
      <w:pPr>
        <w:pStyle w:val="TextBody"/>
        <w:bidi w:val="0"/>
        <w:spacing w:before="0" w:after="0"/>
        <w:jc w:val="left"/>
        <w:rPr>
          <w:rFonts w:ascii="Times New Roman" w:hAnsi="Times New Roman"/>
          <w:sz w:val="20"/>
        </w:rPr>
      </w:pPr>
      <w:r>
        <w:rPr>
          <w:rFonts w:ascii="Times New Roman" w:hAnsi="Times New Roman"/>
          <w:sz w:val="20"/>
        </w:rPr>
        <w:t xml:space="preserve">Telephone: (858) 523-3962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 </w:t>
      </w:r>
    </w:p>
    <w:p>
      <w:pPr>
        <w:pStyle w:val="TextBody"/>
        <w:bidi w:val="0"/>
        <w:spacing w:before="0" w:after="0"/>
        <w:jc w:val="left"/>
        <w:rPr>
          <w:rFonts w:ascii="Times New Roman" w:hAnsi="Times New Roman"/>
          <w:sz w:val="20"/>
        </w:rPr>
      </w:pPr>
      <w:r>
        <w:rPr>
          <w:rFonts w:ascii="Times New Roman" w:hAnsi="Times New Roman"/>
          <w:sz w:val="20"/>
        </w:rPr>
        <w:t xml:space="preserve">Telephone: [____]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 </w:t>
      </w:r>
    </w:p>
    <w:p>
      <w:pPr>
        <w:pStyle w:val="TextBody"/>
        <w:bidi w:val="0"/>
        <w:spacing w:before="0" w:after="0"/>
        <w:jc w:val="left"/>
        <w:rPr>
          <w:rFonts w:ascii="Times New Roman" w:hAnsi="Times New Roman"/>
          <w:sz w:val="20"/>
        </w:rPr>
      </w:pPr>
      <w:r>
        <w:rPr>
          <w:rFonts w:ascii="Times New Roman" w:hAnsi="Times New Roman"/>
          <w:sz w:val="20"/>
        </w:rPr>
        <w:t xml:space="preserve">Telephone: [____]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sent or published in the manner provided above, within the time prescribed, it is duly given, whether or not the 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sends a notice or communication to Holders, it shall send a copy to the Trustee and each Agent at the same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Section 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Section 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Section 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statement that, in the opinion of such person, such person has made such examination or investigation as is necessary to enable such person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Section 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 meeting of 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Section 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payment date for any payment made under this Indenture is not a Business Day, payment may be made on the next succeeding Business 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Section 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Section 10.9.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10.10. </w:t>
      </w:r>
      <w:r>
        <w:rPr>
          <w:rFonts w:ascii="Times New Roman" w:hAnsi="Times New Roman"/>
          <w:sz w:val="20"/>
          <w:u w:val="single"/>
        </w:rPr>
        <w:t>Governing Law; Waiver of Jury Trial; Consent to Jurisdiction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INDENTURE AND THE SECURITIES, INCLUDING ANY CLAIM OR CONTROVERSY ARISING OUT OF OR RELATING TO THE INDENTURE OR THE SECURITIES, SHALL BE GOVERNED BY THE LAWS OF THE STATE OF NEW YORK.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Section 10.11.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Section 10.12.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Section 10.13.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Section 10.14.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 Reference Table,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10.15.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Section 10.16.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sz w:val="20"/>
        </w:rPr>
        <w:t>New York Banking Day</w:t>
      </w:r>
      <w:r>
        <w:rPr>
          <w:rFonts w:ascii="Times New Roman" w:hAnsi="Times New Roman"/>
          <w:sz w:val="20"/>
        </w:rPr>
        <w:t xml:space="preserve">” means any day except a Saturday, Sunday or a legal holiday in the City of New York on which banking institutions are authorized or required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Section 10.17.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Section 10.18.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Section 11.1.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11.2.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Section 11.3.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5"/>
        <w:gridCol w:w="76"/>
        <w:gridCol w:w="3461"/>
      </w:tblGrid>
      <w:tr>
        <w:trPr/>
        <w:tc>
          <w:tcPr>
            <w:tcW w:w="54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ERASCA, INC.</w:t>
            </w:r>
          </w:p>
        </w:tc>
      </w:tr>
      <w:tr>
        <w:trPr>
          <w:trHeight w:val="240" w:hRule="atLeast"/>
        </w:trPr>
        <w:tc>
          <w:tcPr>
            <w:tcW w:w="545"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461" w:type="dxa"/>
            <w:tcBorders>
              <w:bottom w:val="single" w:sz="2" w:space="0" w:color="000000"/>
            </w:tcBorders>
            <w:tcMar>
              <w:bottom w:w="28" w:type="dxa"/>
            </w:tcMar>
          </w:tcPr>
          <w:p>
            <w:pPr>
              <w:pStyle w:val="TableContents"/>
              <w:bidi w:val="0"/>
              <w:spacing w:before="0" w:after="283"/>
              <w:jc w:val="left"/>
              <w:rPr/>
            </w:pPr>
            <w:r>
              <w:rPr/>
              <w:t> </w:t>
            </w:r>
          </w:p>
        </w:tc>
      </w:tr>
      <w:tr>
        <w:trPr/>
        <w:tc>
          <w:tcPr>
            <w:tcW w:w="545"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461" w:type="dxa"/>
            <w:tcBorders/>
            <w:vAlign w:val="bottom"/>
          </w:tcPr>
          <w:p>
            <w:pPr>
              <w:pStyle w:val="TableContents"/>
              <w:bidi w:val="0"/>
              <w:spacing w:before="0" w:after="283"/>
              <w:jc w:val="left"/>
              <w:rPr/>
            </w:pPr>
            <w:r>
              <w:rPr/>
              <w:t>Name:</w:t>
            </w:r>
          </w:p>
        </w:tc>
      </w:tr>
      <w:tr>
        <w:trPr/>
        <w:tc>
          <w:tcPr>
            <w:tcW w:w="545"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461" w:type="dxa"/>
            <w:tcBorders/>
            <w:vAlign w:val="bottom"/>
          </w:tcPr>
          <w:p>
            <w:pPr>
              <w:pStyle w:val="TableContents"/>
              <w:bidi w:val="0"/>
              <w:spacing w:before="0" w:after="283"/>
              <w:jc w:val="left"/>
              <w:rPr/>
            </w:pPr>
            <w:r>
              <w:rPr/>
              <w:t>Its: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 as Trustee</w:t>
            </w:r>
          </w:p>
        </w:tc>
      </w:tr>
      <w:tr>
        <w:trPr>
          <w:trHeight w:val="240" w:hRule="atLeast"/>
        </w:trPr>
        <w:tc>
          <w:tcPr>
            <w:tcW w:w="545"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461" w:type="dxa"/>
            <w:tcBorders>
              <w:bottom w:val="single" w:sz="2" w:space="0" w:color="000000"/>
            </w:tcBorders>
            <w:tcMar>
              <w:bottom w:w="28" w:type="dxa"/>
            </w:tcMar>
          </w:tcPr>
          <w:p>
            <w:pPr>
              <w:pStyle w:val="TableContents"/>
              <w:bidi w:val="0"/>
              <w:spacing w:before="0" w:after="283"/>
              <w:jc w:val="left"/>
              <w:rPr/>
            </w:pPr>
            <w:r>
              <w:rPr/>
              <w:t> </w:t>
            </w:r>
          </w:p>
        </w:tc>
      </w:tr>
      <w:tr>
        <w:trPr/>
        <w:tc>
          <w:tcPr>
            <w:tcW w:w="545"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4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45"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4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r>
    </w:tbl>
    <w:p>
      <w:pPr>
        <w:pStyle w:val="TextBody"/>
        <w:bidi w:val="0"/>
        <w:spacing w:before="0" w:after="0"/>
        <w:jc w:val="right"/>
        <w:rPr>
          <w:rFonts w:ascii="Times New Roman" w:hAnsi="Times New Roman"/>
          <w:b/>
          <w:sz w:val="20"/>
        </w:rPr>
      </w:pPr>
      <w:bookmarkStart w:id="19" w:name="d133579dex51.htm"/>
      <w:bookmarkStart w:id="20" w:name="ksd133579dex51"/>
      <w:bookmarkEnd w:id="19"/>
      <w:bookmarkEnd w:id="20"/>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9"/>
        <w:gridCol w:w="120"/>
        <w:gridCol w:w="1637"/>
        <w:gridCol w:w="120"/>
        <w:gridCol w:w="1639"/>
      </w:tblGrid>
      <w:tr>
        <w:trPr/>
        <w:tc>
          <w:tcPr>
            <w:tcW w:w="66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9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12670 High Bluff Drive</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9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 Diego, California 92130</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9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Tel: +1.858.523.5400 Fax: +1.858.523.5450</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www.lw.com</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89" w:type="dxa"/>
            <w:tcBorders/>
            <w:vAlign w:val="center"/>
          </w:tcPr>
          <w:p>
            <w:pPr>
              <w:pStyle w:val="TableContents"/>
              <w:bidi w:val="0"/>
              <w:spacing w:before="0" w:after="283"/>
              <w:jc w:val="left"/>
              <w:rPr>
                <w:sz w:val="4"/>
                <w:szCs w:val="4"/>
              </w:rPr>
            </w:pPr>
            <w:r>
              <w:rPr>
                <w:sz w:val="4"/>
                <w:szCs w:val="4"/>
              </w:rPr>
            </w:r>
          </w:p>
        </w:tc>
        <w:tc>
          <w:tcPr>
            <w:tcW w:w="3516" w:type="dxa"/>
            <w:gridSpan w:val="4"/>
            <w:tcBorders/>
            <w:vAlign w:val="center"/>
          </w:tcPr>
          <w:p>
            <w:pPr>
              <w:pStyle w:val="TableContents"/>
              <w:bidi w:val="0"/>
              <w:spacing w:before="0" w:after="283"/>
              <w:jc w:val="left"/>
              <w:rPr>
                <w:sz w:val="4"/>
                <w:szCs w:val="4"/>
              </w:rPr>
            </w:pPr>
            <w:r>
              <w:rPr>
                <w:sz w:val="4"/>
                <w:szCs w:val="4"/>
              </w:rPr>
            </w:r>
          </w:p>
        </w:tc>
      </w:tr>
      <w:tr>
        <w:trPr/>
        <w:tc>
          <w:tcPr>
            <w:tcW w:w="6689" w:type="dxa"/>
            <w:vMerge w:val="restart"/>
            <w:tcBorders/>
          </w:tcPr>
          <w:p>
            <w:pPr>
              <w:pStyle w:val="TableContents"/>
              <w:bidi w:val="0"/>
              <w:spacing w:before="0" w:after="283"/>
              <w:jc w:val="left"/>
              <w:rPr/>
            </w:pPr>
            <w:r>
              <w:rPr/>
              <w:drawing>
                <wp:inline distT="0" distB="0" distL="0" distR="0">
                  <wp:extent cx="26384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638425" cy="285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39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FIRM / AFFILIATE OFFICES</w:t>
            </w:r>
          </w:p>
        </w:tc>
      </w:tr>
      <w:tr>
        <w:trPr/>
        <w:tc>
          <w:tcPr>
            <w:tcW w:w="668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Austin</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Milan</w:t>
            </w:r>
          </w:p>
        </w:tc>
      </w:tr>
      <w:tr>
        <w:trPr/>
        <w:tc>
          <w:tcPr>
            <w:tcW w:w="668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Beijing</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Munich</w:t>
            </w:r>
          </w:p>
        </w:tc>
      </w:tr>
      <w:tr>
        <w:trPr/>
        <w:tc>
          <w:tcPr>
            <w:tcW w:w="668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Boston</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New York</w:t>
            </w:r>
          </w:p>
        </w:tc>
      </w:tr>
      <w:tr>
        <w:trPr/>
        <w:tc>
          <w:tcPr>
            <w:tcW w:w="668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Brussels</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Orange County</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Chicago</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Paris</w:t>
            </w:r>
          </w:p>
        </w:tc>
      </w:tr>
      <w:tr>
        <w:trPr/>
        <w:tc>
          <w:tcPr>
            <w:tcW w:w="66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July 13, 2026</w:t>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Dubai</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Riyadh</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Düsseldorf</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 Diego</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Frankfurt</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 Francisco</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Hamburg</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Seoul</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Silicon Valley</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Houston</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Singapore</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London</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Tel Aviv</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 Angeles</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Tokyo</w:t>
            </w:r>
          </w:p>
        </w:tc>
      </w:tr>
      <w:tr>
        <w:trPr/>
        <w:tc>
          <w:tcPr>
            <w:tcW w:w="668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Madrid</w:t>
            </w:r>
          </w:p>
        </w:tc>
        <w:tc>
          <w:tcPr>
            <w:tcW w:w="12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Erasca, Inc. </w:t>
      </w:r>
    </w:p>
    <w:p>
      <w:pPr>
        <w:pStyle w:val="TextBody"/>
        <w:bidi w:val="0"/>
        <w:spacing w:before="0" w:after="0"/>
        <w:jc w:val="left"/>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240" w:after="0"/>
        <w:jc w:val="left"/>
        <w:rPr>
          <w:rFonts w:ascii="Times New Roman" w:hAnsi="Times New Roman"/>
          <w:sz w:val="20"/>
        </w:rPr>
      </w:pPr>
      <w:r>
        <w:rPr>
          <w:rFonts w:ascii="Times New Roman" w:hAnsi="Times New Roman"/>
          <w:sz w:val="20"/>
        </w:rPr>
        <w:t>We have acted as special counsel to Erasca, Inc., a Delaware corporation (the “</w:t>
      </w:r>
      <w:r>
        <w:rPr>
          <w:rFonts w:ascii="Times New Roman" w:hAnsi="Times New Roman"/>
          <w:b/>
          <w:i/>
          <w:sz w:val="20"/>
        </w:rPr>
        <w:t>Company</w:t>
      </w:r>
      <w:r>
        <w:rPr>
          <w:rFonts w:ascii="Times New Roman" w:hAnsi="Times New Roman"/>
          <w:sz w:val="20"/>
        </w:rPr>
        <w:t>”), in connection with its filing on the date hereof with the Securities and Exchange Commission (the “</w:t>
      </w:r>
      <w:r>
        <w:rPr>
          <w:rFonts w:ascii="Times New Roman" w:hAnsi="Times New Roman"/>
          <w:b/>
          <w:i/>
          <w:sz w:val="20"/>
        </w:rPr>
        <w:t>Commission</w:t>
      </w:r>
      <w:r>
        <w:rPr>
          <w:rFonts w:ascii="Times New Roman" w:hAnsi="Times New Roman"/>
          <w:sz w:val="20"/>
        </w:rPr>
        <w:t>”) of a registration statement on Form S-3 (as amended, the “</w:t>
      </w:r>
      <w:r>
        <w:rPr>
          <w:rFonts w:ascii="Times New Roman" w:hAnsi="Times New Roman"/>
          <w:b/>
          <w:i/>
          <w:sz w:val="20"/>
        </w:rPr>
        <w:t>Registration Statement</w:t>
      </w:r>
      <w:r>
        <w:rPr>
          <w:rFonts w:ascii="Times New Roman" w:hAnsi="Times New Roman"/>
          <w:sz w:val="20"/>
        </w:rPr>
        <w:t>”), including a base prospectus (the “</w:t>
      </w:r>
      <w:r>
        <w:rPr>
          <w:rFonts w:ascii="Times New Roman" w:hAnsi="Times New Roman"/>
          <w:b/>
          <w:i/>
          <w:sz w:val="20"/>
        </w:rPr>
        <w:t>Base Prospectus</w:t>
      </w:r>
      <w:r>
        <w:rPr>
          <w:rFonts w:ascii="Times New Roman" w:hAnsi="Times New Roman"/>
          <w:sz w:val="20"/>
        </w:rPr>
        <w:t>”), which provides that it will be supplemented by one or more prospectus supplements (each such prospectus supplement, together with the Base Prospectus, a “</w:t>
      </w:r>
      <w:r>
        <w:rPr>
          <w:rFonts w:ascii="Times New Roman" w:hAnsi="Times New Roman"/>
          <w:b/>
          <w:i/>
          <w:sz w:val="20"/>
        </w:rPr>
        <w:t>Prospectus</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relating to the registration for issue and sale by the Company of (i) shares of the Company’s common stock, $0.0001 par value per share (“</w:t>
      </w:r>
      <w:r>
        <w:rPr>
          <w:rFonts w:ascii="Times New Roman" w:hAnsi="Times New Roman"/>
          <w:b/>
          <w:i/>
          <w:sz w:val="20"/>
        </w:rPr>
        <w:t>Common Stock</w:t>
      </w:r>
      <w:r>
        <w:rPr>
          <w:rFonts w:ascii="Times New Roman" w:hAnsi="Times New Roman"/>
          <w:sz w:val="20"/>
        </w:rPr>
        <w:t>”), (ii) shares of one or more series of the Company’s preferred stock, $0.0001 par value per share (“</w:t>
      </w:r>
      <w:r>
        <w:rPr>
          <w:rFonts w:ascii="Times New Roman" w:hAnsi="Times New Roman"/>
          <w:b/>
          <w:i/>
          <w:sz w:val="20"/>
        </w:rPr>
        <w:t>Preferred Stock</w:t>
      </w:r>
      <w:r>
        <w:rPr>
          <w:rFonts w:ascii="Times New Roman" w:hAnsi="Times New Roman"/>
          <w:sz w:val="20"/>
        </w:rPr>
        <w:t>”), (iii) one or more series of the Company’s debt securities (collectively, “</w:t>
      </w:r>
      <w:r>
        <w:rPr>
          <w:rFonts w:ascii="Times New Roman" w:hAnsi="Times New Roman"/>
          <w:b/>
          <w:i/>
          <w:sz w:val="20"/>
        </w:rPr>
        <w:t>Debt Securities</w:t>
      </w:r>
      <w:r>
        <w:rPr>
          <w:rFonts w:ascii="Times New Roman" w:hAnsi="Times New Roman"/>
          <w:sz w:val="20"/>
        </w:rPr>
        <w:t>”) to be issued under an indenture to be entered into between the Company, as issuer, and a trustee (a form of which is included as Exhibit 4.4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hAnsi="Times New Roman"/>
          <w:b/>
          <w:i/>
          <w:sz w:val="20"/>
        </w:rPr>
        <w:t>Applicable Indenture</w:t>
      </w:r>
      <w:r>
        <w:rPr>
          <w:rFonts w:ascii="Times New Roman" w:hAnsi="Times New Roman"/>
          <w:sz w:val="20"/>
        </w:rPr>
        <w:t>”), (iv) warrants to purchase Common Stock, Preferred Stock, or Debt Securities (“</w:t>
      </w:r>
      <w:r>
        <w:rPr>
          <w:rFonts w:ascii="Times New Roman" w:hAnsi="Times New Roman"/>
          <w:b/>
          <w:i/>
          <w:sz w:val="20"/>
        </w:rPr>
        <w:t>Warrants</w:t>
      </w:r>
      <w:r>
        <w:rPr>
          <w:rFonts w:ascii="Times New Roman" w:hAnsi="Times New Roman"/>
          <w:sz w:val="20"/>
        </w:rPr>
        <w:t>”), and (v) units consisting of two or more of the Securities (as defined below) (“</w:t>
      </w:r>
      <w:r>
        <w:rPr>
          <w:rFonts w:ascii="Times New Roman" w:hAnsi="Times New Roman"/>
          <w:b/>
          <w:i/>
          <w:sz w:val="20"/>
        </w:rPr>
        <w:t>Units</w:t>
      </w:r>
      <w:r>
        <w:rPr>
          <w:rFonts w:ascii="Times New Roman" w:hAnsi="Times New Roman"/>
          <w:sz w:val="20"/>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 w:hAnsi="Times New Roman"/>
          <w:b/>
          <w:i/>
          <w:sz w:val="20"/>
        </w:rPr>
        <w:t>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1838325"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2. When a series of Preferred Stock has been duly established in accordance with the terms of the Company’s Amended and Restated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1838325"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4.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5. 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4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228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2"/>
                    <a:stretch>
                      <a:fillRect/>
                    </a:stretch>
                  </pic:blipFill>
                  <pic:spPr bwMode="auto">
                    <a:xfrm>
                      <a:off x="0" y="0"/>
                      <a:ext cx="1838325"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each of the Debt Securities, Warrants and Units and the Applicable Indenture, warrant agreements and unit agreements governing such Securities (collectively, the “</w:t>
      </w:r>
      <w:r>
        <w:rPr>
          <w:rFonts w:ascii="Times New Roman" w:hAnsi="Times New Roman"/>
          <w:b/>
          <w:i/>
          <w:sz w:val="20"/>
        </w:rPr>
        <w:t>Documents</w:t>
      </w:r>
      <w:r>
        <w:rPr>
          <w:rFonts w:ascii="Times New Roman" w:hAnsi="Times New Roman"/>
          <w:sz w:val="20"/>
        </w:rPr>
        <w:t xml:space="preserve">”)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21" w:name="d133579dex231.htm"/>
      <w:bookmarkStart w:id="22" w:name="ksd133579dex231"/>
      <w:bookmarkEnd w:id="21"/>
      <w:bookmarkEnd w:id="22"/>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12, 2026, with respect to the consolidated financial statements of Erasca, Inc. and subsidiaries, incorporated herein by reference, and to the reference to our firm under the heading “Experts” in the prospectus.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July 13, 2026 </w:t>
      </w:r>
    </w:p>
    <w:p>
      <w:pPr>
        <w:pStyle w:val="Normal"/>
        <w:bidi w:val="0"/>
        <w:spacing w:before="0" w:after="0"/>
        <w:jc w:val="left"/>
        <w:rPr>
          <w:sz w:val="4"/>
          <w:szCs w:val="4"/>
        </w:rPr>
      </w:pPr>
      <w:r>
        <w:rPr>
          <w:sz w:val="4"/>
          <w:szCs w:val="4"/>
        </w:rPr>
      </w:r>
      <w:bookmarkStart w:id="23" w:name="d133579dexfilingfees.htm"/>
      <w:bookmarkStart w:id="24" w:name="ksd133579dexfilingfees"/>
      <w:bookmarkStart w:id="25" w:name="d133579dexfilingfees.htm"/>
      <w:bookmarkStart w:id="26" w:name="ksd133579dexfilingfees"/>
      <w:bookmarkEnd w:id="25"/>
      <w:bookmarkEnd w:id="26"/>
      <w:r>
        <w:br w:type="page"/>
      </w:r>
    </w:p>
    <w:tbl>
      <w:tblPr>
        <w:tblW w:w="3549" w:type="dxa"/>
        <w:jc w:val="left"/>
        <w:tblInd w:w="0" w:type="dxa"/>
        <w:tblLayout w:type="fixed"/>
        <w:tblCellMar>
          <w:top w:w="28" w:type="dxa"/>
          <w:left w:w="28" w:type="dxa"/>
          <w:bottom w:w="28" w:type="dxa"/>
          <w:right w:w="28" w:type="dxa"/>
        </w:tblCellMar>
      </w:tblPr>
      <w:tblGrid>
        <w:gridCol w:w="3395"/>
        <w:gridCol w:w="154"/>
      </w:tblGrid>
      <w:tr>
        <w:trPr/>
        <w:tc>
          <w:tcPr>
            <w:tcW w:w="354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b/>
              </w:rPr>
            </w:pPr>
            <w:r>
              <w:rPr>
                <w:b/>
              </w:rPr>
              <w:t xml:space="preserve">Erasca,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7" w:name="MaxAggtOfferingPrice"/>
            <w:bookmarkEnd w:id="27"/>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4"/>
        <w:gridCol w:w="8709"/>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The amount registered includes rights to acquire common stock or preferred stock of Erasca, Inc. (the "Registrant") under any shareholder rights plan then in effect, if applicable under the terms of any such plan.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 In accordance with Rules 456(b) and 457(r) under the Securities Act of 1933, as amended ("Securities Act"), the Registrant is deferring payment of the entire registration fee.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61918/000119312526104150/eras-20251231.htm" TargetMode="External"/><Relationship Id="rId4" Type="http://schemas.openxmlformats.org/officeDocument/2006/relationships/hyperlink" Target="http://www.sec.gov/Archives/edgar/data/../../../ix?doc=/Archives/edgar/data/0001761918/000119312526187361/d946333ddef14a.htm" TargetMode="External"/><Relationship Id="rId5" Type="http://schemas.openxmlformats.org/officeDocument/2006/relationships/hyperlink" Target="http://www.sec.gov/Archives/edgar/data/../../../ix?doc=/Archives/edgar/data/1761918/000119312526187361/d946333ddef14a.htm" TargetMode="External"/><Relationship Id="rId6" Type="http://schemas.openxmlformats.org/officeDocument/2006/relationships/hyperlink" Target="http://www.sec.gov/Archives/edgar/data/../../../ix?doc=/Archives/edgar/data/1761918/000119312526216788/eras-20260331.htm" TargetMode="External"/><Relationship Id="rId7" Type="http://schemas.openxmlformats.org/officeDocument/2006/relationships/hyperlink" Target="http://www.sec.gov/Archives/edgar/data/../../../ix?doc=/Archives/edgar/data/1761918/000119312526009820/eras-20260112.htm" TargetMode="External"/><Relationship Id="rId8" Type="http://schemas.openxmlformats.org/officeDocument/2006/relationships/hyperlink" Target="http://www.sec.gov/Archives/edgar/data/../../../ix?doc=/Archives/edgar/data/1761918/000119312526019651/d51429d8k.htm" TargetMode="External"/><Relationship Id="rId9" Type="http://schemas.openxmlformats.org/officeDocument/2006/relationships/hyperlink" Target="http://www.sec.gov/Archives/edgar/data/../../../ix?doc=/Archives/edgar/data/1761918/000119312526029467/eras-20260129.htm" TargetMode="External"/><Relationship Id="rId10" Type="http://schemas.openxmlformats.org/officeDocument/2006/relationships/hyperlink" Target="http://www.sec.gov/Archives/edgar/data/../../../ix?doc=/Archives/edgar/data/1761918/000119312526165297/eras-20260421.htm" TargetMode="External"/><Relationship Id="rId11" Type="http://schemas.openxmlformats.org/officeDocument/2006/relationships/hyperlink" Target="http://www.sec.gov/Archives/edgar/data/../../../ix?doc=/Archives/edgar/data/1761918/000119312526179214/eras-20260427.htm" TargetMode="External"/><Relationship Id="rId12" Type="http://schemas.openxmlformats.org/officeDocument/2006/relationships/hyperlink" Target="http://www.sec.gov/Archives/edgar/data/../../../ix?doc=/Archives/edgar/data/1761918/000119312526182137/d126999d8k.htm" TargetMode="External"/><Relationship Id="rId13" Type="http://schemas.openxmlformats.org/officeDocument/2006/relationships/hyperlink" Target="http://www.sec.gov/Archives/edgar/data/../../../ix?doc=/Archives/edgar/data/1761918/000119312526290881/eras-20260626.htm" TargetMode="External"/><Relationship Id="rId14" Type="http://schemas.openxmlformats.org/officeDocument/2006/relationships/hyperlink" Target="http://www.sec.gov/Archives/edgar/data/1761918/000119312521214084/d203245d8a12b.htm" TargetMode="External"/><Relationship Id="rId15" Type="http://schemas.openxmlformats.org/officeDocument/2006/relationships/hyperlink" Target="http://www.sec.gov/Archives/edgar/data/1761918/000119312521219642/d81810dex31.htm" TargetMode="External"/><Relationship Id="rId16" Type="http://schemas.openxmlformats.org/officeDocument/2006/relationships/hyperlink" Target="http://www.sec.gov/Archives/edgar/data/1761918/000119312521219642/d81810dex32.htm" TargetMode="External"/><Relationship Id="rId17" Type="http://schemas.openxmlformats.org/officeDocument/2006/relationships/hyperlink" Target="http://www.sec.gov/Archives/edgar/data/1761918/000119312521200537/d176019dex41.htm" TargetMode="External"/><Relationship Id="rId18" Type="http://schemas.openxmlformats.org/officeDocument/2006/relationships/hyperlink" Target="http://www.sec.gov/Archives/edgar/data/1761918/000119312521200537/d176019dex42.htm" TargetMode="External"/><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42919</Words>
  <Characters>221194</Characters>
  <CharactersWithSpaces>264778</CharactersWithSpaces>
  <Paragraphs>2867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