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16467d424b5.htm"/>
        <w:bookmarkStart w:id="1" w:name="ksd116467d424b5"/>
        <w:bookmarkEnd w:id="0"/>
        <w:bookmarkEnd w:id="1"/>
        <w:r>
          <w:rPr>
            <w:rStyle w:val="InternetLink"/>
            <w:b/>
            <w:sz w:val="20"/>
          </w:rPr>
          <w:t>Table of Contents</w:t>
        </w:r>
      </w:hyperlink>
    </w:p>
    <w:p>
      <w:pPr>
        <w:pStyle w:val="TextBody"/>
        <w:bidi w:val="0"/>
        <w:spacing w:before="0" w:after="0"/>
        <w:jc w:val="right"/>
        <w:rPr>
          <w:rFonts w:ascii="Arial" w:hAnsi="Arial"/>
          <w:b/>
          <w:sz w:val="20"/>
        </w:rPr>
      </w:pPr>
      <w:r>
        <w:rPr>
          <w:rFonts w:ascii="Arial" w:hAnsi="Arial"/>
          <w:b/>
          <w:sz w:val="20"/>
        </w:rPr>
        <w:t xml:space="preserve">Filed Pursuant to Rule 424(b)(5) </w:t>
        <w:br/>
        <w:t xml:space="preserve">Registration No. 333-297427 </w:t>
      </w:r>
    </w:p>
    <w:p>
      <w:pPr>
        <w:pStyle w:val="TextBody"/>
        <w:bidi w:val="0"/>
        <w:spacing w:before="0" w:after="0"/>
        <w:jc w:val="left"/>
        <w:rPr/>
      </w:pPr>
      <w:r>
        <w:rPr/>
        <w:t> </w:t>
      </w:r>
    </w:p>
    <w:p>
      <w:pPr>
        <w:pStyle w:val="TextBody"/>
        <w:bidi w:val="0"/>
        <w:spacing w:before="0" w:after="0"/>
        <w:jc w:val="left"/>
        <w:rPr>
          <w:rFonts w:ascii="Arial" w:hAnsi="Arial"/>
          <w:b/>
          <w:color w:val="8B3F4E"/>
          <w:sz w:val="20"/>
        </w:rPr>
      </w:pPr>
      <w:r>
        <w:rPr>
          <w:rFonts w:ascii="Arial" w:hAnsi="Arial"/>
          <w:b/>
          <w:color w:val="8B3F4E"/>
          <w:sz w:val="20"/>
        </w:rPr>
        <w:t xml:space="preserve">The information in this preliminary prospectus supplement and the accompanying prospectus is not complete and may be changed. A registration statement relating to the securities has been declared effective by the Securities and Exchange Commission. This preliminary prospectus supplement and the accompanying prospectus are not an offer to sell these securities and are not soliciting offers to buy these securities in any jurisdiction where the offer or sale is not permitted. </w:t>
      </w:r>
    </w:p>
    <w:p>
      <w:pPr>
        <w:pStyle w:val="TextBody"/>
        <w:bidi w:val="0"/>
        <w:spacing w:before="0" w:after="0"/>
        <w:ind w:left="1140" w:right="1140" w:hanging="0"/>
        <w:jc w:val="left"/>
        <w:rPr/>
      </w:pPr>
      <w:r>
        <w:rPr/>
        <w:t> </w:t>
      </w:r>
    </w:p>
    <w:p>
      <w:pPr>
        <w:pStyle w:val="TextBody"/>
        <w:bidi w:val="0"/>
        <w:spacing w:before="0" w:after="0"/>
        <w:ind w:left="1140" w:right="1140" w:hanging="0"/>
        <w:jc w:val="left"/>
        <w:rPr>
          <w:rFonts w:ascii="Arial" w:hAnsi="Arial"/>
          <w:b/>
          <w:color w:val="8B3F4E"/>
          <w:sz w:val="22"/>
        </w:rPr>
      </w:pPr>
      <w:r>
        <w:rPr>
          <w:rFonts w:ascii="Arial" w:hAnsi="Arial"/>
          <w:b/>
          <w:color w:val="8B3F4E"/>
          <w:sz w:val="22"/>
        </w:rPr>
        <w:t xml:space="preserve">Subject to completion, dated July 13, 2026 </w:t>
      </w:r>
    </w:p>
    <w:p>
      <w:pPr>
        <w:pStyle w:val="TextBody"/>
        <w:bidi w:val="0"/>
        <w:spacing w:before="240" w:after="0"/>
        <w:ind w:left="1140" w:right="1140" w:hanging="0"/>
        <w:jc w:val="left"/>
        <w:rPr>
          <w:rFonts w:ascii="Arial" w:hAnsi="Arial"/>
          <w:b/>
          <w:sz w:val="22"/>
        </w:rPr>
      </w:pPr>
      <w:r>
        <w:rPr>
          <w:rFonts w:ascii="Arial" w:hAnsi="Arial"/>
          <w:b/>
          <w:sz w:val="22"/>
        </w:rPr>
        <w:t xml:space="preserve">Preliminary prospectus supplement </w:t>
      </w:r>
    </w:p>
    <w:p>
      <w:pPr>
        <w:pStyle w:val="TextBody"/>
        <w:bidi w:val="0"/>
        <w:spacing w:before="0" w:after="0"/>
        <w:ind w:left="1140" w:right="1140" w:hanging="0"/>
        <w:jc w:val="left"/>
        <w:rPr>
          <w:rFonts w:ascii="Arial" w:hAnsi="Arial"/>
          <w:b/>
          <w:sz w:val="22"/>
        </w:rPr>
      </w:pPr>
      <w:r>
        <w:rPr>
          <w:rFonts w:ascii="Arial" w:hAnsi="Arial"/>
          <w:b/>
          <w:sz w:val="22"/>
        </w:rPr>
        <w:t xml:space="preserve">(To prospectus dated July 13, 2026) </w:t>
      </w:r>
    </w:p>
    <w:p>
      <w:pPr>
        <w:pStyle w:val="TextBody"/>
        <w:bidi w:val="0"/>
        <w:spacing w:before="440" w:after="0"/>
        <w:ind w:left="1140" w:right="1140" w:hanging="0"/>
        <w:jc w:val="left"/>
        <w:rPr>
          <w:rFonts w:ascii="Arial" w:hAnsi="Arial"/>
          <w:b/>
          <w:i/>
          <w:sz w:val="36"/>
        </w:rPr>
      </w:pPr>
      <w:r>
        <w:rPr>
          <w:rFonts w:ascii="Arial" w:hAnsi="Arial"/>
          <w:b/>
          <w:i/>
          <w:sz w:val="36"/>
        </w:rPr>
        <w:t xml:space="preserve">$500,000,000 </w:t>
      </w:r>
    </w:p>
    <w:p>
      <w:pPr>
        <w:pStyle w:val="TextBody"/>
        <w:bidi w:val="0"/>
        <w:spacing w:before="0" w:after="0"/>
        <w:ind w:left="1140" w:right="1140" w:hanging="0"/>
        <w:jc w:val="left"/>
        <w:rPr/>
      </w:pPr>
      <w:r>
        <w:rPr/>
        <w:t> </w:t>
      </w:r>
    </w:p>
    <w:p>
      <w:pPr>
        <w:pStyle w:val="TextBody"/>
        <w:bidi w:val="0"/>
        <w:spacing w:before="0" w:after="0"/>
        <w:ind w:left="1140" w:right="1140" w:hanging="0"/>
        <w:jc w:val="left"/>
        <w:rPr/>
      </w:pPr>
      <w:r>
        <w:rPr/>
        <w:t> </w:t>
      </w:r>
    </w:p>
    <w:p>
      <w:pPr>
        <w:pStyle w:val="TextBody"/>
        <w:bidi w:val="0"/>
        <w:spacing w:before="0" w:after="0"/>
        <w:ind w:left="1140" w:right="1140" w:hanging="0"/>
        <w:jc w:val="left"/>
        <w:rPr/>
      </w:pPr>
      <w:r>
        <w:rPr/>
        <w:t> </w:t>
      </w:r>
    </w:p>
    <w:p>
      <w:pPr>
        <w:pStyle w:val="TextBody"/>
        <w:bidi w:val="0"/>
        <w:spacing w:before="0" w:after="0"/>
        <w:ind w:left="1140" w:right="1140" w:hanging="0"/>
        <w:jc w:val="left"/>
        <w:rPr/>
      </w:pPr>
      <w:r>
        <w:rPr/>
        <w:drawing>
          <wp:inline distT="0" distB="0" distL="0" distR="0">
            <wp:extent cx="2109470" cy="35306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09470" cy="353060"/>
                    </a:xfrm>
                    <a:prstGeom prst="rect">
                      <a:avLst/>
                    </a:prstGeom>
                  </pic:spPr>
                </pic:pic>
              </a:graphicData>
            </a:graphic>
          </wp:inline>
        </w:drawing>
      </w:r>
      <w:r>
        <w:rPr/>
        <w:t xml:space="preserve"> </w:t>
      </w:r>
    </w:p>
    <w:p>
      <w:pPr>
        <w:pStyle w:val="TextBody"/>
        <w:bidi w:val="0"/>
        <w:spacing w:before="360" w:after="0"/>
        <w:ind w:left="1140" w:right="1140" w:hanging="0"/>
        <w:jc w:val="left"/>
        <w:rPr>
          <w:rFonts w:ascii="Arial" w:hAnsi="Arial"/>
          <w:b/>
          <w:i/>
          <w:sz w:val="36"/>
        </w:rPr>
      </w:pPr>
      <w:r>
        <w:rPr>
          <w:rFonts w:ascii="Arial" w:hAnsi="Arial"/>
          <w:b/>
          <w:i/>
          <w:sz w:val="36"/>
        </w:rPr>
        <w:t xml:space="preserve">Common stock </w:t>
      </w:r>
    </w:p>
    <w:p>
      <w:pPr>
        <w:pStyle w:val="TextBody"/>
        <w:bidi w:val="0"/>
        <w:spacing w:before="240" w:after="0"/>
        <w:ind w:left="1140" w:right="1140" w:hanging="0"/>
        <w:jc w:val="left"/>
        <w:rPr>
          <w:rFonts w:ascii="Arial" w:hAnsi="Arial"/>
          <w:sz w:val="20"/>
        </w:rPr>
      </w:pPr>
      <w:r>
        <w:rPr>
          <w:rFonts w:ascii="Arial" w:hAnsi="Arial"/>
          <w:sz w:val="20"/>
        </w:rPr>
        <w:t xml:space="preserve">We are offering $500,000,000 of shares of our common stock, $0.0001 par value per share. </w:t>
      </w:r>
    </w:p>
    <w:p>
      <w:pPr>
        <w:pStyle w:val="TextBody"/>
        <w:bidi w:val="0"/>
        <w:spacing w:before="240" w:after="0"/>
        <w:ind w:left="1140" w:right="1140" w:hanging="0"/>
        <w:jc w:val="left"/>
        <w:rPr>
          <w:rFonts w:ascii="Arial" w:hAnsi="Arial"/>
          <w:sz w:val="20"/>
        </w:rPr>
      </w:pPr>
      <w:r>
        <w:rPr>
          <w:rFonts w:ascii="Arial" w:hAnsi="Arial"/>
          <w:sz w:val="20"/>
        </w:rPr>
        <w:t xml:space="preserve">Our common stock is listed on the Nasdaq Global Select Market under the symbol “ERAS.” On July 10, 2026, the last reported sale price for our common stock on the Nasdaq Global Select Market was $18.53 per share of common stock. </w:t>
      </w:r>
    </w:p>
    <w:p>
      <w:pPr>
        <w:pStyle w:val="TextBody"/>
        <w:bidi w:val="0"/>
        <w:spacing w:before="240" w:after="0"/>
        <w:ind w:left="1140" w:right="1140" w:hanging="0"/>
        <w:jc w:val="left"/>
        <w:rPr>
          <w:rFonts w:ascii="Arial" w:hAnsi="Arial"/>
          <w:sz w:val="20"/>
        </w:rPr>
      </w:pPr>
      <w:r>
        <w:rPr>
          <w:rFonts w:ascii="Arial" w:hAnsi="Arial"/>
          <w:sz w:val="20"/>
        </w:rPr>
        <w:t xml:space="preserve">We are an “emerging growth company” as that term is used in the Jumpstart Our Business Startups Act of 2012 and, as such, have elected to comply with certain reduced public company disclosure and reporting requirements. </w:t>
      </w:r>
    </w:p>
    <w:p>
      <w:pPr>
        <w:pStyle w:val="TextBody"/>
        <w:bidi w:val="0"/>
        <w:spacing w:before="0" w:after="0"/>
        <w:ind w:left="1140" w:right="1140" w:hanging="0"/>
        <w:jc w:val="left"/>
        <w:rPr/>
      </w:pPr>
      <w:r>
        <w:rPr/>
        <w:t> </w:t>
      </w:r>
    </w:p>
    <w:tbl>
      <w:tblPr>
        <w:tblW w:w="5000" w:type="pct"/>
        <w:jc w:val="center"/>
        <w:tblInd w:w="0" w:type="dxa"/>
        <w:tblLayout w:type="fixed"/>
        <w:tblCellMar>
          <w:top w:w="0" w:type="dxa"/>
          <w:left w:w="0" w:type="dxa"/>
          <w:bottom w:w="0" w:type="dxa"/>
          <w:right w:w="0" w:type="dxa"/>
        </w:tblCellMar>
      </w:tblPr>
      <w:tblGrid>
        <w:gridCol w:w="6498"/>
        <w:gridCol w:w="238"/>
        <w:gridCol w:w="186"/>
        <w:gridCol w:w="1349"/>
        <w:gridCol w:w="77"/>
        <w:gridCol w:w="239"/>
        <w:gridCol w:w="185"/>
        <w:gridCol w:w="1349"/>
        <w:gridCol w:w="84"/>
      </w:tblGrid>
      <w:tr>
        <w:trPr/>
        <w:tc>
          <w:tcPr>
            <w:tcW w:w="6498"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6498" w:type="dxa"/>
            <w:tcBorders>
              <w:top w:val="single" w:sz="16" w:space="0" w:color="000000"/>
            </w:tcBorders>
            <w:tcMar>
              <w:top w:w="28" w:type="dxa"/>
            </w:tcMar>
            <w:vAlign w:val="center"/>
          </w:tcPr>
          <w:p>
            <w:pPr>
              <w:pStyle w:val="TableContents"/>
              <w:bidi w:val="0"/>
              <w:spacing w:before="0" w:after="283"/>
              <w:jc w:val="left"/>
              <w:rPr/>
            </w:pPr>
            <w:r>
              <w:rPr/>
              <w:t> </w:t>
            </w:r>
          </w:p>
        </w:tc>
        <w:tc>
          <w:tcPr>
            <w:tcW w:w="185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857"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6498" w:type="dxa"/>
            <w:tcBorders>
              <w:bottom w:val="single" w:sz="2" w:space="0" w:color="000000"/>
            </w:tcBorders>
            <w:tcMar>
              <w:bottom w:w="28" w:type="dxa"/>
            </w:tcMar>
            <w:vAlign w:val="bottom"/>
          </w:tcPr>
          <w:p>
            <w:pPr>
              <w:pStyle w:val="TableContents"/>
              <w:bidi w:val="0"/>
              <w:spacing w:before="0" w:after="283"/>
              <w:jc w:val="left"/>
              <w:rPr/>
            </w:pPr>
            <w:r>
              <w:rPr/>
              <w:t>  </w:t>
            </w:r>
          </w:p>
        </w:tc>
        <w:tc>
          <w:tcPr>
            <w:tcW w:w="238" w:type="dxa"/>
            <w:tcBorders>
              <w:bottom w:val="single" w:sz="2" w:space="0" w:color="000000"/>
            </w:tcBorders>
            <w:tcMar>
              <w:bottom w:w="28" w:type="dxa"/>
            </w:tcMar>
            <w:vAlign w:val="bottom"/>
          </w:tcPr>
          <w:p>
            <w:pPr>
              <w:pStyle w:val="TableContents"/>
              <w:bidi w:val="0"/>
              <w:spacing w:before="0" w:after="283"/>
              <w:jc w:val="left"/>
              <w:rPr/>
            </w:pPr>
            <w:r>
              <w:rPr/>
              <w:t>  </w:t>
            </w:r>
          </w:p>
        </w:tc>
        <w:tc>
          <w:tcPr>
            <w:tcW w:w="1535" w:type="dxa"/>
            <w:gridSpan w:val="2"/>
            <w:tcBorders>
              <w:bottom w:val="single" w:sz="2" w:space="0" w:color="000000"/>
            </w:tcBorders>
            <w:tcMar>
              <w:bottom w:w="28" w:type="dxa"/>
            </w:tcMar>
            <w:vAlign w:val="bottom"/>
          </w:tcPr>
          <w:p>
            <w:pPr>
              <w:pStyle w:val="TableContents"/>
              <w:bidi w:val="0"/>
              <w:spacing w:before="0" w:after="283"/>
              <w:jc w:val="left"/>
              <w:rPr>
                <w:b/>
              </w:rPr>
            </w:pPr>
            <w:r>
              <w:rPr>
                <w:b/>
              </w:rPr>
              <w:t>Per share</w:t>
            </w:r>
          </w:p>
        </w:tc>
        <w:tc>
          <w:tcPr>
            <w:tcW w:w="77" w:type="dxa"/>
            <w:tcBorders>
              <w:bottom w:val="single" w:sz="2" w:space="0" w:color="000000"/>
            </w:tcBorders>
            <w:tcMar>
              <w:bottom w:w="28" w:type="dxa"/>
            </w:tcMar>
            <w:vAlign w:val="bottom"/>
          </w:tcPr>
          <w:p>
            <w:pPr>
              <w:pStyle w:val="TableContents"/>
              <w:bidi w:val="0"/>
              <w:spacing w:before="0" w:after="283"/>
              <w:jc w:val="left"/>
              <w:rPr/>
            </w:pPr>
            <w:r>
              <w:rPr/>
              <w:t> </w:t>
            </w:r>
          </w:p>
        </w:tc>
        <w:tc>
          <w:tcPr>
            <w:tcW w:w="239" w:type="dxa"/>
            <w:tcBorders>
              <w:bottom w:val="single" w:sz="2" w:space="0" w:color="000000"/>
            </w:tcBorders>
            <w:tcMar>
              <w:bottom w:w="28" w:type="dxa"/>
            </w:tcMar>
            <w:vAlign w:val="bottom"/>
          </w:tcPr>
          <w:p>
            <w:pPr>
              <w:pStyle w:val="TableContents"/>
              <w:bidi w:val="0"/>
              <w:spacing w:before="0" w:after="283"/>
              <w:jc w:val="left"/>
              <w:rPr/>
            </w:pPr>
            <w:r>
              <w:rPr/>
              <w:t>  </w:t>
            </w:r>
          </w:p>
        </w:tc>
        <w:tc>
          <w:tcPr>
            <w:tcW w:w="1534" w:type="dxa"/>
            <w:gridSpan w:val="2"/>
            <w:tcBorders>
              <w:bottom w:val="single" w:sz="2" w:space="0" w:color="000000"/>
            </w:tcBorders>
            <w:tcMar>
              <w:bottom w:w="28" w:type="dxa"/>
            </w:tcMar>
            <w:vAlign w:val="bottom"/>
          </w:tcPr>
          <w:p>
            <w:pPr>
              <w:pStyle w:val="TableContents"/>
              <w:bidi w:val="0"/>
              <w:spacing w:before="0" w:after="283"/>
              <w:jc w:val="left"/>
              <w:rPr>
                <w:b/>
              </w:rPr>
            </w:pPr>
            <w:r>
              <w:rPr>
                <w:b/>
              </w:rPr>
              <w:t>Total</w:t>
            </w:r>
          </w:p>
        </w:tc>
        <w:tc>
          <w:tcPr>
            <w:tcW w:w="84"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150" w:hRule="atLeast"/>
        </w:trPr>
        <w:tc>
          <w:tcPr>
            <w:tcW w:w="6498" w:type="dxa"/>
            <w:tcBorders/>
            <w:vAlign w:val="center"/>
          </w:tcPr>
          <w:p>
            <w:pPr>
              <w:pStyle w:val="TableContents"/>
              <w:bidi w:val="0"/>
              <w:spacing w:before="0" w:after="283"/>
              <w:jc w:val="left"/>
              <w:rPr>
                <w:sz w:val="4"/>
                <w:szCs w:val="4"/>
              </w:rPr>
            </w:pPr>
            <w:r>
              <w:rPr>
                <w:sz w:val="4"/>
                <w:szCs w:val="4"/>
              </w:rPr>
            </w:r>
          </w:p>
        </w:tc>
        <w:tc>
          <w:tcPr>
            <w:tcW w:w="1850" w:type="dxa"/>
            <w:gridSpan w:val="4"/>
            <w:tcBorders/>
            <w:vAlign w:val="center"/>
          </w:tcPr>
          <w:p>
            <w:pPr>
              <w:pStyle w:val="TableContents"/>
              <w:bidi w:val="0"/>
              <w:spacing w:before="0" w:after="283"/>
              <w:jc w:val="left"/>
              <w:rPr>
                <w:sz w:val="4"/>
                <w:szCs w:val="4"/>
              </w:rPr>
            </w:pPr>
            <w:r>
              <w:rPr>
                <w:sz w:val="4"/>
                <w:szCs w:val="4"/>
              </w:rPr>
            </w:r>
          </w:p>
        </w:tc>
        <w:tc>
          <w:tcPr>
            <w:tcW w:w="1857" w:type="dxa"/>
            <w:gridSpan w:val="4"/>
            <w:tcBorders/>
            <w:vAlign w:val="center"/>
          </w:tcPr>
          <w:p>
            <w:pPr>
              <w:pStyle w:val="TableContents"/>
              <w:bidi w:val="0"/>
              <w:spacing w:before="0" w:after="283"/>
              <w:jc w:val="left"/>
              <w:rPr>
                <w:sz w:val="4"/>
                <w:szCs w:val="4"/>
              </w:rPr>
            </w:pPr>
            <w:r>
              <w:rPr>
                <w:sz w:val="4"/>
                <w:szCs w:val="4"/>
              </w:rPr>
            </w:r>
          </w:p>
        </w:tc>
      </w:tr>
      <w:tr>
        <w:trPr/>
        <w:tc>
          <w:tcPr>
            <w:tcW w:w="6498" w:type="dxa"/>
            <w:tcBorders/>
            <w:shd w:fill="CCEEFF" w:val="clear"/>
          </w:tcPr>
          <w:p>
            <w:pPr>
              <w:pStyle w:val="TableContents"/>
              <w:bidi w:val="0"/>
              <w:spacing w:before="0" w:after="0"/>
              <w:jc w:val="left"/>
              <w:rPr>
                <w:rFonts w:ascii="Arial" w:hAnsi="Arial"/>
                <w:sz w:val="20"/>
              </w:rPr>
            </w:pPr>
            <w:r>
              <w:rPr>
                <w:rFonts w:ascii="Arial" w:hAnsi="Arial"/>
                <w:sz w:val="20"/>
              </w:rPr>
              <w:t>Public offering price</w:t>
            </w:r>
          </w:p>
        </w:tc>
        <w:tc>
          <w:tcPr>
            <w:tcW w:w="238" w:type="dxa"/>
            <w:tcBorders/>
            <w:shd w:fill="CCEEFF" w:val="clear"/>
            <w:vAlign w:val="bottom"/>
          </w:tcPr>
          <w:p>
            <w:pPr>
              <w:pStyle w:val="TableContents"/>
              <w:bidi w:val="0"/>
              <w:spacing w:before="0" w:after="283"/>
              <w:jc w:val="left"/>
              <w:rPr/>
            </w:pPr>
            <w:r>
              <w:rPr/>
              <w:t>  </w:t>
            </w:r>
          </w:p>
        </w:tc>
        <w:tc>
          <w:tcPr>
            <w:tcW w:w="186" w:type="dxa"/>
            <w:tcBorders/>
            <w:shd w:fill="CCEEFF" w:val="clear"/>
          </w:tcPr>
          <w:p>
            <w:pPr>
              <w:pStyle w:val="TableContents"/>
              <w:bidi w:val="0"/>
              <w:spacing w:before="0" w:after="283"/>
              <w:jc w:val="left"/>
              <w:rPr/>
            </w:pPr>
            <w:r>
              <w:rPr/>
              <w:t>$</w:t>
            </w:r>
          </w:p>
        </w:tc>
        <w:tc>
          <w:tcPr>
            <w:tcW w:w="1349" w:type="dxa"/>
            <w:tcBorders/>
            <w:shd w:fill="CCEEFF" w:val="clear"/>
          </w:tcPr>
          <w:p>
            <w:pPr>
              <w:pStyle w:val="TableContents"/>
              <w:bidi w:val="0"/>
              <w:spacing w:before="0" w:after="283"/>
              <w:jc w:val="right"/>
              <w:rPr/>
            </w:pPr>
            <w:r>
              <w:rPr/>
              <w:t>     </w:t>
            </w:r>
          </w:p>
        </w:tc>
        <w:tc>
          <w:tcPr>
            <w:tcW w:w="77" w:type="dxa"/>
            <w:tcBorders/>
            <w:shd w:fill="CCEEFF" w:val="clear"/>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85" w:type="dxa"/>
            <w:tcBorders/>
            <w:shd w:fill="CCEEFF" w:val="clear"/>
          </w:tcPr>
          <w:p>
            <w:pPr>
              <w:pStyle w:val="TableContents"/>
              <w:bidi w:val="0"/>
              <w:spacing w:before="0" w:after="283"/>
              <w:jc w:val="left"/>
              <w:rPr/>
            </w:pPr>
            <w:r>
              <w:rPr/>
              <w:t>$</w:t>
            </w:r>
          </w:p>
        </w:tc>
        <w:tc>
          <w:tcPr>
            <w:tcW w:w="1349" w:type="dxa"/>
            <w:tcBorders/>
            <w:shd w:fill="CCEEFF" w:val="clear"/>
          </w:tcPr>
          <w:p>
            <w:pPr>
              <w:pStyle w:val="TableContents"/>
              <w:bidi w:val="0"/>
              <w:spacing w:before="0" w:after="283"/>
              <w:jc w:val="right"/>
              <w:rPr/>
            </w:pPr>
            <w:r>
              <w:rPr/>
              <w:t>     </w:t>
            </w:r>
          </w:p>
        </w:tc>
        <w:tc>
          <w:tcPr>
            <w:tcW w:w="84" w:type="dxa"/>
            <w:tcBorders/>
            <w:shd w:fill="CCEEFF" w:val="clear"/>
          </w:tcPr>
          <w:p>
            <w:pPr>
              <w:pStyle w:val="TableContents"/>
              <w:bidi w:val="0"/>
              <w:spacing w:before="0" w:after="283"/>
              <w:jc w:val="left"/>
              <w:rPr/>
            </w:pPr>
            <w:r>
              <w:rPr/>
              <w:t> </w:t>
            </w:r>
          </w:p>
        </w:tc>
      </w:tr>
      <w:tr>
        <w:trPr>
          <w:trHeight w:val="150" w:hRule="atLeast"/>
        </w:trPr>
        <w:tc>
          <w:tcPr>
            <w:tcW w:w="6498" w:type="dxa"/>
            <w:tcBorders/>
            <w:vAlign w:val="center"/>
          </w:tcPr>
          <w:p>
            <w:pPr>
              <w:pStyle w:val="TableContents"/>
              <w:bidi w:val="0"/>
              <w:spacing w:before="0" w:after="283"/>
              <w:jc w:val="left"/>
              <w:rPr>
                <w:sz w:val="4"/>
                <w:szCs w:val="4"/>
              </w:rPr>
            </w:pPr>
            <w:r>
              <w:rPr>
                <w:sz w:val="4"/>
                <w:szCs w:val="4"/>
              </w:rPr>
            </w:r>
          </w:p>
        </w:tc>
        <w:tc>
          <w:tcPr>
            <w:tcW w:w="1850" w:type="dxa"/>
            <w:gridSpan w:val="4"/>
            <w:tcBorders/>
            <w:vAlign w:val="center"/>
          </w:tcPr>
          <w:p>
            <w:pPr>
              <w:pStyle w:val="TableContents"/>
              <w:bidi w:val="0"/>
              <w:spacing w:before="0" w:after="283"/>
              <w:jc w:val="left"/>
              <w:rPr>
                <w:sz w:val="4"/>
                <w:szCs w:val="4"/>
              </w:rPr>
            </w:pPr>
            <w:r>
              <w:rPr>
                <w:sz w:val="4"/>
                <w:szCs w:val="4"/>
              </w:rPr>
            </w:r>
          </w:p>
        </w:tc>
        <w:tc>
          <w:tcPr>
            <w:tcW w:w="1857" w:type="dxa"/>
            <w:gridSpan w:val="4"/>
            <w:tcBorders/>
            <w:vAlign w:val="center"/>
          </w:tcPr>
          <w:p>
            <w:pPr>
              <w:pStyle w:val="TableContents"/>
              <w:bidi w:val="0"/>
              <w:spacing w:before="0" w:after="283"/>
              <w:jc w:val="left"/>
              <w:rPr>
                <w:sz w:val="4"/>
                <w:szCs w:val="4"/>
              </w:rPr>
            </w:pPr>
            <w:r>
              <w:rPr>
                <w:sz w:val="4"/>
                <w:szCs w:val="4"/>
              </w:rPr>
            </w:r>
          </w:p>
        </w:tc>
      </w:tr>
      <w:tr>
        <w:trPr/>
        <w:tc>
          <w:tcPr>
            <w:tcW w:w="6498" w:type="dxa"/>
            <w:tcBorders/>
          </w:tcPr>
          <w:p>
            <w:pPr>
              <w:pStyle w:val="TableContents"/>
              <w:bidi w:val="0"/>
              <w:spacing w:before="0" w:after="0"/>
              <w:jc w:val="left"/>
              <w:rPr>
                <w:rFonts w:ascii="Arial" w:hAnsi="Arial"/>
                <w:sz w:val="20"/>
              </w:rPr>
            </w:pPr>
            <w:r>
              <w:rPr>
                <w:rFonts w:ascii="Arial" w:hAnsi="Arial"/>
                <w:sz w:val="20"/>
              </w:rPr>
              <w:t>Underwriting discounts and commissions(1)</w:t>
            </w:r>
          </w:p>
        </w:tc>
        <w:tc>
          <w:tcPr>
            <w:tcW w:w="238" w:type="dxa"/>
            <w:tcBorders/>
            <w:vAlign w:val="bottom"/>
          </w:tcPr>
          <w:p>
            <w:pPr>
              <w:pStyle w:val="TableContents"/>
              <w:bidi w:val="0"/>
              <w:spacing w:before="0" w:after="283"/>
              <w:jc w:val="left"/>
              <w:rPr/>
            </w:pPr>
            <w:r>
              <w:rPr/>
              <w:t>  </w:t>
            </w:r>
          </w:p>
        </w:tc>
        <w:tc>
          <w:tcPr>
            <w:tcW w:w="186" w:type="dxa"/>
            <w:tcBorders/>
          </w:tcPr>
          <w:p>
            <w:pPr>
              <w:pStyle w:val="TableContents"/>
              <w:bidi w:val="0"/>
              <w:spacing w:before="0" w:after="283"/>
              <w:jc w:val="left"/>
              <w:rPr/>
            </w:pPr>
            <w:r>
              <w:rPr/>
              <w:t>$</w:t>
            </w:r>
          </w:p>
        </w:tc>
        <w:tc>
          <w:tcPr>
            <w:tcW w:w="1349" w:type="dxa"/>
            <w:tcBorders/>
          </w:tcPr>
          <w:p>
            <w:pPr>
              <w:pStyle w:val="TableContents"/>
              <w:bidi w:val="0"/>
              <w:spacing w:before="0" w:after="283"/>
              <w:jc w:val="right"/>
              <w:rPr/>
            </w:pPr>
            <w:r>
              <w:rPr/>
              <w:t> </w:t>
            </w:r>
          </w:p>
        </w:tc>
        <w:tc>
          <w:tcPr>
            <w:tcW w:w="77" w:type="dxa"/>
            <w:tcBorders/>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w:t>
            </w:r>
          </w:p>
        </w:tc>
        <w:tc>
          <w:tcPr>
            <w:tcW w:w="1349" w:type="dxa"/>
            <w:tcBorders/>
          </w:tcPr>
          <w:p>
            <w:pPr>
              <w:pStyle w:val="TableContents"/>
              <w:bidi w:val="0"/>
              <w:spacing w:before="0" w:after="283"/>
              <w:jc w:val="right"/>
              <w:rPr/>
            </w:pPr>
            <w:r>
              <w:rPr/>
              <w:t> </w:t>
            </w:r>
          </w:p>
        </w:tc>
        <w:tc>
          <w:tcPr>
            <w:tcW w:w="84" w:type="dxa"/>
            <w:tcBorders/>
          </w:tcPr>
          <w:p>
            <w:pPr>
              <w:pStyle w:val="TableContents"/>
              <w:bidi w:val="0"/>
              <w:spacing w:before="0" w:after="283"/>
              <w:jc w:val="left"/>
              <w:rPr/>
            </w:pPr>
            <w:r>
              <w:rPr/>
              <w:t> </w:t>
            </w:r>
          </w:p>
        </w:tc>
      </w:tr>
      <w:tr>
        <w:trPr>
          <w:trHeight w:val="150" w:hRule="atLeast"/>
        </w:trPr>
        <w:tc>
          <w:tcPr>
            <w:tcW w:w="6498" w:type="dxa"/>
            <w:tcBorders/>
            <w:vAlign w:val="center"/>
          </w:tcPr>
          <w:p>
            <w:pPr>
              <w:pStyle w:val="TableContents"/>
              <w:bidi w:val="0"/>
              <w:spacing w:before="0" w:after="283"/>
              <w:jc w:val="left"/>
              <w:rPr>
                <w:sz w:val="4"/>
                <w:szCs w:val="4"/>
              </w:rPr>
            </w:pPr>
            <w:r>
              <w:rPr>
                <w:sz w:val="4"/>
                <w:szCs w:val="4"/>
              </w:rPr>
            </w:r>
          </w:p>
        </w:tc>
        <w:tc>
          <w:tcPr>
            <w:tcW w:w="1850" w:type="dxa"/>
            <w:gridSpan w:val="4"/>
            <w:tcBorders/>
            <w:vAlign w:val="center"/>
          </w:tcPr>
          <w:p>
            <w:pPr>
              <w:pStyle w:val="TableContents"/>
              <w:bidi w:val="0"/>
              <w:spacing w:before="0" w:after="283"/>
              <w:jc w:val="left"/>
              <w:rPr>
                <w:sz w:val="4"/>
                <w:szCs w:val="4"/>
              </w:rPr>
            </w:pPr>
            <w:r>
              <w:rPr>
                <w:sz w:val="4"/>
                <w:szCs w:val="4"/>
              </w:rPr>
            </w:r>
          </w:p>
        </w:tc>
        <w:tc>
          <w:tcPr>
            <w:tcW w:w="1857" w:type="dxa"/>
            <w:gridSpan w:val="4"/>
            <w:tcBorders/>
            <w:vAlign w:val="center"/>
          </w:tcPr>
          <w:p>
            <w:pPr>
              <w:pStyle w:val="TableContents"/>
              <w:bidi w:val="0"/>
              <w:spacing w:before="0" w:after="283"/>
              <w:jc w:val="left"/>
              <w:rPr>
                <w:sz w:val="4"/>
                <w:szCs w:val="4"/>
              </w:rPr>
            </w:pPr>
            <w:r>
              <w:rPr>
                <w:sz w:val="4"/>
                <w:szCs w:val="4"/>
              </w:rPr>
            </w:r>
          </w:p>
        </w:tc>
      </w:tr>
      <w:tr>
        <w:trPr/>
        <w:tc>
          <w:tcPr>
            <w:tcW w:w="6498" w:type="dxa"/>
            <w:tcBorders>
              <w:bottom w:val="single" w:sz="2" w:space="0" w:color="000000"/>
            </w:tcBorders>
            <w:shd w:fill="CCEEFF" w:val="clear"/>
            <w:tcMar>
              <w:bottom w:w="28" w:type="dxa"/>
            </w:tcMar>
          </w:tcPr>
          <w:p>
            <w:pPr>
              <w:pStyle w:val="TableContents"/>
              <w:bidi w:val="0"/>
              <w:spacing w:before="0" w:after="0"/>
              <w:jc w:val="left"/>
              <w:rPr>
                <w:rFonts w:ascii="Arial" w:hAnsi="Arial"/>
                <w:sz w:val="20"/>
              </w:rPr>
            </w:pPr>
            <w:r>
              <w:rPr>
                <w:rFonts w:ascii="Arial" w:hAnsi="Arial"/>
                <w:sz w:val="20"/>
              </w:rPr>
              <w:t>Proceeds to Erasca, Inc., before expenses</w:t>
            </w:r>
          </w:p>
        </w:tc>
        <w:tc>
          <w:tcPr>
            <w:tcW w:w="238"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86" w:type="dxa"/>
            <w:tcBorders>
              <w:bottom w:val="single" w:sz="2" w:space="0" w:color="000000"/>
            </w:tcBorders>
            <w:shd w:fill="CCEEFF" w:val="clear"/>
            <w:tcMar>
              <w:bottom w:w="28" w:type="dxa"/>
            </w:tcMar>
          </w:tcPr>
          <w:p>
            <w:pPr>
              <w:pStyle w:val="TableContents"/>
              <w:bidi w:val="0"/>
              <w:spacing w:before="0" w:after="283"/>
              <w:jc w:val="left"/>
              <w:rPr/>
            </w:pPr>
            <w:r>
              <w:rPr/>
              <w:t>$</w:t>
            </w:r>
          </w:p>
        </w:tc>
        <w:tc>
          <w:tcPr>
            <w:tcW w:w="1349" w:type="dxa"/>
            <w:tcBorders>
              <w:bottom w:val="single" w:sz="2" w:space="0" w:color="000000"/>
            </w:tcBorders>
            <w:shd w:fill="CCEEFF" w:val="clear"/>
            <w:tcMar>
              <w:bottom w:w="28" w:type="dxa"/>
            </w:tcMar>
          </w:tcPr>
          <w:p>
            <w:pPr>
              <w:pStyle w:val="TableContents"/>
              <w:bidi w:val="0"/>
              <w:spacing w:before="0" w:after="283"/>
              <w:jc w:val="right"/>
              <w:rPr/>
            </w:pPr>
            <w:r>
              <w:rPr/>
              <w:t> </w:t>
            </w:r>
          </w:p>
        </w:tc>
        <w:tc>
          <w:tcPr>
            <w:tcW w:w="77" w:type="dxa"/>
            <w:tcBorders>
              <w:bottom w:val="single" w:sz="2" w:space="0" w:color="000000"/>
            </w:tcBorders>
            <w:shd w:fill="CCEEFF" w:val="clear"/>
            <w:tcMar>
              <w:bottom w:w="28" w:type="dxa"/>
            </w:tcMar>
          </w:tcPr>
          <w:p>
            <w:pPr>
              <w:pStyle w:val="TableContents"/>
              <w:bidi w:val="0"/>
              <w:spacing w:before="0" w:after="283"/>
              <w:jc w:val="left"/>
              <w:rPr/>
            </w:pPr>
            <w:r>
              <w:rPr/>
              <w:t> </w:t>
            </w:r>
          </w:p>
        </w:tc>
        <w:tc>
          <w:tcPr>
            <w:tcW w:w="239"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tcPr>
          <w:p>
            <w:pPr>
              <w:pStyle w:val="TableContents"/>
              <w:bidi w:val="0"/>
              <w:spacing w:before="0" w:after="283"/>
              <w:jc w:val="left"/>
              <w:rPr/>
            </w:pPr>
            <w:r>
              <w:rPr/>
              <w:t>$</w:t>
            </w:r>
          </w:p>
        </w:tc>
        <w:tc>
          <w:tcPr>
            <w:tcW w:w="1349" w:type="dxa"/>
            <w:tcBorders>
              <w:bottom w:val="single" w:sz="2" w:space="0" w:color="000000"/>
            </w:tcBorders>
            <w:shd w:fill="CCEEFF" w:val="clear"/>
            <w:tcMar>
              <w:bottom w:w="28" w:type="dxa"/>
            </w:tcMar>
          </w:tcPr>
          <w:p>
            <w:pPr>
              <w:pStyle w:val="TableContents"/>
              <w:bidi w:val="0"/>
              <w:spacing w:before="0" w:after="283"/>
              <w:jc w:val="right"/>
              <w:rPr/>
            </w:pPr>
            <w:r>
              <w:rPr/>
              <w:t> </w:t>
            </w:r>
          </w:p>
        </w:tc>
        <w:tc>
          <w:tcPr>
            <w:tcW w:w="84" w:type="dxa"/>
            <w:tcBorders>
              <w:bottom w:val="single" w:sz="2" w:space="0" w:color="000000"/>
            </w:tcBorders>
            <w:shd w:fill="CCEEFF" w:val="clear"/>
            <w:tcMar>
              <w:bottom w:w="28" w:type="dxa"/>
            </w:tcMar>
          </w:tcPr>
          <w:p>
            <w:pPr>
              <w:pStyle w:val="TableContents"/>
              <w:bidi w:val="0"/>
              <w:spacing w:before="0" w:after="283"/>
              <w:jc w:val="left"/>
              <w:rPr/>
            </w:pPr>
            <w:r>
              <w:rPr/>
              <w:t> </w:t>
            </w:r>
          </w:p>
        </w:tc>
      </w:tr>
    </w:tbl>
    <w:p>
      <w:pPr>
        <w:pStyle w:val="TextBody"/>
        <w:bidi w:val="0"/>
        <w:spacing w:before="0" w:after="0"/>
        <w:ind w:left="1140" w:right="1140" w:hanging="0"/>
        <w:jc w:val="left"/>
        <w:rPr/>
      </w:pPr>
      <w:r>
        <w:rPr/>
        <w:t> </w:t>
      </w:r>
    </w:p>
    <w:tbl>
      <w:tblPr>
        <w:tblW w:w="5000" w:type="pct"/>
        <w:jc w:val="left"/>
        <w:tblInd w:w="1140" w:type="dxa"/>
        <w:tblLayout w:type="fixed"/>
        <w:tblCellMar>
          <w:top w:w="0" w:type="dxa"/>
          <w:left w:w="0" w:type="dxa"/>
          <w:bottom w:w="0" w:type="dxa"/>
          <w:right w:w="0" w:type="dxa"/>
        </w:tblCellMar>
      </w:tblPr>
      <w:tblGrid>
        <w:gridCol w:w="281"/>
        <w:gridCol w:w="120"/>
        <w:gridCol w:w="9804"/>
      </w:tblGrid>
      <w:tr>
        <w:trPr/>
        <w:tc>
          <w:tcPr>
            <w:tcW w:w="281" w:type="dxa"/>
            <w:tcBorders/>
          </w:tcPr>
          <w:p>
            <w:pPr>
              <w:pStyle w:val="TableContents"/>
              <w:bidi w:val="0"/>
              <w:spacing w:before="0" w:after="283"/>
              <w:jc w:val="left"/>
              <w:rPr/>
            </w:pPr>
            <w:r>
              <w:rPr/>
              <w:t>(1)</w:t>
            </w:r>
          </w:p>
        </w:tc>
        <w:tc>
          <w:tcPr>
            <w:tcW w:w="120" w:type="dxa"/>
            <w:tcBorders/>
          </w:tcPr>
          <w:p>
            <w:pPr>
              <w:pStyle w:val="TableContents"/>
              <w:bidi w:val="0"/>
              <w:spacing w:before="0" w:after="283"/>
              <w:jc w:val="left"/>
              <w:rPr/>
            </w:pPr>
            <w:r>
              <w:rPr/>
              <w:t> </w:t>
            </w:r>
          </w:p>
        </w:tc>
        <w:tc>
          <w:tcPr>
            <w:tcW w:w="9804" w:type="dxa"/>
            <w:tcBorders/>
          </w:tcPr>
          <w:p>
            <w:pPr>
              <w:pStyle w:val="TableContents"/>
              <w:bidi w:val="0"/>
              <w:spacing w:before="0" w:after="283"/>
              <w:jc w:val="left"/>
              <w:rPr/>
            </w:pPr>
            <w:r>
              <w:rPr/>
              <w:t xml:space="preserve">See the section titled “Underwriting” for a description of the compensation payable to the underwriters. </w:t>
            </w:r>
          </w:p>
        </w:tc>
      </w:tr>
    </w:tbl>
    <w:p>
      <w:pPr>
        <w:pStyle w:val="TextBody"/>
        <w:bidi w:val="0"/>
        <w:spacing w:before="320" w:after="0"/>
        <w:ind w:left="1140" w:right="1140" w:hanging="0"/>
        <w:jc w:val="left"/>
        <w:rPr>
          <w:rFonts w:ascii="Arial" w:hAnsi="Arial"/>
          <w:sz w:val="20"/>
        </w:rPr>
      </w:pPr>
      <w:r>
        <w:rPr>
          <w:rFonts w:ascii="Arial" w:hAnsi="Arial"/>
          <w:sz w:val="20"/>
        </w:rPr>
        <w:t xml:space="preserve">We have granted the underwriters an option to purchase up to an additional $75,000,000 of shares of common stock from us at the public offering price, less underwriting discounts and commissions, within 30 days from the date of this prospectus supplement. </w:t>
      </w:r>
    </w:p>
    <w:p>
      <w:pPr>
        <w:pStyle w:val="TextBody"/>
        <w:bidi w:val="0"/>
        <w:spacing w:before="160" w:after="0"/>
        <w:ind w:left="1140" w:right="1140" w:hanging="0"/>
        <w:jc w:val="left"/>
        <w:rPr/>
      </w:pPr>
      <w:r>
        <w:rPr>
          <w:rFonts w:ascii="Arial" w:hAnsi="Arial"/>
          <w:b/>
          <w:sz w:val="20"/>
        </w:rPr>
        <w:t>Investing in our common stock involves a high degree of risk. See “</w:t>
      </w:r>
      <w:hyperlink w:anchor="supptoc116467_3">
        <w:r>
          <w:rPr>
            <w:rStyle w:val="InternetLink"/>
            <w:rFonts w:ascii="Arial" w:hAnsi="Arial"/>
            <w:b/>
            <w:sz w:val="20"/>
          </w:rPr>
          <w:t>Risk factors</w:t>
        </w:r>
      </w:hyperlink>
      <w:r>
        <w:rPr>
          <w:rFonts w:ascii="Arial" w:hAnsi="Arial"/>
          <w:b/>
          <w:sz w:val="20"/>
        </w:rPr>
        <w:t xml:space="preserve">” beginning on page S-5 of this prospectus supplement, on page 5 of the accompanying prospectus and the documents incorporated by reference into this prospectus supplement and the accompanying prospectus. </w:t>
      </w:r>
    </w:p>
    <w:p>
      <w:pPr>
        <w:pStyle w:val="TextBody"/>
        <w:bidi w:val="0"/>
        <w:spacing w:before="160" w:after="0"/>
        <w:ind w:left="1140" w:right="1140" w:hanging="0"/>
        <w:jc w:val="left"/>
        <w:rPr>
          <w:rFonts w:ascii="Arial" w:hAnsi="Arial"/>
          <w:b/>
          <w:sz w:val="20"/>
        </w:rPr>
      </w:pPr>
      <w:r>
        <w:rPr>
          <w:rFonts w:ascii="Arial" w:hAnsi="Arial"/>
          <w:b/>
          <w:sz w:val="20"/>
        </w:rPr>
        <w:t xml:space="preserve">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 </w:t>
      </w:r>
    </w:p>
    <w:p>
      <w:pPr>
        <w:pStyle w:val="TextBody"/>
        <w:bidi w:val="0"/>
        <w:spacing w:before="240" w:after="0"/>
        <w:ind w:left="1140" w:right="1140" w:hanging="0"/>
        <w:jc w:val="left"/>
        <w:rPr>
          <w:rFonts w:ascii="Arial" w:hAnsi="Arial"/>
          <w:sz w:val="20"/>
        </w:rPr>
      </w:pPr>
      <w:r>
        <w:rPr>
          <w:rFonts w:ascii="Arial" w:hAnsi="Arial"/>
          <w:sz w:val="20"/>
        </w:rPr>
        <w:t xml:space="preserve">The underwriters expect to deliver the shares of common stock to purchasers on or about    , 2026. </w:t>
      </w:r>
    </w:p>
    <w:p>
      <w:pPr>
        <w:pStyle w:val="TextBody"/>
        <w:bidi w:val="0"/>
        <w:spacing w:before="0" w:after="0"/>
        <w:ind w:left="1140" w:right="1140" w:hanging="0"/>
        <w:jc w:val="left"/>
        <w:rPr/>
      </w:pPr>
      <w:r>
        <w:rPr/>
        <w:t> </w:t>
      </w:r>
    </w:p>
    <w:tbl>
      <w:tblPr>
        <w:tblW w:w="5000" w:type="pct"/>
        <w:jc w:val="center"/>
        <w:tblInd w:w="0" w:type="dxa"/>
        <w:tblLayout w:type="fixed"/>
        <w:tblCellMar>
          <w:top w:w="0" w:type="dxa"/>
          <w:left w:w="0" w:type="dxa"/>
          <w:bottom w:w="0" w:type="dxa"/>
          <w:right w:w="0" w:type="dxa"/>
        </w:tblCellMar>
      </w:tblPr>
      <w:tblGrid>
        <w:gridCol w:w="2380"/>
        <w:gridCol w:w="155"/>
        <w:gridCol w:w="2843"/>
        <w:gridCol w:w="154"/>
        <w:gridCol w:w="2256"/>
        <w:gridCol w:w="155"/>
        <w:gridCol w:w="2262"/>
      </w:tblGrid>
      <w:tr>
        <w:trPr/>
        <w:tc>
          <w:tcPr>
            <w:tcW w:w="2380"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843"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2256"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262" w:type="dxa"/>
            <w:tcBorders/>
            <w:vAlign w:val="center"/>
          </w:tcPr>
          <w:p>
            <w:pPr>
              <w:pStyle w:val="TableContents"/>
              <w:bidi w:val="0"/>
              <w:spacing w:before="0" w:after="283"/>
              <w:jc w:val="left"/>
              <w:rPr>
                <w:sz w:val="4"/>
                <w:szCs w:val="4"/>
              </w:rPr>
            </w:pPr>
            <w:r>
              <w:rPr>
                <w:sz w:val="4"/>
                <w:szCs w:val="4"/>
              </w:rPr>
            </w:r>
          </w:p>
        </w:tc>
      </w:tr>
      <w:tr>
        <w:trPr/>
        <w:tc>
          <w:tcPr>
            <w:tcW w:w="2380" w:type="dxa"/>
            <w:tcBorders/>
          </w:tcPr>
          <w:p>
            <w:pPr>
              <w:pStyle w:val="TableContents"/>
              <w:bidi w:val="0"/>
              <w:spacing w:before="0" w:after="283"/>
              <w:jc w:val="left"/>
              <w:rPr>
                <w:b/>
              </w:rPr>
            </w:pPr>
            <w:r>
              <w:rPr>
                <w:b/>
              </w:rPr>
              <w:t>J.P. Morgan</w:t>
            </w:r>
          </w:p>
        </w:tc>
        <w:tc>
          <w:tcPr>
            <w:tcW w:w="155" w:type="dxa"/>
            <w:tcBorders/>
            <w:vAlign w:val="bottom"/>
          </w:tcPr>
          <w:p>
            <w:pPr>
              <w:pStyle w:val="TableContents"/>
              <w:bidi w:val="0"/>
              <w:spacing w:before="0" w:after="283"/>
              <w:jc w:val="left"/>
              <w:rPr/>
            </w:pPr>
            <w:r>
              <w:rPr/>
              <w:t>  </w:t>
            </w:r>
          </w:p>
        </w:tc>
        <w:tc>
          <w:tcPr>
            <w:tcW w:w="2843" w:type="dxa"/>
            <w:tcBorders/>
          </w:tcPr>
          <w:p>
            <w:pPr>
              <w:pStyle w:val="TableContents"/>
              <w:bidi w:val="0"/>
              <w:spacing w:before="0" w:after="283"/>
              <w:jc w:val="right"/>
              <w:rPr>
                <w:b/>
              </w:rPr>
            </w:pPr>
            <w:r>
              <w:rPr>
                <w:b/>
              </w:rPr>
              <w:t>Morgan Stanley</w:t>
            </w:r>
          </w:p>
        </w:tc>
        <w:tc>
          <w:tcPr>
            <w:tcW w:w="154" w:type="dxa"/>
            <w:tcBorders/>
            <w:vAlign w:val="bottom"/>
          </w:tcPr>
          <w:p>
            <w:pPr>
              <w:pStyle w:val="TableContents"/>
              <w:bidi w:val="0"/>
              <w:spacing w:before="0" w:after="283"/>
              <w:jc w:val="left"/>
              <w:rPr/>
            </w:pPr>
            <w:r>
              <w:rPr/>
              <w:t>  </w:t>
            </w:r>
          </w:p>
        </w:tc>
        <w:tc>
          <w:tcPr>
            <w:tcW w:w="2256" w:type="dxa"/>
            <w:tcBorders/>
          </w:tcPr>
          <w:p>
            <w:pPr>
              <w:pStyle w:val="TableContents"/>
              <w:bidi w:val="0"/>
              <w:spacing w:before="0" w:after="283"/>
              <w:jc w:val="right"/>
              <w:rPr>
                <w:b/>
              </w:rPr>
            </w:pPr>
            <w:r>
              <w:rPr>
                <w:b/>
              </w:rPr>
              <w:t>Jefferies</w:t>
            </w:r>
          </w:p>
        </w:tc>
        <w:tc>
          <w:tcPr>
            <w:tcW w:w="155" w:type="dxa"/>
            <w:tcBorders/>
            <w:vAlign w:val="bottom"/>
          </w:tcPr>
          <w:p>
            <w:pPr>
              <w:pStyle w:val="TableContents"/>
              <w:bidi w:val="0"/>
              <w:spacing w:before="0" w:after="283"/>
              <w:jc w:val="left"/>
              <w:rPr/>
            </w:pPr>
            <w:r>
              <w:rPr/>
              <w:t>  </w:t>
            </w:r>
          </w:p>
        </w:tc>
        <w:tc>
          <w:tcPr>
            <w:tcW w:w="2262" w:type="dxa"/>
            <w:tcBorders/>
          </w:tcPr>
          <w:p>
            <w:pPr>
              <w:pStyle w:val="TableContents"/>
              <w:bidi w:val="0"/>
              <w:spacing w:before="0" w:after="283"/>
              <w:jc w:val="right"/>
              <w:rPr>
                <w:b/>
              </w:rPr>
            </w:pPr>
            <w:r>
              <w:rPr>
                <w:b/>
              </w:rPr>
              <w:t>Evercore ISI</w:t>
            </w:r>
          </w:p>
        </w:tc>
      </w:tr>
    </w:tbl>
    <w:p>
      <w:pPr>
        <w:pStyle w:val="TextBody"/>
        <w:bidi w:val="0"/>
        <w:spacing w:before="440" w:after="0"/>
        <w:ind w:left="1140" w:right="1140" w:hanging="0"/>
        <w:jc w:val="left"/>
        <w:rPr/>
      </w:pPr>
      <w:r>
        <w:rPr/>
        <w:t>    </w:t>
      </w:r>
      <w:r>
        <w:rPr>
          <w:rFonts w:ascii="Arial" w:hAnsi="Arial"/>
          <w:b/>
          <w:sz w:val="20"/>
        </w:rPr>
        <w:t xml:space="preserve">, 2026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2" w:name="toc"/>
      <w:bookmarkEnd w:id="2"/>
      <w:r>
        <w:rPr>
          <w:rFonts w:ascii="Arial" w:hAnsi="Arial"/>
          <w:b/>
          <w:sz w:val="32"/>
        </w:rPr>
        <w:t xml:space="preserve">Table of contents </w:t>
      </w:r>
    </w:p>
    <w:p>
      <w:pPr>
        <w:pStyle w:val="TextBody"/>
        <w:bidi w:val="0"/>
        <w:spacing w:before="160" w:after="0"/>
        <w:jc w:val="left"/>
        <w:rPr>
          <w:rFonts w:ascii="Arial" w:hAnsi="Arial"/>
          <w:b/>
          <w:sz w:val="32"/>
        </w:rPr>
      </w:pPr>
      <w:r>
        <w:rPr>
          <w:rFonts w:ascii="Arial" w:hAnsi="Arial"/>
          <w:b/>
          <w:sz w:val="32"/>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81"/>
        <w:gridCol w:w="141"/>
        <w:gridCol w:w="60"/>
        <w:gridCol w:w="461"/>
        <w:gridCol w:w="62"/>
      </w:tblGrid>
      <w:tr>
        <w:trPr/>
        <w:tc>
          <w:tcPr>
            <w:tcW w:w="9481"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8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21" w:type="dxa"/>
            <w:gridSpan w:val="2"/>
            <w:tcBorders/>
            <w:vAlign w:val="bottom"/>
          </w:tcPr>
          <w:p>
            <w:pPr>
              <w:pStyle w:val="TableContents"/>
              <w:bidi w:val="0"/>
              <w:spacing w:before="0" w:after="283"/>
              <w:jc w:val="right"/>
              <w:rPr>
                <w:b/>
              </w:rPr>
            </w:pPr>
            <w:r>
              <w:rPr>
                <w:b/>
              </w:rPr>
              <w:t>Page</w:t>
            </w:r>
          </w:p>
        </w:tc>
        <w:tc>
          <w:tcPr>
            <w:tcW w:w="62" w:type="dxa"/>
            <w:tcBorders/>
            <w:vAlign w:val="bottom"/>
          </w:tcPr>
          <w:p>
            <w:pPr>
              <w:pStyle w:val="TableContents"/>
              <w:bidi w:val="0"/>
              <w:spacing w:before="0" w:after="283"/>
              <w:jc w:val="left"/>
              <w:rPr/>
            </w:pPr>
            <w:r>
              <w:rPr/>
              <w:t> </w:t>
            </w:r>
          </w:p>
        </w:tc>
      </w:tr>
      <w:tr>
        <w:trPr>
          <w:trHeight w:val="75" w:hRule="atLeast"/>
        </w:trPr>
        <w:tc>
          <w:tcPr>
            <w:tcW w:w="9481" w:type="dxa"/>
            <w:tcBorders/>
            <w:vAlign w:val="center"/>
          </w:tcPr>
          <w:p>
            <w:pPr>
              <w:pStyle w:val="TableContents"/>
              <w:bidi w:val="0"/>
              <w:spacing w:before="0" w:after="283"/>
              <w:jc w:val="left"/>
              <w:rPr>
                <w:sz w:val="4"/>
                <w:szCs w:val="4"/>
              </w:rPr>
            </w:pPr>
            <w:r>
              <w:rPr>
                <w:sz w:val="4"/>
                <w:szCs w:val="4"/>
              </w:rPr>
            </w:r>
          </w:p>
        </w:tc>
        <w:tc>
          <w:tcPr>
            <w:tcW w:w="724" w:type="dxa"/>
            <w:gridSpan w:val="4"/>
            <w:tcBorders/>
            <w:vAlign w:val="center"/>
          </w:tcPr>
          <w:p>
            <w:pPr>
              <w:pStyle w:val="TableContents"/>
              <w:bidi w:val="0"/>
              <w:spacing w:before="0" w:after="283"/>
              <w:jc w:val="left"/>
              <w:rPr>
                <w:sz w:val="4"/>
                <w:szCs w:val="4"/>
              </w:rPr>
            </w:pPr>
            <w:r>
              <w:rPr>
                <w:sz w:val="4"/>
                <w:szCs w:val="4"/>
              </w:rPr>
            </w:r>
          </w:p>
        </w:tc>
      </w:tr>
      <w:tr>
        <w:trPr/>
        <w:tc>
          <w:tcPr>
            <w:tcW w:w="9481" w:type="dxa"/>
            <w:tcBorders/>
          </w:tcPr>
          <w:p>
            <w:pPr>
              <w:pStyle w:val="TableContents"/>
              <w:bidi w:val="0"/>
              <w:spacing w:before="0" w:after="0"/>
              <w:jc w:val="left"/>
              <w:rPr/>
            </w:pPr>
            <w:hyperlink w:anchor="supptoc116467_1">
              <w:r>
                <w:rPr>
                  <w:rStyle w:val="InternetLink"/>
                  <w:rFonts w:ascii="Arial" w:hAnsi="Arial"/>
                  <w:sz w:val="20"/>
                </w:rPr>
                <w:t>About this prospectus supplement</w:t>
              </w:r>
            </w:hyperlink>
          </w:p>
        </w:tc>
        <w:tc>
          <w:tcPr>
            <w:tcW w:w="14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61" w:type="dxa"/>
            <w:tcBorders/>
          </w:tcPr>
          <w:p>
            <w:pPr>
              <w:pStyle w:val="TableContents"/>
              <w:bidi w:val="0"/>
              <w:spacing w:before="0" w:after="283"/>
              <w:jc w:val="right"/>
              <w:rPr/>
            </w:pPr>
            <w:r>
              <w:rPr/>
              <w:t>S-ii</w:t>
            </w:r>
          </w:p>
        </w:tc>
        <w:tc>
          <w:tcPr>
            <w:tcW w:w="62" w:type="dxa"/>
            <w:tcBorders/>
          </w:tcPr>
          <w:p>
            <w:pPr>
              <w:pStyle w:val="TableContents"/>
              <w:bidi w:val="0"/>
              <w:spacing w:before="0" w:after="283"/>
              <w:jc w:val="left"/>
              <w:rPr/>
            </w:pPr>
            <w:r>
              <w:rPr/>
              <w:t> </w:t>
            </w:r>
          </w:p>
        </w:tc>
      </w:tr>
      <w:tr>
        <w:trPr>
          <w:trHeight w:val="75" w:hRule="atLeast"/>
        </w:trPr>
        <w:tc>
          <w:tcPr>
            <w:tcW w:w="9481" w:type="dxa"/>
            <w:tcBorders/>
            <w:vAlign w:val="center"/>
          </w:tcPr>
          <w:p>
            <w:pPr>
              <w:pStyle w:val="TableContents"/>
              <w:bidi w:val="0"/>
              <w:spacing w:before="0" w:after="283"/>
              <w:jc w:val="left"/>
              <w:rPr>
                <w:sz w:val="4"/>
                <w:szCs w:val="4"/>
              </w:rPr>
            </w:pPr>
            <w:r>
              <w:rPr>
                <w:sz w:val="4"/>
                <w:szCs w:val="4"/>
              </w:rPr>
            </w:r>
          </w:p>
        </w:tc>
        <w:tc>
          <w:tcPr>
            <w:tcW w:w="724" w:type="dxa"/>
            <w:gridSpan w:val="4"/>
            <w:tcBorders/>
            <w:vAlign w:val="center"/>
          </w:tcPr>
          <w:p>
            <w:pPr>
              <w:pStyle w:val="TableContents"/>
              <w:bidi w:val="0"/>
              <w:spacing w:before="0" w:after="283"/>
              <w:jc w:val="left"/>
              <w:rPr>
                <w:sz w:val="4"/>
                <w:szCs w:val="4"/>
              </w:rPr>
            </w:pPr>
            <w:r>
              <w:rPr>
                <w:sz w:val="4"/>
                <w:szCs w:val="4"/>
              </w:rPr>
            </w:r>
          </w:p>
        </w:tc>
      </w:tr>
      <w:tr>
        <w:trPr/>
        <w:tc>
          <w:tcPr>
            <w:tcW w:w="9481" w:type="dxa"/>
            <w:tcBorders/>
          </w:tcPr>
          <w:p>
            <w:pPr>
              <w:pStyle w:val="TableContents"/>
              <w:bidi w:val="0"/>
              <w:spacing w:before="0" w:after="0"/>
              <w:jc w:val="left"/>
              <w:rPr/>
            </w:pPr>
            <w:hyperlink w:anchor="supptoc116467_2">
              <w:r>
                <w:rPr>
                  <w:rStyle w:val="InternetLink"/>
                  <w:rFonts w:ascii="Arial" w:hAnsi="Arial"/>
                  <w:sz w:val="20"/>
                </w:rPr>
                <w:t>Prospectus supplement summary</w:t>
              </w:r>
            </w:hyperlink>
          </w:p>
        </w:tc>
        <w:tc>
          <w:tcPr>
            <w:tcW w:w="14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61" w:type="dxa"/>
            <w:tcBorders/>
          </w:tcPr>
          <w:p>
            <w:pPr>
              <w:pStyle w:val="TableContents"/>
              <w:bidi w:val="0"/>
              <w:spacing w:before="0" w:after="283"/>
              <w:jc w:val="right"/>
              <w:rPr/>
            </w:pPr>
            <w:r>
              <w:rPr/>
              <w:t>S-1</w:t>
            </w:r>
          </w:p>
        </w:tc>
        <w:tc>
          <w:tcPr>
            <w:tcW w:w="62" w:type="dxa"/>
            <w:tcBorders/>
          </w:tcPr>
          <w:p>
            <w:pPr>
              <w:pStyle w:val="TableContents"/>
              <w:bidi w:val="0"/>
              <w:spacing w:before="0" w:after="283"/>
              <w:jc w:val="left"/>
              <w:rPr/>
            </w:pPr>
            <w:r>
              <w:rPr/>
              <w:t> </w:t>
            </w:r>
          </w:p>
        </w:tc>
      </w:tr>
      <w:tr>
        <w:trPr>
          <w:trHeight w:val="75" w:hRule="atLeast"/>
        </w:trPr>
        <w:tc>
          <w:tcPr>
            <w:tcW w:w="9481" w:type="dxa"/>
            <w:tcBorders/>
            <w:vAlign w:val="center"/>
          </w:tcPr>
          <w:p>
            <w:pPr>
              <w:pStyle w:val="TableContents"/>
              <w:bidi w:val="0"/>
              <w:spacing w:before="0" w:after="283"/>
              <w:jc w:val="left"/>
              <w:rPr>
                <w:sz w:val="4"/>
                <w:szCs w:val="4"/>
              </w:rPr>
            </w:pPr>
            <w:r>
              <w:rPr>
                <w:sz w:val="4"/>
                <w:szCs w:val="4"/>
              </w:rPr>
            </w:r>
          </w:p>
        </w:tc>
        <w:tc>
          <w:tcPr>
            <w:tcW w:w="724" w:type="dxa"/>
            <w:gridSpan w:val="4"/>
            <w:tcBorders/>
            <w:vAlign w:val="center"/>
          </w:tcPr>
          <w:p>
            <w:pPr>
              <w:pStyle w:val="TableContents"/>
              <w:bidi w:val="0"/>
              <w:spacing w:before="0" w:after="283"/>
              <w:jc w:val="left"/>
              <w:rPr>
                <w:sz w:val="4"/>
                <w:szCs w:val="4"/>
              </w:rPr>
            </w:pPr>
            <w:r>
              <w:rPr>
                <w:sz w:val="4"/>
                <w:szCs w:val="4"/>
              </w:rPr>
            </w:r>
          </w:p>
        </w:tc>
      </w:tr>
      <w:tr>
        <w:trPr/>
        <w:tc>
          <w:tcPr>
            <w:tcW w:w="9481" w:type="dxa"/>
            <w:tcBorders/>
          </w:tcPr>
          <w:p>
            <w:pPr>
              <w:pStyle w:val="TableContents"/>
              <w:bidi w:val="0"/>
              <w:spacing w:before="0" w:after="0"/>
              <w:jc w:val="left"/>
              <w:rPr/>
            </w:pPr>
            <w:hyperlink w:anchor="supptoc116467_3">
              <w:r>
                <w:rPr>
                  <w:rStyle w:val="InternetLink"/>
                  <w:rFonts w:ascii="Arial" w:hAnsi="Arial"/>
                  <w:sz w:val="20"/>
                </w:rPr>
                <w:t>Risk factors</w:t>
              </w:r>
            </w:hyperlink>
          </w:p>
        </w:tc>
        <w:tc>
          <w:tcPr>
            <w:tcW w:w="14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61" w:type="dxa"/>
            <w:tcBorders/>
          </w:tcPr>
          <w:p>
            <w:pPr>
              <w:pStyle w:val="TableContents"/>
              <w:bidi w:val="0"/>
              <w:spacing w:before="0" w:after="283"/>
              <w:jc w:val="right"/>
              <w:rPr/>
            </w:pPr>
            <w:r>
              <w:rPr/>
              <w:t>S-5</w:t>
            </w:r>
          </w:p>
        </w:tc>
        <w:tc>
          <w:tcPr>
            <w:tcW w:w="62" w:type="dxa"/>
            <w:tcBorders/>
          </w:tcPr>
          <w:p>
            <w:pPr>
              <w:pStyle w:val="TableContents"/>
              <w:bidi w:val="0"/>
              <w:spacing w:before="0" w:after="283"/>
              <w:jc w:val="left"/>
              <w:rPr/>
            </w:pPr>
            <w:r>
              <w:rPr/>
              <w:t> </w:t>
            </w:r>
          </w:p>
        </w:tc>
      </w:tr>
      <w:tr>
        <w:trPr>
          <w:trHeight w:val="75" w:hRule="atLeast"/>
        </w:trPr>
        <w:tc>
          <w:tcPr>
            <w:tcW w:w="9481" w:type="dxa"/>
            <w:tcBorders/>
            <w:vAlign w:val="center"/>
          </w:tcPr>
          <w:p>
            <w:pPr>
              <w:pStyle w:val="TableContents"/>
              <w:bidi w:val="0"/>
              <w:spacing w:before="0" w:after="283"/>
              <w:jc w:val="left"/>
              <w:rPr>
                <w:sz w:val="4"/>
                <w:szCs w:val="4"/>
              </w:rPr>
            </w:pPr>
            <w:r>
              <w:rPr>
                <w:sz w:val="4"/>
                <w:szCs w:val="4"/>
              </w:rPr>
            </w:r>
          </w:p>
        </w:tc>
        <w:tc>
          <w:tcPr>
            <w:tcW w:w="724" w:type="dxa"/>
            <w:gridSpan w:val="4"/>
            <w:tcBorders/>
            <w:vAlign w:val="center"/>
          </w:tcPr>
          <w:p>
            <w:pPr>
              <w:pStyle w:val="TableContents"/>
              <w:bidi w:val="0"/>
              <w:spacing w:before="0" w:after="283"/>
              <w:jc w:val="left"/>
              <w:rPr>
                <w:sz w:val="4"/>
                <w:szCs w:val="4"/>
              </w:rPr>
            </w:pPr>
            <w:r>
              <w:rPr>
                <w:sz w:val="4"/>
                <w:szCs w:val="4"/>
              </w:rPr>
            </w:r>
          </w:p>
        </w:tc>
      </w:tr>
      <w:tr>
        <w:trPr/>
        <w:tc>
          <w:tcPr>
            <w:tcW w:w="9481" w:type="dxa"/>
            <w:tcBorders/>
          </w:tcPr>
          <w:p>
            <w:pPr>
              <w:pStyle w:val="TableContents"/>
              <w:bidi w:val="0"/>
              <w:spacing w:before="0" w:after="0"/>
              <w:jc w:val="left"/>
              <w:rPr/>
            </w:pPr>
            <w:hyperlink w:anchor="supptoc116467_4">
              <w:r>
                <w:rPr>
                  <w:rStyle w:val="InternetLink"/>
                  <w:rFonts w:ascii="Arial" w:hAnsi="Arial"/>
                  <w:sz w:val="20"/>
                </w:rPr>
                <w:t>Cautionary note regarding forward-looking statements</w:t>
              </w:r>
            </w:hyperlink>
          </w:p>
        </w:tc>
        <w:tc>
          <w:tcPr>
            <w:tcW w:w="14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61" w:type="dxa"/>
            <w:tcBorders/>
          </w:tcPr>
          <w:p>
            <w:pPr>
              <w:pStyle w:val="TableContents"/>
              <w:bidi w:val="0"/>
              <w:spacing w:before="0" w:after="283"/>
              <w:jc w:val="right"/>
              <w:rPr/>
            </w:pPr>
            <w:r>
              <w:rPr/>
              <w:t>S-7</w:t>
            </w:r>
          </w:p>
        </w:tc>
        <w:tc>
          <w:tcPr>
            <w:tcW w:w="62" w:type="dxa"/>
            <w:tcBorders/>
          </w:tcPr>
          <w:p>
            <w:pPr>
              <w:pStyle w:val="TableContents"/>
              <w:bidi w:val="0"/>
              <w:spacing w:before="0" w:after="283"/>
              <w:jc w:val="left"/>
              <w:rPr/>
            </w:pPr>
            <w:r>
              <w:rPr/>
              <w:t> </w:t>
            </w:r>
          </w:p>
        </w:tc>
      </w:tr>
      <w:tr>
        <w:trPr>
          <w:trHeight w:val="75" w:hRule="atLeast"/>
        </w:trPr>
        <w:tc>
          <w:tcPr>
            <w:tcW w:w="9481" w:type="dxa"/>
            <w:tcBorders/>
            <w:vAlign w:val="center"/>
          </w:tcPr>
          <w:p>
            <w:pPr>
              <w:pStyle w:val="TableContents"/>
              <w:bidi w:val="0"/>
              <w:spacing w:before="0" w:after="283"/>
              <w:jc w:val="left"/>
              <w:rPr>
                <w:sz w:val="4"/>
                <w:szCs w:val="4"/>
              </w:rPr>
            </w:pPr>
            <w:r>
              <w:rPr>
                <w:sz w:val="4"/>
                <w:szCs w:val="4"/>
              </w:rPr>
            </w:r>
          </w:p>
        </w:tc>
        <w:tc>
          <w:tcPr>
            <w:tcW w:w="724" w:type="dxa"/>
            <w:gridSpan w:val="4"/>
            <w:tcBorders/>
            <w:vAlign w:val="center"/>
          </w:tcPr>
          <w:p>
            <w:pPr>
              <w:pStyle w:val="TableContents"/>
              <w:bidi w:val="0"/>
              <w:spacing w:before="0" w:after="283"/>
              <w:jc w:val="left"/>
              <w:rPr>
                <w:sz w:val="4"/>
                <w:szCs w:val="4"/>
              </w:rPr>
            </w:pPr>
            <w:r>
              <w:rPr>
                <w:sz w:val="4"/>
                <w:szCs w:val="4"/>
              </w:rPr>
            </w:r>
          </w:p>
        </w:tc>
      </w:tr>
      <w:tr>
        <w:trPr/>
        <w:tc>
          <w:tcPr>
            <w:tcW w:w="9481" w:type="dxa"/>
            <w:tcBorders/>
          </w:tcPr>
          <w:p>
            <w:pPr>
              <w:pStyle w:val="TableContents"/>
              <w:bidi w:val="0"/>
              <w:spacing w:before="0" w:after="0"/>
              <w:jc w:val="left"/>
              <w:rPr/>
            </w:pPr>
            <w:hyperlink w:anchor="supptoc116467_5">
              <w:r>
                <w:rPr>
                  <w:rStyle w:val="InternetLink"/>
                  <w:rFonts w:ascii="Arial" w:hAnsi="Arial"/>
                  <w:sz w:val="20"/>
                </w:rPr>
                <w:t>Use of proceeds</w:t>
              </w:r>
            </w:hyperlink>
          </w:p>
        </w:tc>
        <w:tc>
          <w:tcPr>
            <w:tcW w:w="14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61" w:type="dxa"/>
            <w:tcBorders/>
          </w:tcPr>
          <w:p>
            <w:pPr>
              <w:pStyle w:val="TableContents"/>
              <w:bidi w:val="0"/>
              <w:spacing w:before="0" w:after="283"/>
              <w:jc w:val="right"/>
              <w:rPr/>
            </w:pPr>
            <w:r>
              <w:rPr/>
              <w:t>S-8</w:t>
            </w:r>
          </w:p>
        </w:tc>
        <w:tc>
          <w:tcPr>
            <w:tcW w:w="62" w:type="dxa"/>
            <w:tcBorders/>
          </w:tcPr>
          <w:p>
            <w:pPr>
              <w:pStyle w:val="TableContents"/>
              <w:bidi w:val="0"/>
              <w:spacing w:before="0" w:after="283"/>
              <w:jc w:val="left"/>
              <w:rPr/>
            </w:pPr>
            <w:r>
              <w:rPr/>
              <w:t> </w:t>
            </w:r>
          </w:p>
        </w:tc>
      </w:tr>
      <w:tr>
        <w:trPr>
          <w:trHeight w:val="75" w:hRule="atLeast"/>
        </w:trPr>
        <w:tc>
          <w:tcPr>
            <w:tcW w:w="9481" w:type="dxa"/>
            <w:tcBorders/>
            <w:vAlign w:val="center"/>
          </w:tcPr>
          <w:p>
            <w:pPr>
              <w:pStyle w:val="TableContents"/>
              <w:bidi w:val="0"/>
              <w:spacing w:before="0" w:after="283"/>
              <w:jc w:val="left"/>
              <w:rPr>
                <w:sz w:val="4"/>
                <w:szCs w:val="4"/>
              </w:rPr>
            </w:pPr>
            <w:r>
              <w:rPr>
                <w:sz w:val="4"/>
                <w:szCs w:val="4"/>
              </w:rPr>
            </w:r>
          </w:p>
        </w:tc>
        <w:tc>
          <w:tcPr>
            <w:tcW w:w="724" w:type="dxa"/>
            <w:gridSpan w:val="4"/>
            <w:tcBorders/>
            <w:vAlign w:val="center"/>
          </w:tcPr>
          <w:p>
            <w:pPr>
              <w:pStyle w:val="TableContents"/>
              <w:bidi w:val="0"/>
              <w:spacing w:before="0" w:after="283"/>
              <w:jc w:val="left"/>
              <w:rPr>
                <w:sz w:val="4"/>
                <w:szCs w:val="4"/>
              </w:rPr>
            </w:pPr>
            <w:r>
              <w:rPr>
                <w:sz w:val="4"/>
                <w:szCs w:val="4"/>
              </w:rPr>
            </w:r>
          </w:p>
        </w:tc>
      </w:tr>
      <w:tr>
        <w:trPr/>
        <w:tc>
          <w:tcPr>
            <w:tcW w:w="9481" w:type="dxa"/>
            <w:tcBorders/>
          </w:tcPr>
          <w:p>
            <w:pPr>
              <w:pStyle w:val="TableContents"/>
              <w:bidi w:val="0"/>
              <w:spacing w:before="0" w:after="0"/>
              <w:jc w:val="left"/>
              <w:rPr/>
            </w:pPr>
            <w:hyperlink w:anchor="supptoc116467_6">
              <w:r>
                <w:rPr>
                  <w:rStyle w:val="InternetLink"/>
                  <w:rFonts w:ascii="Arial" w:hAnsi="Arial"/>
                  <w:sz w:val="20"/>
                </w:rPr>
                <w:t>Dilution</w:t>
              </w:r>
            </w:hyperlink>
          </w:p>
        </w:tc>
        <w:tc>
          <w:tcPr>
            <w:tcW w:w="14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61" w:type="dxa"/>
            <w:tcBorders/>
          </w:tcPr>
          <w:p>
            <w:pPr>
              <w:pStyle w:val="TableContents"/>
              <w:bidi w:val="0"/>
              <w:spacing w:before="0" w:after="283"/>
              <w:jc w:val="right"/>
              <w:rPr/>
            </w:pPr>
            <w:r>
              <w:rPr/>
              <w:t>S-9</w:t>
            </w:r>
          </w:p>
        </w:tc>
        <w:tc>
          <w:tcPr>
            <w:tcW w:w="62" w:type="dxa"/>
            <w:tcBorders/>
          </w:tcPr>
          <w:p>
            <w:pPr>
              <w:pStyle w:val="TableContents"/>
              <w:bidi w:val="0"/>
              <w:spacing w:before="0" w:after="283"/>
              <w:jc w:val="left"/>
              <w:rPr/>
            </w:pPr>
            <w:r>
              <w:rPr/>
              <w:t> </w:t>
            </w:r>
          </w:p>
        </w:tc>
      </w:tr>
      <w:tr>
        <w:trPr>
          <w:trHeight w:val="75" w:hRule="atLeast"/>
        </w:trPr>
        <w:tc>
          <w:tcPr>
            <w:tcW w:w="9481" w:type="dxa"/>
            <w:tcBorders/>
            <w:vAlign w:val="center"/>
          </w:tcPr>
          <w:p>
            <w:pPr>
              <w:pStyle w:val="TableContents"/>
              <w:bidi w:val="0"/>
              <w:spacing w:before="0" w:after="283"/>
              <w:jc w:val="left"/>
              <w:rPr>
                <w:sz w:val="4"/>
                <w:szCs w:val="4"/>
              </w:rPr>
            </w:pPr>
            <w:r>
              <w:rPr>
                <w:sz w:val="4"/>
                <w:szCs w:val="4"/>
              </w:rPr>
            </w:r>
          </w:p>
        </w:tc>
        <w:tc>
          <w:tcPr>
            <w:tcW w:w="724" w:type="dxa"/>
            <w:gridSpan w:val="4"/>
            <w:tcBorders/>
            <w:vAlign w:val="center"/>
          </w:tcPr>
          <w:p>
            <w:pPr>
              <w:pStyle w:val="TableContents"/>
              <w:bidi w:val="0"/>
              <w:spacing w:before="0" w:after="283"/>
              <w:jc w:val="left"/>
              <w:rPr>
                <w:sz w:val="4"/>
                <w:szCs w:val="4"/>
              </w:rPr>
            </w:pPr>
            <w:r>
              <w:rPr>
                <w:sz w:val="4"/>
                <w:szCs w:val="4"/>
              </w:rPr>
            </w:r>
          </w:p>
        </w:tc>
      </w:tr>
      <w:tr>
        <w:trPr/>
        <w:tc>
          <w:tcPr>
            <w:tcW w:w="9481" w:type="dxa"/>
            <w:tcBorders/>
          </w:tcPr>
          <w:p>
            <w:pPr>
              <w:pStyle w:val="TableContents"/>
              <w:bidi w:val="0"/>
              <w:spacing w:before="0" w:after="0"/>
              <w:jc w:val="left"/>
              <w:rPr/>
            </w:pPr>
            <w:hyperlink w:anchor="supptoc116467_6a">
              <w:r>
                <w:rPr>
                  <w:rStyle w:val="InternetLink"/>
                  <w:rFonts w:ascii="Arial" w:hAnsi="Arial"/>
                  <w:sz w:val="20"/>
                </w:rPr>
                <w:t xml:space="preserve">Material U.S. federal income tax consequences to non-U.S. holders </w:t>
              </w:r>
            </w:hyperlink>
          </w:p>
        </w:tc>
        <w:tc>
          <w:tcPr>
            <w:tcW w:w="14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61" w:type="dxa"/>
            <w:tcBorders/>
          </w:tcPr>
          <w:p>
            <w:pPr>
              <w:pStyle w:val="TableContents"/>
              <w:bidi w:val="0"/>
              <w:spacing w:before="0" w:after="283"/>
              <w:jc w:val="right"/>
              <w:rPr/>
            </w:pPr>
            <w:r>
              <w:rPr/>
              <w:t>S-11</w:t>
            </w:r>
          </w:p>
        </w:tc>
        <w:tc>
          <w:tcPr>
            <w:tcW w:w="62" w:type="dxa"/>
            <w:tcBorders/>
          </w:tcPr>
          <w:p>
            <w:pPr>
              <w:pStyle w:val="TableContents"/>
              <w:bidi w:val="0"/>
              <w:spacing w:before="0" w:after="283"/>
              <w:jc w:val="left"/>
              <w:rPr/>
            </w:pPr>
            <w:r>
              <w:rPr/>
              <w:t> </w:t>
            </w:r>
          </w:p>
        </w:tc>
      </w:tr>
      <w:tr>
        <w:trPr>
          <w:trHeight w:val="75" w:hRule="atLeast"/>
        </w:trPr>
        <w:tc>
          <w:tcPr>
            <w:tcW w:w="9481" w:type="dxa"/>
            <w:tcBorders/>
            <w:vAlign w:val="center"/>
          </w:tcPr>
          <w:p>
            <w:pPr>
              <w:pStyle w:val="TableContents"/>
              <w:bidi w:val="0"/>
              <w:spacing w:before="0" w:after="283"/>
              <w:jc w:val="left"/>
              <w:rPr>
                <w:sz w:val="4"/>
                <w:szCs w:val="4"/>
              </w:rPr>
            </w:pPr>
            <w:r>
              <w:rPr>
                <w:sz w:val="4"/>
                <w:szCs w:val="4"/>
              </w:rPr>
            </w:r>
          </w:p>
        </w:tc>
        <w:tc>
          <w:tcPr>
            <w:tcW w:w="724" w:type="dxa"/>
            <w:gridSpan w:val="4"/>
            <w:tcBorders/>
            <w:vAlign w:val="center"/>
          </w:tcPr>
          <w:p>
            <w:pPr>
              <w:pStyle w:val="TableContents"/>
              <w:bidi w:val="0"/>
              <w:spacing w:before="0" w:after="283"/>
              <w:jc w:val="left"/>
              <w:rPr>
                <w:sz w:val="4"/>
                <w:szCs w:val="4"/>
              </w:rPr>
            </w:pPr>
            <w:r>
              <w:rPr>
                <w:sz w:val="4"/>
                <w:szCs w:val="4"/>
              </w:rPr>
            </w:r>
          </w:p>
        </w:tc>
      </w:tr>
      <w:tr>
        <w:trPr/>
        <w:tc>
          <w:tcPr>
            <w:tcW w:w="9481" w:type="dxa"/>
            <w:tcBorders/>
          </w:tcPr>
          <w:p>
            <w:pPr>
              <w:pStyle w:val="TableContents"/>
              <w:bidi w:val="0"/>
              <w:spacing w:before="0" w:after="0"/>
              <w:jc w:val="left"/>
              <w:rPr/>
            </w:pPr>
            <w:hyperlink w:anchor="supptoc116467_7">
              <w:r>
                <w:rPr>
                  <w:rStyle w:val="InternetLink"/>
                  <w:rFonts w:ascii="Arial" w:hAnsi="Arial"/>
                  <w:sz w:val="20"/>
                </w:rPr>
                <w:t>Underwriting</w:t>
              </w:r>
            </w:hyperlink>
          </w:p>
        </w:tc>
        <w:tc>
          <w:tcPr>
            <w:tcW w:w="14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61" w:type="dxa"/>
            <w:tcBorders/>
          </w:tcPr>
          <w:p>
            <w:pPr>
              <w:pStyle w:val="TableContents"/>
              <w:bidi w:val="0"/>
              <w:spacing w:before="0" w:after="283"/>
              <w:jc w:val="right"/>
              <w:rPr/>
            </w:pPr>
            <w:r>
              <w:rPr/>
              <w:t>S-15</w:t>
            </w:r>
          </w:p>
        </w:tc>
        <w:tc>
          <w:tcPr>
            <w:tcW w:w="62" w:type="dxa"/>
            <w:tcBorders/>
          </w:tcPr>
          <w:p>
            <w:pPr>
              <w:pStyle w:val="TableContents"/>
              <w:bidi w:val="0"/>
              <w:spacing w:before="0" w:after="283"/>
              <w:jc w:val="left"/>
              <w:rPr/>
            </w:pPr>
            <w:r>
              <w:rPr/>
              <w:t> </w:t>
            </w:r>
          </w:p>
        </w:tc>
      </w:tr>
      <w:tr>
        <w:trPr>
          <w:trHeight w:val="75" w:hRule="atLeast"/>
        </w:trPr>
        <w:tc>
          <w:tcPr>
            <w:tcW w:w="9481" w:type="dxa"/>
            <w:tcBorders/>
            <w:vAlign w:val="center"/>
          </w:tcPr>
          <w:p>
            <w:pPr>
              <w:pStyle w:val="TableContents"/>
              <w:bidi w:val="0"/>
              <w:spacing w:before="0" w:after="283"/>
              <w:jc w:val="left"/>
              <w:rPr>
                <w:sz w:val="4"/>
                <w:szCs w:val="4"/>
              </w:rPr>
            </w:pPr>
            <w:r>
              <w:rPr>
                <w:sz w:val="4"/>
                <w:szCs w:val="4"/>
              </w:rPr>
            </w:r>
          </w:p>
        </w:tc>
        <w:tc>
          <w:tcPr>
            <w:tcW w:w="724" w:type="dxa"/>
            <w:gridSpan w:val="4"/>
            <w:tcBorders/>
            <w:vAlign w:val="center"/>
          </w:tcPr>
          <w:p>
            <w:pPr>
              <w:pStyle w:val="TableContents"/>
              <w:bidi w:val="0"/>
              <w:spacing w:before="0" w:after="283"/>
              <w:jc w:val="left"/>
              <w:rPr>
                <w:sz w:val="4"/>
                <w:szCs w:val="4"/>
              </w:rPr>
            </w:pPr>
            <w:r>
              <w:rPr>
                <w:sz w:val="4"/>
                <w:szCs w:val="4"/>
              </w:rPr>
            </w:r>
          </w:p>
        </w:tc>
      </w:tr>
      <w:tr>
        <w:trPr/>
        <w:tc>
          <w:tcPr>
            <w:tcW w:w="9481" w:type="dxa"/>
            <w:tcBorders/>
          </w:tcPr>
          <w:p>
            <w:pPr>
              <w:pStyle w:val="TableContents"/>
              <w:bidi w:val="0"/>
              <w:spacing w:before="0" w:after="0"/>
              <w:jc w:val="left"/>
              <w:rPr/>
            </w:pPr>
            <w:hyperlink w:anchor="supptoc116467_8">
              <w:r>
                <w:rPr>
                  <w:rStyle w:val="InternetLink"/>
                  <w:rFonts w:ascii="Arial" w:hAnsi="Arial"/>
                  <w:sz w:val="20"/>
                </w:rPr>
                <w:t>Legal matters</w:t>
              </w:r>
            </w:hyperlink>
          </w:p>
        </w:tc>
        <w:tc>
          <w:tcPr>
            <w:tcW w:w="14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61" w:type="dxa"/>
            <w:tcBorders/>
          </w:tcPr>
          <w:p>
            <w:pPr>
              <w:pStyle w:val="TableContents"/>
              <w:bidi w:val="0"/>
              <w:spacing w:before="0" w:after="283"/>
              <w:jc w:val="right"/>
              <w:rPr/>
            </w:pPr>
            <w:r>
              <w:rPr/>
              <w:t>S-30</w:t>
            </w:r>
          </w:p>
        </w:tc>
        <w:tc>
          <w:tcPr>
            <w:tcW w:w="62" w:type="dxa"/>
            <w:tcBorders/>
          </w:tcPr>
          <w:p>
            <w:pPr>
              <w:pStyle w:val="TableContents"/>
              <w:bidi w:val="0"/>
              <w:spacing w:before="0" w:after="283"/>
              <w:jc w:val="left"/>
              <w:rPr/>
            </w:pPr>
            <w:r>
              <w:rPr/>
              <w:t> </w:t>
            </w:r>
          </w:p>
        </w:tc>
      </w:tr>
      <w:tr>
        <w:trPr>
          <w:trHeight w:val="75" w:hRule="atLeast"/>
        </w:trPr>
        <w:tc>
          <w:tcPr>
            <w:tcW w:w="9481" w:type="dxa"/>
            <w:tcBorders/>
            <w:vAlign w:val="center"/>
          </w:tcPr>
          <w:p>
            <w:pPr>
              <w:pStyle w:val="TableContents"/>
              <w:bidi w:val="0"/>
              <w:spacing w:before="0" w:after="283"/>
              <w:jc w:val="left"/>
              <w:rPr>
                <w:sz w:val="4"/>
                <w:szCs w:val="4"/>
              </w:rPr>
            </w:pPr>
            <w:r>
              <w:rPr>
                <w:sz w:val="4"/>
                <w:szCs w:val="4"/>
              </w:rPr>
            </w:r>
          </w:p>
        </w:tc>
        <w:tc>
          <w:tcPr>
            <w:tcW w:w="724" w:type="dxa"/>
            <w:gridSpan w:val="4"/>
            <w:tcBorders/>
            <w:vAlign w:val="center"/>
          </w:tcPr>
          <w:p>
            <w:pPr>
              <w:pStyle w:val="TableContents"/>
              <w:bidi w:val="0"/>
              <w:spacing w:before="0" w:after="283"/>
              <w:jc w:val="left"/>
              <w:rPr>
                <w:sz w:val="4"/>
                <w:szCs w:val="4"/>
              </w:rPr>
            </w:pPr>
            <w:r>
              <w:rPr>
                <w:sz w:val="4"/>
                <w:szCs w:val="4"/>
              </w:rPr>
            </w:r>
          </w:p>
        </w:tc>
      </w:tr>
      <w:tr>
        <w:trPr/>
        <w:tc>
          <w:tcPr>
            <w:tcW w:w="9481" w:type="dxa"/>
            <w:tcBorders/>
          </w:tcPr>
          <w:p>
            <w:pPr>
              <w:pStyle w:val="TableContents"/>
              <w:bidi w:val="0"/>
              <w:spacing w:before="0" w:after="0"/>
              <w:jc w:val="left"/>
              <w:rPr/>
            </w:pPr>
            <w:hyperlink w:anchor="supptoc116467_9">
              <w:r>
                <w:rPr>
                  <w:rStyle w:val="InternetLink"/>
                  <w:rFonts w:ascii="Arial" w:hAnsi="Arial"/>
                  <w:sz w:val="20"/>
                </w:rPr>
                <w:t>Experts</w:t>
              </w:r>
            </w:hyperlink>
          </w:p>
        </w:tc>
        <w:tc>
          <w:tcPr>
            <w:tcW w:w="14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61" w:type="dxa"/>
            <w:tcBorders/>
          </w:tcPr>
          <w:p>
            <w:pPr>
              <w:pStyle w:val="TableContents"/>
              <w:bidi w:val="0"/>
              <w:spacing w:before="0" w:after="283"/>
              <w:jc w:val="right"/>
              <w:rPr/>
            </w:pPr>
            <w:r>
              <w:rPr/>
              <w:t>S-30</w:t>
            </w:r>
          </w:p>
        </w:tc>
        <w:tc>
          <w:tcPr>
            <w:tcW w:w="62" w:type="dxa"/>
            <w:tcBorders/>
          </w:tcPr>
          <w:p>
            <w:pPr>
              <w:pStyle w:val="TableContents"/>
              <w:bidi w:val="0"/>
              <w:spacing w:before="0" w:after="283"/>
              <w:jc w:val="left"/>
              <w:rPr/>
            </w:pPr>
            <w:r>
              <w:rPr/>
              <w:t> </w:t>
            </w:r>
          </w:p>
        </w:tc>
      </w:tr>
      <w:tr>
        <w:trPr>
          <w:trHeight w:val="75" w:hRule="atLeast"/>
        </w:trPr>
        <w:tc>
          <w:tcPr>
            <w:tcW w:w="9481" w:type="dxa"/>
            <w:tcBorders/>
            <w:vAlign w:val="center"/>
          </w:tcPr>
          <w:p>
            <w:pPr>
              <w:pStyle w:val="TableContents"/>
              <w:bidi w:val="0"/>
              <w:spacing w:before="0" w:after="283"/>
              <w:jc w:val="left"/>
              <w:rPr>
                <w:sz w:val="4"/>
                <w:szCs w:val="4"/>
              </w:rPr>
            </w:pPr>
            <w:r>
              <w:rPr>
                <w:sz w:val="4"/>
                <w:szCs w:val="4"/>
              </w:rPr>
            </w:r>
          </w:p>
        </w:tc>
        <w:tc>
          <w:tcPr>
            <w:tcW w:w="724" w:type="dxa"/>
            <w:gridSpan w:val="4"/>
            <w:tcBorders/>
            <w:vAlign w:val="center"/>
          </w:tcPr>
          <w:p>
            <w:pPr>
              <w:pStyle w:val="TableContents"/>
              <w:bidi w:val="0"/>
              <w:spacing w:before="0" w:after="283"/>
              <w:jc w:val="left"/>
              <w:rPr>
                <w:sz w:val="4"/>
                <w:szCs w:val="4"/>
              </w:rPr>
            </w:pPr>
            <w:r>
              <w:rPr>
                <w:sz w:val="4"/>
                <w:szCs w:val="4"/>
              </w:rPr>
            </w:r>
          </w:p>
        </w:tc>
      </w:tr>
      <w:tr>
        <w:trPr/>
        <w:tc>
          <w:tcPr>
            <w:tcW w:w="9481" w:type="dxa"/>
            <w:tcBorders/>
          </w:tcPr>
          <w:p>
            <w:pPr>
              <w:pStyle w:val="TableContents"/>
              <w:bidi w:val="0"/>
              <w:spacing w:before="0" w:after="0"/>
              <w:jc w:val="left"/>
              <w:rPr/>
            </w:pPr>
            <w:hyperlink w:anchor="supptoc116467_10">
              <w:r>
                <w:rPr>
                  <w:rStyle w:val="InternetLink"/>
                  <w:rFonts w:ascii="Arial" w:hAnsi="Arial"/>
                  <w:sz w:val="20"/>
                </w:rPr>
                <w:t>Where you can find more information; incorporation by reference</w:t>
              </w:r>
            </w:hyperlink>
          </w:p>
        </w:tc>
        <w:tc>
          <w:tcPr>
            <w:tcW w:w="14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61" w:type="dxa"/>
            <w:tcBorders/>
          </w:tcPr>
          <w:p>
            <w:pPr>
              <w:pStyle w:val="TableContents"/>
              <w:bidi w:val="0"/>
              <w:spacing w:before="0" w:after="283"/>
              <w:jc w:val="right"/>
              <w:rPr/>
            </w:pPr>
            <w:r>
              <w:rPr/>
              <w:t>S-31</w:t>
            </w:r>
          </w:p>
        </w:tc>
        <w:tc>
          <w:tcPr>
            <w:tcW w:w="62" w:type="dxa"/>
            <w:tcBorders/>
          </w:tcPr>
          <w:p>
            <w:pPr>
              <w:pStyle w:val="TableContents"/>
              <w:bidi w:val="0"/>
              <w:spacing w:before="0" w:after="283"/>
              <w:jc w:val="left"/>
              <w:rPr/>
            </w:pPr>
            <w:r>
              <w:rPr/>
              <w:t> </w:t>
            </w:r>
          </w:p>
        </w:tc>
      </w:tr>
    </w:tbl>
    <w:p>
      <w:pPr>
        <w:pStyle w:val="TextBody"/>
        <w:bidi w:val="0"/>
        <w:spacing w:before="320" w:after="0"/>
        <w:jc w:val="left"/>
        <w:rPr>
          <w:rFonts w:ascii="Arial" w:hAnsi="Arial"/>
          <w:b/>
          <w:sz w:val="32"/>
        </w:rPr>
      </w:pPr>
      <w:r>
        <w:rPr>
          <w:rFonts w:ascii="Arial" w:hAnsi="Arial"/>
          <w:b/>
          <w:sz w:val="32"/>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566"/>
        <w:gridCol w:w="253"/>
        <w:gridCol w:w="60"/>
        <w:gridCol w:w="263"/>
        <w:gridCol w:w="63"/>
      </w:tblGrid>
      <w:tr>
        <w:trPr/>
        <w:tc>
          <w:tcPr>
            <w:tcW w:w="9566" w:type="dxa"/>
            <w:tcBorders/>
            <w:vAlign w:val="center"/>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75" w:hRule="atLeast"/>
        </w:trPr>
        <w:tc>
          <w:tcPr>
            <w:tcW w:w="9566" w:type="dxa"/>
            <w:tcBorders/>
            <w:vAlign w:val="center"/>
          </w:tcPr>
          <w:p>
            <w:pPr>
              <w:pStyle w:val="TableContents"/>
              <w:bidi w:val="0"/>
              <w:spacing w:before="0" w:after="283"/>
              <w:jc w:val="left"/>
              <w:rPr>
                <w:sz w:val="4"/>
                <w:szCs w:val="4"/>
              </w:rPr>
            </w:pPr>
            <w:r>
              <w:rPr>
                <w:sz w:val="4"/>
                <w:szCs w:val="4"/>
              </w:rPr>
            </w:r>
          </w:p>
        </w:tc>
        <w:tc>
          <w:tcPr>
            <w:tcW w:w="639" w:type="dxa"/>
            <w:gridSpan w:val="4"/>
            <w:tcBorders/>
            <w:vAlign w:val="center"/>
          </w:tcPr>
          <w:p>
            <w:pPr>
              <w:pStyle w:val="TableContents"/>
              <w:bidi w:val="0"/>
              <w:spacing w:before="0" w:after="283"/>
              <w:jc w:val="left"/>
              <w:rPr>
                <w:sz w:val="4"/>
                <w:szCs w:val="4"/>
              </w:rPr>
            </w:pPr>
            <w:r>
              <w:rPr>
                <w:sz w:val="4"/>
                <w:szCs w:val="4"/>
              </w:rPr>
            </w:r>
          </w:p>
        </w:tc>
      </w:tr>
      <w:tr>
        <w:trPr/>
        <w:tc>
          <w:tcPr>
            <w:tcW w:w="9566" w:type="dxa"/>
            <w:tcBorders/>
            <w:vAlign w:val="bottom"/>
          </w:tcPr>
          <w:p>
            <w:pPr>
              <w:pStyle w:val="TableContents"/>
              <w:bidi w:val="0"/>
              <w:spacing w:before="0" w:after="0"/>
              <w:jc w:val="left"/>
              <w:rPr/>
            </w:pPr>
            <w:hyperlink w:anchor="txa133579_1">
              <w:r>
                <w:rPr>
                  <w:rStyle w:val="InternetLink"/>
                  <w:rFonts w:ascii="Arial" w:hAnsi="Arial"/>
                  <w:sz w:val="20"/>
                </w:rPr>
                <w:t>ABOUT THIS PROSPECTUS</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75" w:hRule="atLeast"/>
        </w:trPr>
        <w:tc>
          <w:tcPr>
            <w:tcW w:w="9566" w:type="dxa"/>
            <w:tcBorders/>
            <w:vAlign w:val="center"/>
          </w:tcPr>
          <w:p>
            <w:pPr>
              <w:pStyle w:val="TableContents"/>
              <w:bidi w:val="0"/>
              <w:spacing w:before="0" w:after="283"/>
              <w:jc w:val="left"/>
              <w:rPr>
                <w:sz w:val="4"/>
                <w:szCs w:val="4"/>
              </w:rPr>
            </w:pPr>
            <w:r>
              <w:rPr>
                <w:sz w:val="4"/>
                <w:szCs w:val="4"/>
              </w:rPr>
            </w:r>
          </w:p>
        </w:tc>
        <w:tc>
          <w:tcPr>
            <w:tcW w:w="639" w:type="dxa"/>
            <w:gridSpan w:val="4"/>
            <w:tcBorders/>
            <w:vAlign w:val="center"/>
          </w:tcPr>
          <w:p>
            <w:pPr>
              <w:pStyle w:val="TableContents"/>
              <w:bidi w:val="0"/>
              <w:spacing w:before="0" w:after="283"/>
              <w:jc w:val="left"/>
              <w:rPr>
                <w:sz w:val="4"/>
                <w:szCs w:val="4"/>
              </w:rPr>
            </w:pPr>
            <w:r>
              <w:rPr>
                <w:sz w:val="4"/>
                <w:szCs w:val="4"/>
              </w:rPr>
            </w:r>
          </w:p>
        </w:tc>
      </w:tr>
      <w:tr>
        <w:trPr/>
        <w:tc>
          <w:tcPr>
            <w:tcW w:w="9566" w:type="dxa"/>
            <w:tcBorders/>
            <w:vAlign w:val="bottom"/>
          </w:tcPr>
          <w:p>
            <w:pPr>
              <w:pStyle w:val="TableContents"/>
              <w:bidi w:val="0"/>
              <w:spacing w:before="0" w:after="0"/>
              <w:jc w:val="left"/>
              <w:rPr/>
            </w:pPr>
            <w:hyperlink w:anchor="txa133579_2">
              <w:r>
                <w:rPr>
                  <w:rStyle w:val="InternetLink"/>
                  <w:rFonts w:ascii="Arial" w:hAnsi="Arial"/>
                  <w:sz w:val="20"/>
                </w:rPr>
                <w:t>WHERE YOU CAN FIND MORE INFORMATION; INCORPORATION BY REFERENCE</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rHeight w:val="75" w:hRule="atLeast"/>
        </w:trPr>
        <w:tc>
          <w:tcPr>
            <w:tcW w:w="9566" w:type="dxa"/>
            <w:tcBorders/>
            <w:vAlign w:val="center"/>
          </w:tcPr>
          <w:p>
            <w:pPr>
              <w:pStyle w:val="TableContents"/>
              <w:bidi w:val="0"/>
              <w:spacing w:before="0" w:after="283"/>
              <w:jc w:val="left"/>
              <w:rPr>
                <w:sz w:val="4"/>
                <w:szCs w:val="4"/>
              </w:rPr>
            </w:pPr>
            <w:r>
              <w:rPr>
                <w:sz w:val="4"/>
                <w:szCs w:val="4"/>
              </w:rPr>
            </w:r>
          </w:p>
        </w:tc>
        <w:tc>
          <w:tcPr>
            <w:tcW w:w="639" w:type="dxa"/>
            <w:gridSpan w:val="4"/>
            <w:tcBorders/>
            <w:vAlign w:val="center"/>
          </w:tcPr>
          <w:p>
            <w:pPr>
              <w:pStyle w:val="TableContents"/>
              <w:bidi w:val="0"/>
              <w:spacing w:before="0" w:after="283"/>
              <w:jc w:val="left"/>
              <w:rPr>
                <w:sz w:val="4"/>
                <w:szCs w:val="4"/>
              </w:rPr>
            </w:pPr>
            <w:r>
              <w:rPr>
                <w:sz w:val="4"/>
                <w:szCs w:val="4"/>
              </w:rPr>
            </w:r>
          </w:p>
        </w:tc>
      </w:tr>
      <w:tr>
        <w:trPr/>
        <w:tc>
          <w:tcPr>
            <w:tcW w:w="9566" w:type="dxa"/>
            <w:tcBorders/>
            <w:vAlign w:val="bottom"/>
          </w:tcPr>
          <w:p>
            <w:pPr>
              <w:pStyle w:val="TableContents"/>
              <w:bidi w:val="0"/>
              <w:spacing w:before="0" w:after="0"/>
              <w:jc w:val="left"/>
              <w:rPr/>
            </w:pPr>
            <w:hyperlink w:anchor="txa133579_3">
              <w:r>
                <w:rPr>
                  <w:rStyle w:val="InternetLink"/>
                  <w:rFonts w:ascii="Arial" w:hAnsi="Arial"/>
                  <w:sz w:val="20"/>
                </w:rPr>
                <w:t>THE COMPANY</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rHeight w:val="75" w:hRule="atLeast"/>
        </w:trPr>
        <w:tc>
          <w:tcPr>
            <w:tcW w:w="9566" w:type="dxa"/>
            <w:tcBorders/>
            <w:vAlign w:val="center"/>
          </w:tcPr>
          <w:p>
            <w:pPr>
              <w:pStyle w:val="TableContents"/>
              <w:bidi w:val="0"/>
              <w:spacing w:before="0" w:after="283"/>
              <w:jc w:val="left"/>
              <w:rPr>
                <w:sz w:val="4"/>
                <w:szCs w:val="4"/>
              </w:rPr>
            </w:pPr>
            <w:r>
              <w:rPr>
                <w:sz w:val="4"/>
                <w:szCs w:val="4"/>
              </w:rPr>
            </w:r>
          </w:p>
        </w:tc>
        <w:tc>
          <w:tcPr>
            <w:tcW w:w="639" w:type="dxa"/>
            <w:gridSpan w:val="4"/>
            <w:tcBorders/>
            <w:vAlign w:val="center"/>
          </w:tcPr>
          <w:p>
            <w:pPr>
              <w:pStyle w:val="TableContents"/>
              <w:bidi w:val="0"/>
              <w:spacing w:before="0" w:after="283"/>
              <w:jc w:val="left"/>
              <w:rPr>
                <w:sz w:val="4"/>
                <w:szCs w:val="4"/>
              </w:rPr>
            </w:pPr>
            <w:r>
              <w:rPr>
                <w:sz w:val="4"/>
                <w:szCs w:val="4"/>
              </w:rPr>
            </w:r>
          </w:p>
        </w:tc>
      </w:tr>
      <w:tr>
        <w:trPr/>
        <w:tc>
          <w:tcPr>
            <w:tcW w:w="9566" w:type="dxa"/>
            <w:tcBorders/>
            <w:vAlign w:val="bottom"/>
          </w:tcPr>
          <w:p>
            <w:pPr>
              <w:pStyle w:val="TableContents"/>
              <w:bidi w:val="0"/>
              <w:spacing w:before="0" w:after="0"/>
              <w:jc w:val="left"/>
              <w:rPr/>
            </w:pPr>
            <w:hyperlink w:anchor="txa133579_4">
              <w:r>
                <w:rPr>
                  <w:rStyle w:val="InternetLink"/>
                  <w:rFonts w:ascii="Arial" w:hAnsi="Arial"/>
                  <w:sz w:val="20"/>
                </w:rPr>
                <w:t>RISK FACTORS</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rHeight w:val="75" w:hRule="atLeast"/>
        </w:trPr>
        <w:tc>
          <w:tcPr>
            <w:tcW w:w="9566" w:type="dxa"/>
            <w:tcBorders/>
            <w:vAlign w:val="center"/>
          </w:tcPr>
          <w:p>
            <w:pPr>
              <w:pStyle w:val="TableContents"/>
              <w:bidi w:val="0"/>
              <w:spacing w:before="0" w:after="283"/>
              <w:jc w:val="left"/>
              <w:rPr>
                <w:sz w:val="4"/>
                <w:szCs w:val="4"/>
              </w:rPr>
            </w:pPr>
            <w:r>
              <w:rPr>
                <w:sz w:val="4"/>
                <w:szCs w:val="4"/>
              </w:rPr>
            </w:r>
          </w:p>
        </w:tc>
        <w:tc>
          <w:tcPr>
            <w:tcW w:w="639" w:type="dxa"/>
            <w:gridSpan w:val="4"/>
            <w:tcBorders/>
            <w:vAlign w:val="center"/>
          </w:tcPr>
          <w:p>
            <w:pPr>
              <w:pStyle w:val="TableContents"/>
              <w:bidi w:val="0"/>
              <w:spacing w:before="0" w:after="283"/>
              <w:jc w:val="left"/>
              <w:rPr>
                <w:sz w:val="4"/>
                <w:szCs w:val="4"/>
              </w:rPr>
            </w:pPr>
            <w:r>
              <w:rPr>
                <w:sz w:val="4"/>
                <w:szCs w:val="4"/>
              </w:rPr>
            </w:r>
          </w:p>
        </w:tc>
      </w:tr>
      <w:tr>
        <w:trPr/>
        <w:tc>
          <w:tcPr>
            <w:tcW w:w="9566" w:type="dxa"/>
            <w:tcBorders/>
            <w:vAlign w:val="bottom"/>
          </w:tcPr>
          <w:p>
            <w:pPr>
              <w:pStyle w:val="TableContents"/>
              <w:bidi w:val="0"/>
              <w:spacing w:before="0" w:after="0"/>
              <w:jc w:val="left"/>
              <w:rPr/>
            </w:pPr>
            <w:hyperlink w:anchor="txa133579_5">
              <w:r>
                <w:rPr>
                  <w:rStyle w:val="InternetLink"/>
                  <w:rFonts w:ascii="Arial" w:hAnsi="Arial"/>
                  <w:sz w:val="20"/>
                </w:rPr>
                <w:t>CAUTIONARY NOTE REGARDING FORWARD-LOOKING STATEMENTS</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rHeight w:val="75" w:hRule="atLeast"/>
        </w:trPr>
        <w:tc>
          <w:tcPr>
            <w:tcW w:w="9566" w:type="dxa"/>
            <w:tcBorders/>
            <w:vAlign w:val="center"/>
          </w:tcPr>
          <w:p>
            <w:pPr>
              <w:pStyle w:val="TableContents"/>
              <w:bidi w:val="0"/>
              <w:spacing w:before="0" w:after="283"/>
              <w:jc w:val="left"/>
              <w:rPr>
                <w:sz w:val="4"/>
                <w:szCs w:val="4"/>
              </w:rPr>
            </w:pPr>
            <w:r>
              <w:rPr>
                <w:sz w:val="4"/>
                <w:szCs w:val="4"/>
              </w:rPr>
            </w:r>
          </w:p>
        </w:tc>
        <w:tc>
          <w:tcPr>
            <w:tcW w:w="639" w:type="dxa"/>
            <w:gridSpan w:val="4"/>
            <w:tcBorders/>
            <w:vAlign w:val="center"/>
          </w:tcPr>
          <w:p>
            <w:pPr>
              <w:pStyle w:val="TableContents"/>
              <w:bidi w:val="0"/>
              <w:spacing w:before="0" w:after="283"/>
              <w:jc w:val="left"/>
              <w:rPr>
                <w:sz w:val="4"/>
                <w:szCs w:val="4"/>
              </w:rPr>
            </w:pPr>
            <w:r>
              <w:rPr>
                <w:sz w:val="4"/>
                <w:szCs w:val="4"/>
              </w:rPr>
            </w:r>
          </w:p>
        </w:tc>
      </w:tr>
      <w:tr>
        <w:trPr/>
        <w:tc>
          <w:tcPr>
            <w:tcW w:w="9566" w:type="dxa"/>
            <w:tcBorders/>
            <w:vAlign w:val="bottom"/>
          </w:tcPr>
          <w:p>
            <w:pPr>
              <w:pStyle w:val="TableContents"/>
              <w:bidi w:val="0"/>
              <w:spacing w:before="0" w:after="0"/>
              <w:jc w:val="left"/>
              <w:rPr/>
            </w:pPr>
            <w:hyperlink w:anchor="txa133579_6">
              <w:r>
                <w:rPr>
                  <w:rStyle w:val="InternetLink"/>
                  <w:rFonts w:ascii="Arial" w:hAnsi="Arial"/>
                  <w:sz w:val="20"/>
                </w:rPr>
                <w:t>USE OF PROCEEDS</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rHeight w:val="75" w:hRule="atLeast"/>
        </w:trPr>
        <w:tc>
          <w:tcPr>
            <w:tcW w:w="9566" w:type="dxa"/>
            <w:tcBorders/>
            <w:vAlign w:val="center"/>
          </w:tcPr>
          <w:p>
            <w:pPr>
              <w:pStyle w:val="TableContents"/>
              <w:bidi w:val="0"/>
              <w:spacing w:before="0" w:after="283"/>
              <w:jc w:val="left"/>
              <w:rPr>
                <w:sz w:val="4"/>
                <w:szCs w:val="4"/>
              </w:rPr>
            </w:pPr>
            <w:r>
              <w:rPr>
                <w:sz w:val="4"/>
                <w:szCs w:val="4"/>
              </w:rPr>
            </w:r>
          </w:p>
        </w:tc>
        <w:tc>
          <w:tcPr>
            <w:tcW w:w="639" w:type="dxa"/>
            <w:gridSpan w:val="4"/>
            <w:tcBorders/>
            <w:vAlign w:val="center"/>
          </w:tcPr>
          <w:p>
            <w:pPr>
              <w:pStyle w:val="TableContents"/>
              <w:bidi w:val="0"/>
              <w:spacing w:before="0" w:after="283"/>
              <w:jc w:val="left"/>
              <w:rPr>
                <w:sz w:val="4"/>
                <w:szCs w:val="4"/>
              </w:rPr>
            </w:pPr>
            <w:r>
              <w:rPr>
                <w:sz w:val="4"/>
                <w:szCs w:val="4"/>
              </w:rPr>
            </w:r>
          </w:p>
        </w:tc>
      </w:tr>
      <w:tr>
        <w:trPr/>
        <w:tc>
          <w:tcPr>
            <w:tcW w:w="9566" w:type="dxa"/>
            <w:tcBorders/>
            <w:vAlign w:val="bottom"/>
          </w:tcPr>
          <w:p>
            <w:pPr>
              <w:pStyle w:val="TableContents"/>
              <w:bidi w:val="0"/>
              <w:spacing w:before="0" w:after="0"/>
              <w:jc w:val="left"/>
              <w:rPr/>
            </w:pPr>
            <w:hyperlink w:anchor="txa133579_7">
              <w:r>
                <w:rPr>
                  <w:rStyle w:val="InternetLink"/>
                  <w:rFonts w:ascii="Arial" w:hAnsi="Arial"/>
                  <w:sz w:val="20"/>
                </w:rPr>
                <w:t>DESCRIPTION OF CAPITAL STOCK</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rHeight w:val="75" w:hRule="atLeast"/>
        </w:trPr>
        <w:tc>
          <w:tcPr>
            <w:tcW w:w="9566" w:type="dxa"/>
            <w:tcBorders/>
            <w:vAlign w:val="center"/>
          </w:tcPr>
          <w:p>
            <w:pPr>
              <w:pStyle w:val="TableContents"/>
              <w:bidi w:val="0"/>
              <w:spacing w:before="0" w:after="283"/>
              <w:jc w:val="left"/>
              <w:rPr>
                <w:sz w:val="4"/>
                <w:szCs w:val="4"/>
              </w:rPr>
            </w:pPr>
            <w:r>
              <w:rPr>
                <w:sz w:val="4"/>
                <w:szCs w:val="4"/>
              </w:rPr>
            </w:r>
          </w:p>
        </w:tc>
        <w:tc>
          <w:tcPr>
            <w:tcW w:w="639" w:type="dxa"/>
            <w:gridSpan w:val="4"/>
            <w:tcBorders/>
            <w:vAlign w:val="center"/>
          </w:tcPr>
          <w:p>
            <w:pPr>
              <w:pStyle w:val="TableContents"/>
              <w:bidi w:val="0"/>
              <w:spacing w:before="0" w:after="283"/>
              <w:jc w:val="left"/>
              <w:rPr>
                <w:sz w:val="4"/>
                <w:szCs w:val="4"/>
              </w:rPr>
            </w:pPr>
            <w:r>
              <w:rPr>
                <w:sz w:val="4"/>
                <w:szCs w:val="4"/>
              </w:rPr>
            </w:r>
          </w:p>
        </w:tc>
      </w:tr>
      <w:tr>
        <w:trPr/>
        <w:tc>
          <w:tcPr>
            <w:tcW w:w="9566" w:type="dxa"/>
            <w:tcBorders/>
            <w:vAlign w:val="bottom"/>
          </w:tcPr>
          <w:p>
            <w:pPr>
              <w:pStyle w:val="TableContents"/>
              <w:bidi w:val="0"/>
              <w:spacing w:before="0" w:after="0"/>
              <w:jc w:val="left"/>
              <w:rPr/>
            </w:pPr>
            <w:hyperlink w:anchor="txa133579_8">
              <w:r>
                <w:rPr>
                  <w:rStyle w:val="InternetLink"/>
                  <w:rFonts w:ascii="Arial" w:hAnsi="Arial"/>
                  <w:sz w:val="20"/>
                </w:rPr>
                <w:t>DESCRIPTION OF DEBT SECURITIES</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rHeight w:val="75" w:hRule="atLeast"/>
        </w:trPr>
        <w:tc>
          <w:tcPr>
            <w:tcW w:w="9566" w:type="dxa"/>
            <w:tcBorders/>
            <w:vAlign w:val="center"/>
          </w:tcPr>
          <w:p>
            <w:pPr>
              <w:pStyle w:val="TableContents"/>
              <w:bidi w:val="0"/>
              <w:spacing w:before="0" w:after="283"/>
              <w:jc w:val="left"/>
              <w:rPr>
                <w:sz w:val="4"/>
                <w:szCs w:val="4"/>
              </w:rPr>
            </w:pPr>
            <w:r>
              <w:rPr>
                <w:sz w:val="4"/>
                <w:szCs w:val="4"/>
              </w:rPr>
            </w:r>
          </w:p>
        </w:tc>
        <w:tc>
          <w:tcPr>
            <w:tcW w:w="639" w:type="dxa"/>
            <w:gridSpan w:val="4"/>
            <w:tcBorders/>
            <w:vAlign w:val="center"/>
          </w:tcPr>
          <w:p>
            <w:pPr>
              <w:pStyle w:val="TableContents"/>
              <w:bidi w:val="0"/>
              <w:spacing w:before="0" w:after="283"/>
              <w:jc w:val="left"/>
              <w:rPr>
                <w:sz w:val="4"/>
                <w:szCs w:val="4"/>
              </w:rPr>
            </w:pPr>
            <w:r>
              <w:rPr>
                <w:sz w:val="4"/>
                <w:szCs w:val="4"/>
              </w:rPr>
            </w:r>
          </w:p>
        </w:tc>
      </w:tr>
      <w:tr>
        <w:trPr/>
        <w:tc>
          <w:tcPr>
            <w:tcW w:w="9566" w:type="dxa"/>
            <w:tcBorders/>
            <w:vAlign w:val="bottom"/>
          </w:tcPr>
          <w:p>
            <w:pPr>
              <w:pStyle w:val="TableContents"/>
              <w:bidi w:val="0"/>
              <w:spacing w:before="0" w:after="0"/>
              <w:jc w:val="left"/>
              <w:rPr/>
            </w:pPr>
            <w:hyperlink w:anchor="txa133579_9">
              <w:r>
                <w:rPr>
                  <w:rStyle w:val="InternetLink"/>
                  <w:rFonts w:ascii="Arial" w:hAnsi="Arial"/>
                  <w:sz w:val="20"/>
                </w:rPr>
                <w:t>DESCRIPTION OF OTHER SECURITIES</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rHeight w:val="75" w:hRule="atLeast"/>
        </w:trPr>
        <w:tc>
          <w:tcPr>
            <w:tcW w:w="9566" w:type="dxa"/>
            <w:tcBorders/>
            <w:vAlign w:val="center"/>
          </w:tcPr>
          <w:p>
            <w:pPr>
              <w:pStyle w:val="TableContents"/>
              <w:bidi w:val="0"/>
              <w:spacing w:before="0" w:after="283"/>
              <w:jc w:val="left"/>
              <w:rPr>
                <w:sz w:val="4"/>
                <w:szCs w:val="4"/>
              </w:rPr>
            </w:pPr>
            <w:r>
              <w:rPr>
                <w:sz w:val="4"/>
                <w:szCs w:val="4"/>
              </w:rPr>
            </w:r>
          </w:p>
        </w:tc>
        <w:tc>
          <w:tcPr>
            <w:tcW w:w="639" w:type="dxa"/>
            <w:gridSpan w:val="4"/>
            <w:tcBorders/>
            <w:vAlign w:val="center"/>
          </w:tcPr>
          <w:p>
            <w:pPr>
              <w:pStyle w:val="TableContents"/>
              <w:bidi w:val="0"/>
              <w:spacing w:before="0" w:after="283"/>
              <w:jc w:val="left"/>
              <w:rPr>
                <w:sz w:val="4"/>
                <w:szCs w:val="4"/>
              </w:rPr>
            </w:pPr>
            <w:r>
              <w:rPr>
                <w:sz w:val="4"/>
                <w:szCs w:val="4"/>
              </w:rPr>
            </w:r>
          </w:p>
        </w:tc>
      </w:tr>
      <w:tr>
        <w:trPr/>
        <w:tc>
          <w:tcPr>
            <w:tcW w:w="9566" w:type="dxa"/>
            <w:tcBorders/>
            <w:vAlign w:val="bottom"/>
          </w:tcPr>
          <w:p>
            <w:pPr>
              <w:pStyle w:val="TableContents"/>
              <w:bidi w:val="0"/>
              <w:spacing w:before="0" w:after="0"/>
              <w:jc w:val="left"/>
              <w:rPr/>
            </w:pPr>
            <w:hyperlink w:anchor="txa133579_10">
              <w:r>
                <w:rPr>
                  <w:rStyle w:val="InternetLink"/>
                  <w:rFonts w:ascii="Arial" w:hAnsi="Arial"/>
                  <w:sz w:val="20"/>
                </w:rPr>
                <w:t>GLOBAL SECURITIES</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rHeight w:val="75" w:hRule="atLeast"/>
        </w:trPr>
        <w:tc>
          <w:tcPr>
            <w:tcW w:w="9566" w:type="dxa"/>
            <w:tcBorders/>
            <w:vAlign w:val="center"/>
          </w:tcPr>
          <w:p>
            <w:pPr>
              <w:pStyle w:val="TableContents"/>
              <w:bidi w:val="0"/>
              <w:spacing w:before="0" w:after="283"/>
              <w:jc w:val="left"/>
              <w:rPr>
                <w:sz w:val="4"/>
                <w:szCs w:val="4"/>
              </w:rPr>
            </w:pPr>
            <w:r>
              <w:rPr>
                <w:sz w:val="4"/>
                <w:szCs w:val="4"/>
              </w:rPr>
            </w:r>
          </w:p>
        </w:tc>
        <w:tc>
          <w:tcPr>
            <w:tcW w:w="639" w:type="dxa"/>
            <w:gridSpan w:val="4"/>
            <w:tcBorders/>
            <w:vAlign w:val="center"/>
          </w:tcPr>
          <w:p>
            <w:pPr>
              <w:pStyle w:val="TableContents"/>
              <w:bidi w:val="0"/>
              <w:spacing w:before="0" w:after="283"/>
              <w:jc w:val="left"/>
              <w:rPr>
                <w:sz w:val="4"/>
                <w:szCs w:val="4"/>
              </w:rPr>
            </w:pPr>
            <w:r>
              <w:rPr>
                <w:sz w:val="4"/>
                <w:szCs w:val="4"/>
              </w:rPr>
            </w:r>
          </w:p>
        </w:tc>
      </w:tr>
      <w:tr>
        <w:trPr/>
        <w:tc>
          <w:tcPr>
            <w:tcW w:w="9566" w:type="dxa"/>
            <w:tcBorders/>
            <w:vAlign w:val="bottom"/>
          </w:tcPr>
          <w:p>
            <w:pPr>
              <w:pStyle w:val="TableContents"/>
              <w:bidi w:val="0"/>
              <w:spacing w:before="0" w:after="0"/>
              <w:jc w:val="left"/>
              <w:rPr/>
            </w:pPr>
            <w:hyperlink w:anchor="txa133579_11">
              <w:r>
                <w:rPr>
                  <w:rStyle w:val="InternetLink"/>
                  <w:rFonts w:ascii="Arial" w:hAnsi="Arial"/>
                  <w:sz w:val="20"/>
                </w:rPr>
                <w:t>PLAN OF DISTRIBUTION</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rHeight w:val="75" w:hRule="atLeast"/>
        </w:trPr>
        <w:tc>
          <w:tcPr>
            <w:tcW w:w="9566" w:type="dxa"/>
            <w:tcBorders/>
            <w:vAlign w:val="center"/>
          </w:tcPr>
          <w:p>
            <w:pPr>
              <w:pStyle w:val="TableContents"/>
              <w:bidi w:val="0"/>
              <w:spacing w:before="0" w:after="283"/>
              <w:jc w:val="left"/>
              <w:rPr>
                <w:sz w:val="4"/>
                <w:szCs w:val="4"/>
              </w:rPr>
            </w:pPr>
            <w:r>
              <w:rPr>
                <w:sz w:val="4"/>
                <w:szCs w:val="4"/>
              </w:rPr>
            </w:r>
          </w:p>
        </w:tc>
        <w:tc>
          <w:tcPr>
            <w:tcW w:w="639" w:type="dxa"/>
            <w:gridSpan w:val="4"/>
            <w:tcBorders/>
            <w:vAlign w:val="center"/>
          </w:tcPr>
          <w:p>
            <w:pPr>
              <w:pStyle w:val="TableContents"/>
              <w:bidi w:val="0"/>
              <w:spacing w:before="0" w:after="283"/>
              <w:jc w:val="left"/>
              <w:rPr>
                <w:sz w:val="4"/>
                <w:szCs w:val="4"/>
              </w:rPr>
            </w:pPr>
            <w:r>
              <w:rPr>
                <w:sz w:val="4"/>
                <w:szCs w:val="4"/>
              </w:rPr>
            </w:r>
          </w:p>
        </w:tc>
      </w:tr>
      <w:tr>
        <w:trPr/>
        <w:tc>
          <w:tcPr>
            <w:tcW w:w="9566" w:type="dxa"/>
            <w:tcBorders/>
            <w:vAlign w:val="bottom"/>
          </w:tcPr>
          <w:p>
            <w:pPr>
              <w:pStyle w:val="TableContents"/>
              <w:bidi w:val="0"/>
              <w:spacing w:before="0" w:after="0"/>
              <w:jc w:val="left"/>
              <w:rPr/>
            </w:pPr>
            <w:hyperlink w:anchor="txa133579_12">
              <w:r>
                <w:rPr>
                  <w:rStyle w:val="InternetLink"/>
                  <w:rFonts w:ascii="Arial" w:hAnsi="Arial"/>
                  <w:sz w:val="20"/>
                </w:rPr>
                <w:t>LEGAL MATTERS</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rHeight w:val="75" w:hRule="atLeast"/>
        </w:trPr>
        <w:tc>
          <w:tcPr>
            <w:tcW w:w="9566" w:type="dxa"/>
            <w:tcBorders/>
            <w:vAlign w:val="center"/>
          </w:tcPr>
          <w:p>
            <w:pPr>
              <w:pStyle w:val="TableContents"/>
              <w:bidi w:val="0"/>
              <w:spacing w:before="0" w:after="283"/>
              <w:jc w:val="left"/>
              <w:rPr>
                <w:sz w:val="4"/>
                <w:szCs w:val="4"/>
              </w:rPr>
            </w:pPr>
            <w:r>
              <w:rPr>
                <w:sz w:val="4"/>
                <w:szCs w:val="4"/>
              </w:rPr>
            </w:r>
          </w:p>
        </w:tc>
        <w:tc>
          <w:tcPr>
            <w:tcW w:w="639" w:type="dxa"/>
            <w:gridSpan w:val="4"/>
            <w:tcBorders/>
            <w:vAlign w:val="center"/>
          </w:tcPr>
          <w:p>
            <w:pPr>
              <w:pStyle w:val="TableContents"/>
              <w:bidi w:val="0"/>
              <w:spacing w:before="0" w:after="283"/>
              <w:jc w:val="left"/>
              <w:rPr>
                <w:sz w:val="4"/>
                <w:szCs w:val="4"/>
              </w:rPr>
            </w:pPr>
            <w:r>
              <w:rPr>
                <w:sz w:val="4"/>
                <w:szCs w:val="4"/>
              </w:rPr>
            </w:r>
          </w:p>
        </w:tc>
      </w:tr>
      <w:tr>
        <w:trPr/>
        <w:tc>
          <w:tcPr>
            <w:tcW w:w="9566" w:type="dxa"/>
            <w:tcBorders/>
            <w:vAlign w:val="bottom"/>
          </w:tcPr>
          <w:p>
            <w:pPr>
              <w:pStyle w:val="TableContents"/>
              <w:bidi w:val="0"/>
              <w:spacing w:before="0" w:after="0"/>
              <w:jc w:val="left"/>
              <w:rPr/>
            </w:pPr>
            <w:hyperlink w:anchor="txa133579_13">
              <w:r>
                <w:rPr>
                  <w:rStyle w:val="InternetLink"/>
                  <w:rFonts w:ascii="Arial" w:hAnsi="Arial"/>
                  <w:sz w:val="20"/>
                </w:rPr>
                <w:t>EXPERTS</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Arial" w:hAnsi="Arial"/>
          <w:sz w:val="20"/>
        </w:rPr>
      </w:pPr>
      <w:r>
        <w:rPr>
          <w:rFonts w:ascii="Arial" w:hAnsi="Arial"/>
          <w:sz w:val="20"/>
        </w:rPr>
        <w:t xml:space="preserve">Neither we nor any of the underwriters have authorized anyone to provide information different from that contained in this prospectus supplement. When you make a decision about whether to invest in our common stock, you should not rely upon any information other than the information in this prospectus supplement. Neither the delivery of this prospectus supplement nor the sale of shares of our common stock means that information contained in this prospectus supplement is correct after the date of this prospectus supplement. This prospectus supplement is not an offer to sell or solicitation of an offer to buy shares of our common stock in any circumstances under which the offer or solicitation is unlawful.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3" w:name="supptoc116467_1"/>
      <w:bookmarkEnd w:id="3"/>
      <w:r>
        <w:rPr>
          <w:rFonts w:ascii="Arial" w:hAnsi="Arial"/>
          <w:b/>
          <w:sz w:val="32"/>
        </w:rPr>
        <w:t xml:space="preserve">About this prospectus supplement </w:t>
      </w:r>
    </w:p>
    <w:p>
      <w:pPr>
        <w:pStyle w:val="TextBody"/>
        <w:bidi w:val="0"/>
        <w:spacing w:before="160" w:after="0"/>
        <w:jc w:val="left"/>
        <w:rPr>
          <w:rFonts w:ascii="Arial" w:hAnsi="Arial"/>
          <w:sz w:val="20"/>
        </w:rPr>
      </w:pPr>
      <w:r>
        <w:rPr>
          <w:rFonts w:ascii="Arial" w:hAnsi="Arial"/>
          <w:sz w:val="20"/>
        </w:rPr>
        <w:t xml:space="preserve">This prospectus supplement and the accompanying prospectus dated July 13, 2026 are part of a registration statement that we filed with the Securities and Exchange Commission (SEC), utilizing a “shelf” registration process. This prospectus supplement and the accompanying prospectus relate to the offer by us of shares of our common stock to certain investors. We provide information to you about this offering of shares of our common stock in two separate documents that are bound together: (1) this prospectus supplement, which describes the specific details regarding this offering; and (2) the accompanying prospectus, which provides general information, some of which may not apply to this offering. Generally, when we refer to this “prospectus,” we are referring to both documents combined. If information in this prospectus supplement is inconsistent with the accompanying prospectus, you should rely on this prospectus supplement. However, if any statement in one of these documents is inconsistent with a statement in another document having a later date—for example, a document incorporated by reference in this prospectus supplement or the accompanying prospectus—the statement in the document having the later date modifies or supersedes the earlier statement as our business, financial condition, results of operations and prospects may have changed since the earlier dates. You should read this prospectus supplement, the accompanying prospectus, the documents and information incorporated by reference in this prospectus supplement and the accompanying prospectus, and any free writing prospectus that we have authorized for use in connection with this offering when making your investment decision. You should also read and consider the information in the documents we have referred you to under the headings “Where you can find more information; incorporation by reference.” </w:t>
      </w:r>
    </w:p>
    <w:p>
      <w:pPr>
        <w:pStyle w:val="TextBody"/>
        <w:bidi w:val="0"/>
        <w:spacing w:before="160" w:after="0"/>
        <w:jc w:val="left"/>
        <w:rPr>
          <w:rFonts w:ascii="Arial" w:hAnsi="Arial"/>
          <w:sz w:val="20"/>
        </w:rPr>
      </w:pPr>
      <w:r>
        <w:rPr>
          <w:rFonts w:ascii="Arial" w:hAnsi="Arial"/>
          <w:sz w:val="20"/>
        </w:rPr>
        <w:t xml:space="preserve">You should rely only on information contained in or incorporated by reference into this prospectus supplement and the accompanying prospectus or any free writing prospectus prepared by or on behalf of us or to which we have referred you. We have not, and the underwriters have not, authorized anyone to provide you with information that is different. We are offering to sell and seeking offers to buy shares of our common stock only in jurisdictions where offers and sales are permitted. The information contained in this prospectus supplement, the accompanying prospectus, the documents and information incorporated by reference in this prospectus supplement and the accompanying prospectus, and any free writing prospectus that we have authorized for use in connection with this offering are accurate only as of their respective dates, regardless of the time of delivery of this prospectus supplement or of any sale of our common stock. </w:t>
      </w:r>
    </w:p>
    <w:p>
      <w:pPr>
        <w:pStyle w:val="TextBody"/>
        <w:bidi w:val="0"/>
        <w:spacing w:before="160" w:after="0"/>
        <w:jc w:val="left"/>
        <w:rPr>
          <w:rFonts w:ascii="Arial" w:hAnsi="Arial"/>
          <w:sz w:val="20"/>
        </w:rPr>
      </w:pPr>
      <w:r>
        <w:rPr>
          <w:rFonts w:ascii="Arial" w:hAnsi="Arial"/>
          <w:sz w:val="20"/>
        </w:rPr>
        <w:t xml:space="preserve">In this prospectus supplement, unless the context otherwise indicates, the terms “Erasca,” the “Company,” “we,” “our” and “us” or similar terms refer to Erasca, Inc. and its subsidiaries. </w:t>
      </w:r>
    </w:p>
    <w:p>
      <w:pPr>
        <w:pStyle w:val="TextBody"/>
        <w:bidi w:val="0"/>
        <w:spacing w:before="160" w:after="0"/>
        <w:jc w:val="left"/>
        <w:rPr>
          <w:rFonts w:ascii="Arial" w:hAnsi="Arial"/>
          <w:sz w:val="20"/>
        </w:rPr>
      </w:pPr>
      <w:r>
        <w:rPr>
          <w:rFonts w:ascii="Arial" w:hAnsi="Arial"/>
          <w:sz w:val="20"/>
        </w:rPr>
        <w:t xml:space="preserve">We use our trademarks in this prospectus supplement as well as trademarks, tradenames and service marks that are the property of other organizations. Solely for convenience, trademarks and tradenames referred to in this prospectus supplement appear without the ® and  symbols, but those references are not intended to indicate, in any way, that we will not assert, to the fullest extent under applicable law, our rights or that the applicable owner will not assert its rights, to these trademarks and tradenames.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b/>
          <w:sz w:val="32"/>
          <w:bdr w:val="single" w:sz="2" w:space="1" w:color="000000"/>
        </w:rPr>
      </w:pPr>
      <w:bookmarkStart w:id="4" w:name="supptoc116467_2"/>
      <w:bookmarkEnd w:id="4"/>
      <w:r>
        <w:rPr>
          <w:rFonts w:ascii="Arial" w:hAnsi="Arial"/>
          <w:b/>
          <w:sz w:val="32"/>
          <w:bdr w:val="single" w:sz="2" w:space="1" w:color="000000"/>
        </w:rPr>
        <w:t xml:space="preserve">Prospectus supplement summary </w:t>
      </w:r>
    </w:p>
    <w:p>
      <w:pPr>
        <w:pStyle w:val="TextBody"/>
        <w:bidi w:val="0"/>
        <w:spacing w:before="160" w:after="0"/>
        <w:jc w:val="left"/>
        <w:rPr>
          <w:rFonts w:ascii="Arial" w:hAnsi="Arial"/>
          <w:i/>
          <w:sz w:val="20"/>
          <w:bdr w:val="single" w:sz="2" w:space="1" w:color="000000"/>
        </w:rPr>
      </w:pPr>
      <w:r>
        <w:rPr>
          <w:rFonts w:ascii="Arial" w:hAnsi="Arial"/>
          <w:i/>
          <w:sz w:val="20"/>
          <w:bdr w:val="single" w:sz="2" w:space="1" w:color="000000"/>
        </w:rPr>
        <w:t xml:space="preserve">The items in the following summary are described in more detail later in or incorporated by reference into this prospectus supplement and in the accompanying prospectus. This summary provides an overview of selected information and does not contain all the information you should consider before investing in our common stock. Therefore, you should read the entire prospectus supplement, the accompanying prospectus and any free writing prospectus that we have authorized for use in connection with this offering carefully, including the “Risk factors” section, and other documents or information included or incorporated by reference in this prospectus supplement and the accompanying prospectus before making any investment decision. </w:t>
      </w:r>
    </w:p>
    <w:p>
      <w:pPr>
        <w:pStyle w:val="TextBody"/>
        <w:bidi w:val="0"/>
        <w:spacing w:before="320" w:after="0"/>
        <w:jc w:val="left"/>
        <w:rPr>
          <w:rFonts w:ascii="Arial" w:hAnsi="Arial"/>
          <w:b/>
          <w:sz w:val="24"/>
          <w:bdr w:val="single" w:sz="2" w:space="1" w:color="000000"/>
        </w:rPr>
      </w:pPr>
      <w:r>
        <w:rPr>
          <w:rFonts w:ascii="Arial" w:hAnsi="Arial"/>
          <w:b/>
          <w:sz w:val="24"/>
          <w:bdr w:val="single" w:sz="2" w:space="1" w:color="000000"/>
        </w:rPr>
        <w:t xml:space="preserve">Company overview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We are a clinical-stage precision oncology company singularly focused on discovering, developing, and commercializing therapies for patients with RAS/MAPK pathway-driven cancers. Molecular alterations in RAS, the most frequently mutated oncogene, and the MAPK pathway, one of the most frequently altered signaling pathways in cancer, account for more than five million new patients diagnosed with cancer globally each year. Our company was co-founded by leading pioneers in precision oncology and RAS targeting to create novel therapies and combination regimens designed to comprehensively shut down the RAS/MAPK pathway for the treatment of patients with cancer. Our focused RAS/MAPK pathway pipeline comprises modality-agnostic programs aligned with our three therapeutic strategies of: (1) targeting key upstream and downstream signaling nodes in the RAS/MAPK pathway; (2) targeting RAS directly; and (3) targeting escape routes that emerge in response to treatment. Our pipeline enables us to pursue a systematic, data-driven, portfolio-wide clinical development effort to identify therapeutic approaches with the goal of prolonging survival in numerous patient populations with high unmet medical needs.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Our modality-agnostic approach aims to allow us to selectively and potently target critical signaling nodes with the most appropriate modality, including small and large molecule therapeutics. Our purpose-built pipeline includes two clinical-stage programs (ERAS-0015, a pan-RAS molecular glue; and ERAS-4001, a pan-KRAS inhibitor), and ERAS-12, a discovery-stage program (an EGFR D2/D3 biparatopic antibody), for which we have identified a lead candidate. We believe our world-class team’s capabilities and experience, further guided by our scientific advisory board (SAB), which includes the world’s leading experts in the RAS/MAPK pathway, uniquely position us to achieve our bold mission of erasing cancer. </w:t>
      </w:r>
    </w:p>
    <w:p>
      <w:pPr>
        <w:pStyle w:val="TextBody"/>
        <w:bidi w:val="0"/>
        <w:spacing w:before="320" w:after="0"/>
        <w:jc w:val="left"/>
        <w:rPr>
          <w:rFonts w:ascii="Arial" w:hAnsi="Arial"/>
          <w:b/>
          <w:sz w:val="24"/>
          <w:bdr w:val="single" w:sz="2" w:space="1" w:color="000000"/>
        </w:rPr>
      </w:pPr>
      <w:r>
        <w:rPr>
          <w:rFonts w:ascii="Arial" w:hAnsi="Arial"/>
          <w:b/>
          <w:sz w:val="24"/>
          <w:bdr w:val="single" w:sz="2" w:space="1" w:color="000000"/>
        </w:rPr>
        <w:t xml:space="preserve">Recent developments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On July 13, 2026, we announced updated preliminary Phase 1 data for our potentially best-in-class, pan-RAS molecular glue ERAS-0015 in patients with RAS-mutant solid tumors. Updated preliminary data from our ongoing AURORAS-1 Phase 1 trial in the U.S. builds on our April 2026 announcement, with additional patients and longer follow-up. </w:t>
      </w:r>
    </w:p>
    <w:p>
      <w:pPr>
        <w:pStyle w:val="TextBody"/>
        <w:bidi w:val="0"/>
        <w:spacing w:before="160" w:after="0"/>
        <w:jc w:val="left"/>
        <w:rPr>
          <w:rFonts w:ascii="Arial" w:hAnsi="Arial"/>
          <w:b/>
          <w:i/>
          <w:sz w:val="20"/>
          <w:bdr w:val="single" w:sz="2" w:space="1" w:color="000000"/>
        </w:rPr>
      </w:pPr>
      <w:r>
        <w:rPr>
          <w:rFonts w:ascii="Arial" w:hAnsi="Arial"/>
          <w:b/>
          <w:i/>
          <w:sz w:val="20"/>
          <w:bdr w:val="single" w:sz="2" w:space="1" w:color="000000"/>
        </w:rPr>
        <w:t xml:space="preserve">Additional Results from AURORAS-1 Trial </w:t>
      </w:r>
    </w:p>
    <w:p>
      <w:pPr>
        <w:pStyle w:val="TextBody"/>
        <w:bidi w:val="0"/>
        <w:spacing w:before="160" w:after="0"/>
        <w:jc w:val="left"/>
        <w:rPr>
          <w:rFonts w:ascii="Arial" w:hAnsi="Arial"/>
          <w:sz w:val="20"/>
          <w:bdr w:val="single" w:sz="2" w:space="1" w:color="000000"/>
        </w:rPr>
      </w:pPr>
      <w:r>
        <w:rPr>
          <w:rFonts w:ascii="Arial" w:hAnsi="Arial"/>
          <w:i/>
          <w:sz w:val="20"/>
          <w:bdr w:val="single" w:sz="2" w:space="1" w:color="000000"/>
        </w:rPr>
        <w:t>Encouraging Monotherapy Responses Observed in Second Line or Greater (2L</w:t>
      </w:r>
      <w:r>
        <w:rPr>
          <w:rFonts w:ascii="Arial" w:hAnsi="Arial"/>
          <w:sz w:val="20"/>
          <w:bdr w:val="single" w:sz="2" w:space="1" w:color="000000"/>
        </w:rPr>
        <w:t>+</w:t>
      </w:r>
      <w:r>
        <w:rPr>
          <w:rFonts w:ascii="Arial" w:hAnsi="Arial"/>
          <w:i/>
          <w:sz w:val="20"/>
          <w:bdr w:val="single" w:sz="2" w:space="1" w:color="000000"/>
        </w:rPr>
        <w:t>) KRAS G12X Pancreatic Ductal Adenocarcinoma (PDAC)1</w:t>
      </w:r>
      <w:r>
        <w:rPr>
          <w:rFonts w:ascii="Arial" w:hAnsi="Arial"/>
          <w:sz w:val="20"/>
          <w:bdr w:val="single" w:sz="2" w:space="1" w:color="000000"/>
        </w:rPr>
        <w:t xml:space="preserve"> </w:t>
      </w:r>
    </w:p>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57% uORR8wk (N=7) at recommended dose for expansion (RDE) of 32 mg once daily (QD)2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Across doses, all patients with either confirmed or unconfirmed responses remained on treatment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At RDE of 32 mg QD, 6 of 7 enrolled patients remained on treatment; at RDE of 24 mg QD, 6 of 8 enrolled patients remained on treatment </w:t>
            </w:r>
          </w:p>
        </w:tc>
      </w:tr>
    </w:tbl>
    <w:p>
      <w:pPr>
        <w:pStyle w:val="TextBody"/>
        <w:bidi w:val="0"/>
        <w:spacing w:before="160" w:after="0"/>
        <w:jc w:val="left"/>
        <w:rPr>
          <w:rFonts w:ascii="Arial" w:hAnsi="Arial"/>
          <w:sz w:val="20"/>
          <w:bdr w:val="single" w:sz="2" w:space="1" w:color="000000"/>
        </w:rPr>
      </w:pPr>
      <w:r>
        <w:rPr>
          <w:rFonts w:ascii="Arial" w:hAnsi="Arial"/>
          <w:i/>
          <w:sz w:val="20"/>
          <w:bdr w:val="single" w:sz="2" w:space="1" w:color="000000"/>
        </w:rPr>
        <w:t>With Additional Patients and Longer Follow-up, Monotherapy Safety Data Remained Consistent with Prior Disclosure and ERAS-0015 Continued to be Generally Well-Tolerated1</w:t>
      </w:r>
      <w:r>
        <w:rPr>
          <w:rFonts w:ascii="Arial" w:hAnsi="Arial"/>
          <w:sz w:val="20"/>
          <w:bdr w:val="single" w:sz="2" w:space="1" w:color="000000"/>
        </w:rPr>
        <w:t xml:space="preserve"> </w:t>
      </w:r>
    </w:p>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Frequency and severity of treatment-related adverse events (TRAEs) remained consistent with our April 2026 announcement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Mostly low-grade TRAEs, no dose-limiting toxicities (DLTs), low rate of dose interruptions or reductions due to TRAEs, and no discontinuations due to TRAEs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Median relative dose intensity was 100% at both 24 mg QD and 32 mg QD </w:t>
            </w:r>
          </w:p>
        </w:tc>
      </w:tr>
    </w:tbl>
    <w:p>
      <w:pPr>
        <w:pStyle w:val="TextBody"/>
        <w:bidi w:val="0"/>
        <w:spacing w:before="160" w:after="0"/>
        <w:jc w:val="left"/>
        <w:rPr>
          <w:rFonts w:ascii="Arial" w:hAnsi="Arial"/>
          <w:sz w:val="20"/>
          <w:bdr w:val="single" w:sz="2" w:space="1" w:color="000000"/>
        </w:rPr>
      </w:pPr>
      <w:r>
        <w:rPr>
          <w:rFonts w:ascii="Arial" w:hAnsi="Arial"/>
          <w:i/>
          <w:sz w:val="20"/>
          <w:bdr w:val="single" w:sz="2" w:space="1" w:color="000000"/>
        </w:rPr>
        <w:t>Promising Combination Potential with Panitumumab in Metastatic Colorectal Cancer, including Clearance of First Dose Escalation Cohort3</w:t>
      </w:r>
      <w:r>
        <w:rPr>
          <w:rFonts w:ascii="Arial" w:hAnsi="Arial"/>
          <w:sz w:val="20"/>
          <w:bdr w:val="single" w:sz="2" w:space="1" w:color="000000"/>
        </w:rPr>
        <w:t xml:space="preserve"> </w:t>
      </w:r>
    </w:p>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No DLTs were observed for the combination in the 16 mg cohort during dose escalation in four DLT-evaluable patients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Backfill enrollment is ongoing in the 16 mg combination cohort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Dose escalation is ongoing with continued enrollment in the 24 mg combination cohort </w:t>
            </w:r>
          </w:p>
        </w:tc>
      </w:tr>
    </w:tbl>
    <w:p>
      <w:pPr>
        <w:pStyle w:val="TextBody"/>
        <w:bidi w:val="0"/>
        <w:spacing w:before="160" w:after="0"/>
        <w:jc w:val="left"/>
        <w:rPr>
          <w:rFonts w:ascii="Arial" w:hAnsi="Arial"/>
          <w:sz w:val="20"/>
          <w:bdr w:val="single" w:sz="2" w:space="1" w:color="000000"/>
        </w:rPr>
      </w:pPr>
      <w:r>
        <w:rPr>
          <w:rFonts w:ascii="Arial" w:hAnsi="Arial"/>
          <w:i/>
          <w:sz w:val="20"/>
          <w:bdr w:val="single" w:sz="2" w:space="1" w:color="000000"/>
        </w:rPr>
        <w:t>Accelerating Potentially Registration-Enabling Development Plans in Highest Value Indications</w:t>
      </w:r>
      <w:r>
        <w:rPr>
          <w:rFonts w:ascii="Arial" w:hAnsi="Arial"/>
          <w:sz w:val="20"/>
          <w:bdr w:val="single" w:sz="2" w:space="1" w:color="000000"/>
        </w:rPr>
        <w:t xml:space="preserve"> </w:t>
      </w:r>
    </w:p>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Initiate potentially registration-enabling trial in non-small-cell lung cancer (NSCLC) patients as 2L+ therapy in the first half of 2027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Initiate Phase 3 pivotal trial in PDAC patients as first line therapy in 2027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Initiate Phase 3 pivotal trial in RAS-mutant NSCLC patients in the second half of 2027 or first half of 2028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10"/>
        <w:gridCol w:w="205"/>
        <w:gridCol w:w="9790"/>
      </w:tblGrid>
      <w:tr>
        <w:trPr/>
        <w:tc>
          <w:tcPr>
            <w:tcW w:w="210" w:type="dxa"/>
            <w:tcBorders/>
          </w:tcPr>
          <w:p>
            <w:pPr>
              <w:pStyle w:val="TableContents"/>
              <w:bidi w:val="0"/>
              <w:spacing w:before="0" w:after="283"/>
              <w:jc w:val="left"/>
              <w:rPr/>
            </w:pPr>
            <w:r>
              <w:rPr/>
              <w:t>1 </w:t>
            </w:r>
          </w:p>
        </w:tc>
        <w:tc>
          <w:tcPr>
            <w:tcW w:w="205" w:type="dxa"/>
            <w:tcBorders/>
          </w:tcPr>
          <w:p>
            <w:pPr>
              <w:pStyle w:val="TableContents"/>
              <w:bidi w:val="0"/>
              <w:spacing w:before="0" w:after="283"/>
              <w:jc w:val="left"/>
              <w:rPr/>
            </w:pPr>
            <w:r>
              <w:rPr/>
              <w:t> </w:t>
            </w:r>
          </w:p>
        </w:tc>
        <w:tc>
          <w:tcPr>
            <w:tcW w:w="9790" w:type="dxa"/>
            <w:tcBorders/>
          </w:tcPr>
          <w:p>
            <w:pPr>
              <w:pStyle w:val="TableContents"/>
              <w:bidi w:val="0"/>
              <w:spacing w:before="0" w:after="283"/>
              <w:jc w:val="left"/>
              <w:rPr/>
            </w:pPr>
            <w:r>
              <w:rPr/>
              <w:t xml:space="preserve">Data cutoff (DCO) May 25, 2026 </w:t>
            </w:r>
          </w:p>
        </w:tc>
      </w:tr>
    </w:tbl>
    <w:tbl>
      <w:tblPr>
        <w:tblW w:w="5000" w:type="pct"/>
        <w:jc w:val="left"/>
        <w:tblInd w:w="0" w:type="dxa"/>
        <w:tblLayout w:type="fixed"/>
        <w:tblCellMar>
          <w:top w:w="0" w:type="dxa"/>
          <w:left w:w="0" w:type="dxa"/>
          <w:bottom w:w="0" w:type="dxa"/>
          <w:right w:w="0" w:type="dxa"/>
        </w:tblCellMar>
      </w:tblPr>
      <w:tblGrid>
        <w:gridCol w:w="209"/>
        <w:gridCol w:w="204"/>
        <w:gridCol w:w="9792"/>
      </w:tblGrid>
      <w:tr>
        <w:trPr/>
        <w:tc>
          <w:tcPr>
            <w:tcW w:w="209" w:type="dxa"/>
            <w:tcBorders/>
          </w:tcPr>
          <w:p>
            <w:pPr>
              <w:pStyle w:val="TableContents"/>
              <w:bidi w:val="0"/>
              <w:spacing w:before="0" w:after="283"/>
              <w:jc w:val="left"/>
              <w:rPr/>
            </w:pPr>
            <w:r>
              <w:rPr/>
              <w:t>2 </w:t>
            </w:r>
          </w:p>
        </w:tc>
        <w:tc>
          <w:tcPr>
            <w:tcW w:w="204" w:type="dxa"/>
            <w:tcBorders/>
          </w:tcPr>
          <w:p>
            <w:pPr>
              <w:pStyle w:val="TableContents"/>
              <w:bidi w:val="0"/>
              <w:spacing w:before="0" w:after="283"/>
              <w:jc w:val="left"/>
              <w:rPr/>
            </w:pPr>
            <w:r>
              <w:rPr/>
              <w:t> </w:t>
            </w:r>
          </w:p>
        </w:tc>
        <w:tc>
          <w:tcPr>
            <w:tcW w:w="9792" w:type="dxa"/>
            <w:tcBorders/>
          </w:tcPr>
          <w:p>
            <w:pPr>
              <w:pStyle w:val="TableContents"/>
              <w:bidi w:val="0"/>
              <w:spacing w:before="0" w:after="283"/>
              <w:jc w:val="left"/>
              <w:rPr/>
            </w:pPr>
            <w:r>
              <w:rPr/>
              <w:t xml:space="preserve">The uORR8wk is the overall response rate (ORR) (confirmed and unconfirmed responses) for patients who received first dose of ERAS-0015 at least 8 weeks prior to the May 25, 2026 cutoff date </w:t>
            </w:r>
          </w:p>
        </w:tc>
      </w:tr>
    </w:tbl>
    <w:tbl>
      <w:tblPr>
        <w:tblW w:w="5000" w:type="pct"/>
        <w:jc w:val="left"/>
        <w:tblInd w:w="0" w:type="dxa"/>
        <w:tblLayout w:type="fixed"/>
        <w:tblCellMar>
          <w:top w:w="0" w:type="dxa"/>
          <w:left w:w="0" w:type="dxa"/>
          <w:bottom w:w="0" w:type="dxa"/>
          <w:right w:w="0" w:type="dxa"/>
        </w:tblCellMar>
      </w:tblPr>
      <w:tblGrid>
        <w:gridCol w:w="203"/>
        <w:gridCol w:w="204"/>
        <w:gridCol w:w="9798"/>
      </w:tblGrid>
      <w:tr>
        <w:trPr/>
        <w:tc>
          <w:tcPr>
            <w:tcW w:w="203" w:type="dxa"/>
            <w:tcBorders/>
          </w:tcPr>
          <w:p>
            <w:pPr>
              <w:pStyle w:val="TableContents"/>
              <w:bidi w:val="0"/>
              <w:spacing w:before="0" w:after="283"/>
              <w:jc w:val="left"/>
              <w:rPr/>
            </w:pPr>
            <w:r>
              <w:rPr/>
              <w:t>3 </w:t>
            </w:r>
          </w:p>
        </w:tc>
        <w:tc>
          <w:tcPr>
            <w:tcW w:w="204"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DCO July 6, 2026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b/>
          <w:i/>
          <w:sz w:val="20"/>
          <w:bdr w:val="single" w:sz="2" w:space="1" w:color="000000"/>
        </w:rPr>
      </w:pPr>
      <w:r>
        <w:rPr>
          <w:rFonts w:ascii="Arial" w:hAnsi="Arial"/>
          <w:b/>
          <w:i/>
          <w:sz w:val="20"/>
          <w:bdr w:val="single" w:sz="2" w:space="1" w:color="000000"/>
        </w:rPr>
        <w:t xml:space="preserve">Additional AURORAS-1 Safety Data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The following table summarizes all treatment-related adverse events occurring in 10% or more of patients in the AURORAS-1 trial as of the May 25, 2026 DCO date: </w:t>
      </w:r>
    </w:p>
    <w:p>
      <w:pPr>
        <w:pStyle w:val="TextBody"/>
        <w:bidi w:val="0"/>
        <w:spacing w:before="0" w:after="0"/>
        <w:jc w:val="left"/>
        <w:rPr>
          <w:bdr w:val="single" w:sz="2" w:space="1" w:color="000000"/>
        </w:rPr>
      </w:pPr>
      <w:r>
        <w:rPr>
          <w:bdr w:val="single" w:sz="2" w:space="1" w:color="000000"/>
        </w:rPr>
        <w:t> </w:t>
      </w:r>
    </w:p>
    <w:tbl>
      <w:tblPr>
        <w:tblW w:w="5000" w:type="pct"/>
        <w:jc w:val="center"/>
        <w:tblInd w:w="0" w:type="dxa"/>
        <w:tblLayout w:type="fixed"/>
        <w:tblCellMar>
          <w:top w:w="0" w:type="dxa"/>
          <w:left w:w="0" w:type="dxa"/>
          <w:bottom w:w="0" w:type="dxa"/>
          <w:right w:w="0" w:type="dxa"/>
        </w:tblCellMar>
      </w:tblPr>
      <w:tblGrid>
        <w:gridCol w:w="3710"/>
        <w:gridCol w:w="243"/>
        <w:gridCol w:w="101"/>
        <w:gridCol w:w="817"/>
        <w:gridCol w:w="60"/>
        <w:gridCol w:w="243"/>
        <w:gridCol w:w="101"/>
        <w:gridCol w:w="817"/>
        <w:gridCol w:w="60"/>
        <w:gridCol w:w="243"/>
        <w:gridCol w:w="127"/>
        <w:gridCol w:w="849"/>
        <w:gridCol w:w="178"/>
        <w:gridCol w:w="191"/>
        <w:gridCol w:w="260"/>
        <w:gridCol w:w="594"/>
        <w:gridCol w:w="60"/>
        <w:gridCol w:w="243"/>
        <w:gridCol w:w="101"/>
        <w:gridCol w:w="1044"/>
        <w:gridCol w:w="163"/>
      </w:tblGrid>
      <w:tr>
        <w:trPr/>
        <w:tc>
          <w:tcPr>
            <w:tcW w:w="3710"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10205" w:type="dxa"/>
            <w:gridSpan w:val="21"/>
            <w:tcBorders>
              <w:top w:val="single" w:sz="16" w:space="0" w:color="000000"/>
            </w:tcBorders>
            <w:tcMar>
              <w:top w:w="28" w:type="dxa"/>
            </w:tcMar>
            <w:vAlign w:val="center"/>
          </w:tcPr>
          <w:p>
            <w:pPr>
              <w:pStyle w:val="TableContents"/>
              <w:bidi w:val="0"/>
              <w:spacing w:before="0" w:after="283"/>
              <w:jc w:val="left"/>
              <w:rPr/>
            </w:pPr>
            <w:r>
              <w:rPr/>
              <w:t> </w:t>
            </w:r>
          </w:p>
        </w:tc>
      </w:tr>
      <w:tr>
        <w:trPr/>
        <w:tc>
          <w:tcPr>
            <w:tcW w:w="10042" w:type="dxa"/>
            <w:gridSpan w:val="20"/>
            <w:tcBorders>
              <w:bottom w:val="single" w:sz="2" w:space="0" w:color="000000"/>
            </w:tcBorders>
            <w:tcMar>
              <w:bottom w:w="28" w:type="dxa"/>
            </w:tcMar>
            <w:vAlign w:val="bottom"/>
          </w:tcPr>
          <w:p>
            <w:pPr>
              <w:pStyle w:val="TableContents"/>
              <w:bidi w:val="0"/>
              <w:spacing w:before="0" w:after="283"/>
              <w:jc w:val="center"/>
              <w:rPr/>
            </w:pPr>
            <w:r>
              <w:rPr>
                <w:b/>
              </w:rPr>
              <w:t xml:space="preserve">Summary of TRAEs occurring in </w:t>
            </w:r>
            <w:r>
              <w:rPr/>
              <w:t>≥</w:t>
            </w:r>
            <w:r>
              <w:rPr>
                <w:b/>
              </w:rPr>
              <w:t>10% of patients</w:t>
            </w:r>
          </w:p>
        </w:tc>
        <w:tc>
          <w:tcPr>
            <w:tcW w:w="163"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10042" w:type="dxa"/>
            <w:gridSpan w:val="20"/>
            <w:tcBorders>
              <w:bottom w:val="single" w:sz="2" w:space="0" w:color="000000"/>
            </w:tcBorders>
            <w:tcMar>
              <w:bottom w:w="28" w:type="dxa"/>
            </w:tcMar>
            <w:vAlign w:val="bottom"/>
          </w:tcPr>
          <w:p>
            <w:pPr>
              <w:pStyle w:val="TableContents"/>
              <w:bidi w:val="0"/>
              <w:spacing w:before="0" w:after="283"/>
              <w:jc w:val="center"/>
              <w:rPr>
                <w:b/>
              </w:rPr>
            </w:pPr>
            <w:r>
              <w:rPr>
                <w:b/>
              </w:rPr>
              <w:t>Patients with RASm NSCLC and PDAC Treated at PAD (16-32mg) ERAS-0015 (N=72)</w:t>
            </w:r>
          </w:p>
        </w:tc>
        <w:tc>
          <w:tcPr>
            <w:tcW w:w="163"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3710" w:type="dxa"/>
            <w:tcBorders>
              <w:bottom w:val="single" w:sz="2" w:space="0" w:color="000000"/>
            </w:tcBorders>
            <w:tcMar>
              <w:bottom w:w="28" w:type="dxa"/>
            </w:tcMar>
            <w:vAlign w:val="bottom"/>
          </w:tcPr>
          <w:p>
            <w:pPr>
              <w:pStyle w:val="TableContents"/>
              <w:bidi w:val="0"/>
              <w:spacing w:before="0" w:after="283"/>
              <w:jc w:val="left"/>
              <w:rPr>
                <w:b/>
              </w:rPr>
            </w:pPr>
            <w:r>
              <w:rPr>
                <w:b/>
              </w:rPr>
              <w:t>TRAEs, n (%)</w:t>
            </w:r>
          </w:p>
        </w:tc>
        <w:tc>
          <w:tcPr>
            <w:tcW w:w="243" w:type="dxa"/>
            <w:tcBorders>
              <w:bottom w:val="single" w:sz="2" w:space="0" w:color="000000"/>
            </w:tcBorders>
            <w:tcMar>
              <w:bottom w:w="28" w:type="dxa"/>
            </w:tcMar>
            <w:vAlign w:val="bottom"/>
          </w:tcPr>
          <w:p>
            <w:pPr>
              <w:pStyle w:val="TableContents"/>
              <w:bidi w:val="0"/>
              <w:spacing w:before="0" w:after="283"/>
              <w:jc w:val="left"/>
              <w:rPr/>
            </w:pPr>
            <w:r>
              <w:rPr/>
              <w:t>  </w:t>
            </w:r>
          </w:p>
        </w:tc>
        <w:tc>
          <w:tcPr>
            <w:tcW w:w="918" w:type="dxa"/>
            <w:gridSpan w:val="2"/>
            <w:tcBorders>
              <w:bottom w:val="single" w:sz="2" w:space="0" w:color="000000"/>
            </w:tcBorders>
            <w:tcMar>
              <w:bottom w:w="28" w:type="dxa"/>
            </w:tcMar>
            <w:vAlign w:val="bottom"/>
          </w:tcPr>
          <w:p>
            <w:pPr>
              <w:pStyle w:val="TableContents"/>
              <w:bidi w:val="0"/>
              <w:spacing w:before="0" w:after="283"/>
              <w:jc w:val="right"/>
              <w:rPr>
                <w:b/>
              </w:rPr>
            </w:pPr>
            <w:r>
              <w:rPr>
                <w:b/>
              </w:rPr>
              <w:t>Grade 1</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43" w:type="dxa"/>
            <w:tcBorders>
              <w:bottom w:val="single" w:sz="2" w:space="0" w:color="000000"/>
            </w:tcBorders>
            <w:tcMar>
              <w:bottom w:w="28" w:type="dxa"/>
            </w:tcMar>
            <w:vAlign w:val="bottom"/>
          </w:tcPr>
          <w:p>
            <w:pPr>
              <w:pStyle w:val="TableContents"/>
              <w:bidi w:val="0"/>
              <w:spacing w:before="0" w:after="283"/>
              <w:jc w:val="left"/>
              <w:rPr/>
            </w:pPr>
            <w:r>
              <w:rPr/>
              <w:t>  </w:t>
            </w:r>
          </w:p>
        </w:tc>
        <w:tc>
          <w:tcPr>
            <w:tcW w:w="918" w:type="dxa"/>
            <w:gridSpan w:val="2"/>
            <w:tcBorders>
              <w:bottom w:val="single" w:sz="2" w:space="0" w:color="000000"/>
            </w:tcBorders>
            <w:tcMar>
              <w:bottom w:w="28" w:type="dxa"/>
            </w:tcMar>
            <w:vAlign w:val="bottom"/>
          </w:tcPr>
          <w:p>
            <w:pPr>
              <w:pStyle w:val="TableContents"/>
              <w:bidi w:val="0"/>
              <w:spacing w:before="0" w:after="283"/>
              <w:jc w:val="right"/>
              <w:rPr>
                <w:b/>
              </w:rPr>
            </w:pPr>
            <w:r>
              <w:rPr>
                <w:b/>
              </w:rPr>
              <w:t>Grade 2</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43" w:type="dxa"/>
            <w:tcBorders>
              <w:bottom w:val="single" w:sz="2" w:space="0" w:color="000000"/>
            </w:tcBorders>
            <w:tcMar>
              <w:bottom w:w="28" w:type="dxa"/>
            </w:tcMar>
            <w:vAlign w:val="bottom"/>
          </w:tcPr>
          <w:p>
            <w:pPr>
              <w:pStyle w:val="TableContents"/>
              <w:bidi w:val="0"/>
              <w:spacing w:before="0" w:after="283"/>
              <w:jc w:val="left"/>
              <w:rPr/>
            </w:pPr>
            <w:r>
              <w:rPr/>
              <w:t>  </w:t>
            </w:r>
          </w:p>
        </w:tc>
        <w:tc>
          <w:tcPr>
            <w:tcW w:w="976" w:type="dxa"/>
            <w:gridSpan w:val="2"/>
            <w:tcBorders>
              <w:bottom w:val="single" w:sz="2" w:space="0" w:color="000000"/>
            </w:tcBorders>
            <w:tcMar>
              <w:bottom w:w="28" w:type="dxa"/>
            </w:tcMar>
            <w:vAlign w:val="bottom"/>
          </w:tcPr>
          <w:p>
            <w:pPr>
              <w:pStyle w:val="TableContents"/>
              <w:bidi w:val="0"/>
              <w:spacing w:before="0" w:after="283"/>
              <w:jc w:val="right"/>
              <w:rPr>
                <w:b/>
              </w:rPr>
            </w:pPr>
            <w:r>
              <w:rPr>
                <w:b/>
              </w:rPr>
              <w:t>Grade 31</w:t>
            </w:r>
          </w:p>
        </w:tc>
        <w:tc>
          <w:tcPr>
            <w:tcW w:w="178" w:type="dxa"/>
            <w:tcBorders>
              <w:bottom w:val="single" w:sz="2" w:space="0" w:color="000000"/>
            </w:tcBorders>
            <w:tcMar>
              <w:bottom w:w="28" w:type="dxa"/>
            </w:tcMar>
            <w:vAlign w:val="bottom"/>
          </w:tcPr>
          <w:p>
            <w:pPr>
              <w:pStyle w:val="TableContents"/>
              <w:bidi w:val="0"/>
              <w:spacing w:before="0" w:after="283"/>
              <w:jc w:val="left"/>
              <w:rPr/>
            </w:pPr>
            <w:r>
              <w:rPr/>
              <w:t> </w:t>
            </w:r>
          </w:p>
        </w:tc>
        <w:tc>
          <w:tcPr>
            <w:tcW w:w="191" w:type="dxa"/>
            <w:tcBorders>
              <w:bottom w:val="single" w:sz="2" w:space="0" w:color="000000"/>
            </w:tcBorders>
            <w:tcMar>
              <w:bottom w:w="28" w:type="dxa"/>
            </w:tcMar>
            <w:vAlign w:val="bottom"/>
          </w:tcPr>
          <w:p>
            <w:pPr>
              <w:pStyle w:val="TableContents"/>
              <w:bidi w:val="0"/>
              <w:spacing w:before="0" w:after="283"/>
              <w:jc w:val="left"/>
              <w:rPr/>
            </w:pPr>
            <w:r>
              <w:rPr/>
              <w:t> </w:t>
            </w:r>
          </w:p>
        </w:tc>
        <w:tc>
          <w:tcPr>
            <w:tcW w:w="854" w:type="dxa"/>
            <w:gridSpan w:val="2"/>
            <w:tcBorders>
              <w:bottom w:val="single" w:sz="2" w:space="0" w:color="000000"/>
            </w:tcBorders>
            <w:tcMar>
              <w:bottom w:w="28" w:type="dxa"/>
            </w:tcMar>
            <w:vAlign w:val="bottom"/>
          </w:tcPr>
          <w:p>
            <w:pPr>
              <w:pStyle w:val="TableContents"/>
              <w:bidi w:val="0"/>
              <w:spacing w:before="0" w:after="283"/>
              <w:jc w:val="right"/>
              <w:rPr>
                <w:b/>
              </w:rPr>
            </w:pPr>
            <w:r>
              <w:rPr>
                <w:b/>
              </w:rPr>
              <w:t>Grade 4</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43" w:type="dxa"/>
            <w:tcBorders>
              <w:bottom w:val="single" w:sz="2" w:space="0" w:color="000000"/>
            </w:tcBorders>
            <w:tcMar>
              <w:bottom w:w="28" w:type="dxa"/>
            </w:tcMar>
            <w:vAlign w:val="bottom"/>
          </w:tcPr>
          <w:p>
            <w:pPr>
              <w:pStyle w:val="TableContents"/>
              <w:bidi w:val="0"/>
              <w:spacing w:before="0" w:after="283"/>
              <w:jc w:val="left"/>
              <w:rPr/>
            </w:pPr>
            <w:r>
              <w:rPr/>
              <w:t>  </w:t>
            </w:r>
          </w:p>
        </w:tc>
        <w:tc>
          <w:tcPr>
            <w:tcW w:w="1145" w:type="dxa"/>
            <w:gridSpan w:val="2"/>
            <w:tcBorders>
              <w:bottom w:val="single" w:sz="2" w:space="0" w:color="000000"/>
            </w:tcBorders>
            <w:tcMar>
              <w:bottom w:w="28" w:type="dxa"/>
            </w:tcMar>
            <w:vAlign w:val="bottom"/>
          </w:tcPr>
          <w:p>
            <w:pPr>
              <w:pStyle w:val="TableContents"/>
              <w:bidi w:val="0"/>
              <w:spacing w:before="0" w:after="283"/>
              <w:jc w:val="right"/>
              <w:rPr>
                <w:b/>
              </w:rPr>
            </w:pPr>
            <w:r>
              <w:rPr>
                <w:b/>
              </w:rPr>
              <w:t>All Grades</w:t>
            </w:r>
          </w:p>
        </w:tc>
        <w:tc>
          <w:tcPr>
            <w:tcW w:w="163"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3710" w:type="dxa"/>
            <w:tcBorders/>
            <w:shd w:fill="CCEEFF" w:val="clear"/>
          </w:tcPr>
          <w:p>
            <w:pPr>
              <w:pStyle w:val="TableContents"/>
              <w:bidi w:val="0"/>
              <w:spacing w:before="0" w:after="0"/>
              <w:jc w:val="left"/>
              <w:rPr>
                <w:rFonts w:ascii="Arial" w:hAnsi="Arial"/>
                <w:b/>
                <w:sz w:val="20"/>
              </w:rPr>
            </w:pPr>
            <w:r>
              <w:rPr>
                <w:rFonts w:ascii="Arial" w:hAnsi="Arial"/>
                <w:b/>
                <w:sz w:val="20"/>
              </w:rPr>
              <w:t>Rash2, n (%)</w:t>
            </w:r>
          </w:p>
        </w:tc>
        <w:tc>
          <w:tcPr>
            <w:tcW w:w="243"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37 (51)</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13 (18)</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849" w:type="dxa"/>
            <w:tcBorders/>
            <w:shd w:fill="CCEEFF" w:val="clear"/>
            <w:vAlign w:val="bottom"/>
          </w:tcPr>
          <w:p>
            <w:pPr>
              <w:pStyle w:val="TableContents"/>
              <w:bidi w:val="0"/>
              <w:spacing w:before="0" w:after="283"/>
              <w:jc w:val="right"/>
              <w:rPr/>
            </w:pPr>
            <w:r>
              <w:rPr/>
              <w:t>2 (3</w:t>
            </w:r>
          </w:p>
        </w:tc>
        <w:tc>
          <w:tcPr>
            <w:tcW w:w="178"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594"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52 (72</w:t>
            </w:r>
          </w:p>
        </w:tc>
        <w:tc>
          <w:tcPr>
            <w:tcW w:w="163" w:type="dxa"/>
            <w:tcBorders/>
            <w:shd w:fill="CCEEFF" w:val="clear"/>
            <w:vAlign w:val="bottom"/>
          </w:tcPr>
          <w:p>
            <w:pPr>
              <w:pStyle w:val="TableContents"/>
              <w:bidi w:val="0"/>
              <w:spacing w:before="0" w:after="283"/>
              <w:jc w:val="left"/>
              <w:rPr/>
            </w:pPr>
            <w:r>
              <w:rPr/>
              <w:t>) </w:t>
            </w:r>
          </w:p>
        </w:tc>
      </w:tr>
      <w:tr>
        <w:trPr/>
        <w:tc>
          <w:tcPr>
            <w:tcW w:w="3710" w:type="dxa"/>
            <w:tcBorders/>
          </w:tcPr>
          <w:p>
            <w:pPr>
              <w:pStyle w:val="TableContents"/>
              <w:bidi w:val="0"/>
              <w:spacing w:before="0" w:after="0"/>
              <w:jc w:val="left"/>
              <w:rPr>
                <w:rFonts w:ascii="Arial" w:hAnsi="Arial"/>
                <w:b/>
                <w:sz w:val="20"/>
              </w:rPr>
            </w:pPr>
            <w:r>
              <w:rPr>
                <w:rFonts w:ascii="Arial" w:hAnsi="Arial"/>
                <w:b/>
                <w:sz w:val="20"/>
              </w:rPr>
              <w:t>Diarrhea, n (%)</w:t>
            </w:r>
          </w:p>
        </w:tc>
        <w:tc>
          <w:tcPr>
            <w:tcW w:w="243"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17 (24)</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5 (7)</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849" w:type="dxa"/>
            <w:tcBorders/>
            <w:vAlign w:val="bottom"/>
          </w:tcPr>
          <w:p>
            <w:pPr>
              <w:pStyle w:val="TableContents"/>
              <w:bidi w:val="0"/>
              <w:spacing w:before="0" w:after="283"/>
              <w:jc w:val="right"/>
              <w:rPr/>
            </w:pPr>
            <w:r>
              <w:rPr/>
              <w:t>1 (1</w:t>
            </w:r>
          </w:p>
        </w:tc>
        <w:tc>
          <w:tcPr>
            <w:tcW w:w="178"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23 (32</w:t>
            </w:r>
          </w:p>
        </w:tc>
        <w:tc>
          <w:tcPr>
            <w:tcW w:w="163" w:type="dxa"/>
            <w:tcBorders/>
            <w:vAlign w:val="bottom"/>
          </w:tcPr>
          <w:p>
            <w:pPr>
              <w:pStyle w:val="TableContents"/>
              <w:bidi w:val="0"/>
              <w:spacing w:before="0" w:after="283"/>
              <w:jc w:val="left"/>
              <w:rPr/>
            </w:pPr>
            <w:r>
              <w:rPr/>
              <w:t>) </w:t>
            </w:r>
          </w:p>
        </w:tc>
      </w:tr>
      <w:tr>
        <w:trPr/>
        <w:tc>
          <w:tcPr>
            <w:tcW w:w="3710" w:type="dxa"/>
            <w:tcBorders/>
            <w:shd w:fill="CCEEFF" w:val="clear"/>
          </w:tcPr>
          <w:p>
            <w:pPr>
              <w:pStyle w:val="TableContents"/>
              <w:bidi w:val="0"/>
              <w:spacing w:before="0" w:after="0"/>
              <w:jc w:val="left"/>
              <w:rPr>
                <w:rFonts w:ascii="Arial" w:hAnsi="Arial"/>
                <w:b/>
                <w:sz w:val="20"/>
              </w:rPr>
            </w:pPr>
            <w:r>
              <w:rPr>
                <w:rFonts w:ascii="Arial" w:hAnsi="Arial"/>
                <w:b/>
                <w:sz w:val="20"/>
              </w:rPr>
              <w:t>Stomatitis, n (%)</w:t>
            </w:r>
          </w:p>
        </w:tc>
        <w:tc>
          <w:tcPr>
            <w:tcW w:w="243"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9 (13)</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3 (4)</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849" w:type="dxa"/>
            <w:tcBorders/>
            <w:shd w:fill="CCEEFF" w:val="clear"/>
            <w:vAlign w:val="bottom"/>
          </w:tcPr>
          <w:p>
            <w:pPr>
              <w:pStyle w:val="TableContents"/>
              <w:bidi w:val="0"/>
              <w:spacing w:before="0" w:after="283"/>
              <w:jc w:val="right"/>
              <w:rPr/>
            </w:pPr>
            <w:r>
              <w:rPr/>
              <w:t>2 (3</w:t>
            </w:r>
          </w:p>
        </w:tc>
        <w:tc>
          <w:tcPr>
            <w:tcW w:w="178"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594"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14 (19</w:t>
            </w:r>
          </w:p>
        </w:tc>
        <w:tc>
          <w:tcPr>
            <w:tcW w:w="163" w:type="dxa"/>
            <w:tcBorders/>
            <w:shd w:fill="CCEEFF" w:val="clear"/>
            <w:vAlign w:val="bottom"/>
          </w:tcPr>
          <w:p>
            <w:pPr>
              <w:pStyle w:val="TableContents"/>
              <w:bidi w:val="0"/>
              <w:spacing w:before="0" w:after="283"/>
              <w:jc w:val="left"/>
              <w:rPr/>
            </w:pPr>
            <w:r>
              <w:rPr/>
              <w:t>) </w:t>
            </w:r>
          </w:p>
        </w:tc>
      </w:tr>
      <w:tr>
        <w:trPr/>
        <w:tc>
          <w:tcPr>
            <w:tcW w:w="3710" w:type="dxa"/>
            <w:tcBorders/>
          </w:tcPr>
          <w:p>
            <w:pPr>
              <w:pStyle w:val="TableContents"/>
              <w:bidi w:val="0"/>
              <w:spacing w:before="0" w:after="0"/>
              <w:jc w:val="left"/>
              <w:rPr>
                <w:rFonts w:ascii="Arial" w:hAnsi="Arial"/>
                <w:b/>
                <w:sz w:val="20"/>
              </w:rPr>
            </w:pPr>
            <w:r>
              <w:rPr>
                <w:rFonts w:ascii="Arial" w:hAnsi="Arial"/>
                <w:b/>
                <w:sz w:val="20"/>
              </w:rPr>
              <w:t>Nausea, n (%)</w:t>
            </w:r>
          </w:p>
        </w:tc>
        <w:tc>
          <w:tcPr>
            <w:tcW w:w="243"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9 (13)</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1 (1)</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849" w:type="dxa"/>
            <w:tcBorders/>
            <w:vAlign w:val="bottom"/>
          </w:tcPr>
          <w:p>
            <w:pPr>
              <w:pStyle w:val="TableContents"/>
              <w:bidi w:val="0"/>
              <w:spacing w:before="0" w:after="283"/>
              <w:jc w:val="right"/>
              <w:rPr/>
            </w:pPr>
            <w:r>
              <w:rPr/>
              <w:t>0</w:t>
            </w:r>
          </w:p>
        </w:tc>
        <w:tc>
          <w:tcPr>
            <w:tcW w:w="178"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10 (14</w:t>
            </w:r>
          </w:p>
        </w:tc>
        <w:tc>
          <w:tcPr>
            <w:tcW w:w="163" w:type="dxa"/>
            <w:tcBorders/>
            <w:vAlign w:val="bottom"/>
          </w:tcPr>
          <w:p>
            <w:pPr>
              <w:pStyle w:val="TableContents"/>
              <w:bidi w:val="0"/>
              <w:spacing w:before="0" w:after="283"/>
              <w:jc w:val="left"/>
              <w:rPr/>
            </w:pPr>
            <w:r>
              <w:rPr/>
              <w:t>) </w:t>
            </w:r>
          </w:p>
        </w:tc>
      </w:tr>
      <w:tr>
        <w:trPr/>
        <w:tc>
          <w:tcPr>
            <w:tcW w:w="8594" w:type="dxa"/>
            <w:gridSpan w:val="16"/>
            <w:tcBorders/>
            <w:shd w:fill="CCEEFF" w:val="clear"/>
          </w:tcPr>
          <w:p>
            <w:pPr>
              <w:pStyle w:val="TableContents"/>
              <w:bidi w:val="0"/>
              <w:spacing w:before="0" w:after="0"/>
              <w:jc w:val="left"/>
              <w:rPr>
                <w:rFonts w:ascii="Arial" w:hAnsi="Arial"/>
                <w:sz w:val="20"/>
              </w:rPr>
            </w:pPr>
            <w:r>
              <w:rPr>
                <w:rFonts w:ascii="Arial" w:hAnsi="Arial"/>
                <w:sz w:val="20"/>
              </w:rPr>
              <w:t>TRAEs leading to dose interruptions, n (%)</w:t>
            </w:r>
          </w:p>
        </w:tc>
        <w:tc>
          <w:tcPr>
            <w:tcW w:w="60" w:type="dxa"/>
            <w:tcBorders/>
            <w:shd w:fill="CCEEFF" w:val="clear"/>
          </w:tcPr>
          <w:p>
            <w:pPr>
              <w:pStyle w:val="TableContents"/>
              <w:bidi w:val="0"/>
              <w:spacing w:before="0" w:after="0"/>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9 (13</w:t>
            </w:r>
          </w:p>
        </w:tc>
        <w:tc>
          <w:tcPr>
            <w:tcW w:w="163" w:type="dxa"/>
            <w:tcBorders/>
            <w:shd w:fill="CCEEFF" w:val="clear"/>
            <w:vAlign w:val="bottom"/>
          </w:tcPr>
          <w:p>
            <w:pPr>
              <w:pStyle w:val="TableContents"/>
              <w:bidi w:val="0"/>
              <w:spacing w:before="0" w:after="283"/>
              <w:jc w:val="left"/>
              <w:rPr/>
            </w:pPr>
            <w:r>
              <w:rPr/>
              <w:t>) </w:t>
            </w:r>
          </w:p>
        </w:tc>
      </w:tr>
      <w:tr>
        <w:trPr/>
        <w:tc>
          <w:tcPr>
            <w:tcW w:w="8594" w:type="dxa"/>
            <w:gridSpan w:val="16"/>
            <w:tcBorders/>
          </w:tcPr>
          <w:p>
            <w:pPr>
              <w:pStyle w:val="TableContents"/>
              <w:bidi w:val="0"/>
              <w:spacing w:before="0" w:after="0"/>
              <w:jc w:val="left"/>
              <w:rPr>
                <w:rFonts w:ascii="Arial" w:hAnsi="Arial"/>
                <w:sz w:val="20"/>
              </w:rPr>
            </w:pPr>
            <w:r>
              <w:rPr>
                <w:rFonts w:ascii="Arial" w:hAnsi="Arial"/>
                <w:sz w:val="20"/>
              </w:rPr>
              <w:t>TRAEs leading to dose reductions, n (%)</w:t>
            </w:r>
          </w:p>
        </w:tc>
        <w:tc>
          <w:tcPr>
            <w:tcW w:w="60" w:type="dxa"/>
            <w:tcBorders/>
          </w:tcPr>
          <w:p>
            <w:pPr>
              <w:pStyle w:val="TableContents"/>
              <w:bidi w:val="0"/>
              <w:spacing w:before="0" w:after="0"/>
              <w:jc w:val="left"/>
              <w:rPr/>
            </w:pPr>
            <w:r>
              <w:rPr/>
              <w:t> </w:t>
            </w:r>
          </w:p>
        </w:tc>
        <w:tc>
          <w:tcPr>
            <w:tcW w:w="243"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6 (8</w:t>
            </w:r>
          </w:p>
        </w:tc>
        <w:tc>
          <w:tcPr>
            <w:tcW w:w="163" w:type="dxa"/>
            <w:tcBorders/>
            <w:vAlign w:val="bottom"/>
          </w:tcPr>
          <w:p>
            <w:pPr>
              <w:pStyle w:val="TableContents"/>
              <w:bidi w:val="0"/>
              <w:spacing w:before="0" w:after="283"/>
              <w:jc w:val="left"/>
              <w:rPr/>
            </w:pPr>
            <w:r>
              <w:rPr/>
              <w:t>) </w:t>
            </w:r>
          </w:p>
        </w:tc>
      </w:tr>
      <w:tr>
        <w:trPr/>
        <w:tc>
          <w:tcPr>
            <w:tcW w:w="8594" w:type="dxa"/>
            <w:gridSpan w:val="16"/>
            <w:tcBorders/>
            <w:shd w:fill="CCEEFF" w:val="clear"/>
          </w:tcPr>
          <w:p>
            <w:pPr>
              <w:pStyle w:val="TableContents"/>
              <w:bidi w:val="0"/>
              <w:spacing w:before="0" w:after="0"/>
              <w:jc w:val="left"/>
              <w:rPr>
                <w:rFonts w:ascii="Arial" w:hAnsi="Arial"/>
                <w:sz w:val="20"/>
              </w:rPr>
            </w:pPr>
            <w:r>
              <w:rPr>
                <w:rFonts w:ascii="Arial" w:hAnsi="Arial"/>
                <w:sz w:val="20"/>
              </w:rPr>
              <w:t>TRAEs leading to dose discontinuations, n (%)</w:t>
            </w:r>
          </w:p>
        </w:tc>
        <w:tc>
          <w:tcPr>
            <w:tcW w:w="60" w:type="dxa"/>
            <w:tcBorders/>
            <w:shd w:fill="CCEEFF" w:val="clear"/>
          </w:tcPr>
          <w:p>
            <w:pPr>
              <w:pStyle w:val="TableContents"/>
              <w:bidi w:val="0"/>
              <w:spacing w:before="0" w:after="0"/>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0</w:t>
            </w:r>
          </w:p>
        </w:tc>
        <w:tc>
          <w:tcPr>
            <w:tcW w:w="163"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1 </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One Grade 3 TRAE of pneumonitis progressed to Grade 5 after withdrawal of supportive care per patient decision. The patient was a 66 year-old male with heavily pretreated metastatic pancreatic adenocarcinoma who received 24 mg of ERAS-0015. The patient had pulmonary metastases, a history of right lung cryoablation and no history of lung radiation. The patient presented to the ER approximately a month after starting ERAS-0015 with Grade 3 pneumonitis that was treated aggressively with immediate discontinuation of ERAS-0015, high dose steroids and infliximab. The patient requested withdrawal of supportive care and ultimately died of the event.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2 </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Rash events are identified using following preferred term rash pustular, rash papular, rash maculo-papular, rash macular, rash, erythema and dermatitis acneiform (uncoded terms rash acneiform and rash, are also included). </w:t>
            </w:r>
          </w:p>
        </w:tc>
      </w:tr>
    </w:tbl>
    <w:p>
      <w:pPr>
        <w:pStyle w:val="TextBody"/>
        <w:bidi w:val="0"/>
        <w:spacing w:before="320" w:after="0"/>
        <w:jc w:val="left"/>
        <w:rPr>
          <w:rFonts w:ascii="Arial" w:hAnsi="Arial"/>
          <w:b/>
          <w:sz w:val="24"/>
          <w:bdr w:val="single" w:sz="2" w:space="1" w:color="000000"/>
        </w:rPr>
      </w:pPr>
      <w:r>
        <w:rPr>
          <w:rFonts w:ascii="Arial" w:hAnsi="Arial"/>
          <w:b/>
          <w:sz w:val="24"/>
          <w:bdr w:val="single" w:sz="2" w:space="1" w:color="000000"/>
        </w:rPr>
        <w:t xml:space="preserve">Corporate information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We were incorporated under the laws of the state of Delaware on July 2, 2018. Our principal executive offices are located at 3115 Merryfield Row, Suite 300, San Diego, California 92121, and our telephone number is (858) 465-6511. Our website address is www.erasca.com. The information on, or accessible through, our website is not part of, and is not incorporated into, this prospectus supplement or the accompanying prospectus and should not be considered part of this prospectus supplement or the accompanying prospectus.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b/>
          <w:sz w:val="32"/>
          <w:bdr w:val="single" w:sz="2" w:space="1" w:color="000000"/>
        </w:rPr>
      </w:pPr>
      <w:r>
        <w:rPr>
          <w:rFonts w:ascii="Arial" w:hAnsi="Arial"/>
          <w:b/>
          <w:sz w:val="32"/>
          <w:bdr w:val="single" w:sz="2" w:space="1" w:color="000000"/>
        </w:rPr>
        <w:t xml:space="preserve">The offering </w:t>
      </w:r>
    </w:p>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856"/>
        <w:gridCol w:w="7349"/>
      </w:tblGrid>
      <w:tr>
        <w:trPr/>
        <w:tc>
          <w:tcPr>
            <w:tcW w:w="2856" w:type="dxa"/>
            <w:tcBorders/>
          </w:tcPr>
          <w:p>
            <w:pPr>
              <w:pStyle w:val="TableContents"/>
              <w:bidi w:val="0"/>
              <w:spacing w:before="0" w:after="20"/>
              <w:jc w:val="left"/>
              <w:rPr>
                <w:rFonts w:ascii="Arial" w:hAnsi="Arial"/>
                <w:b/>
                <w:sz w:val="20"/>
              </w:rPr>
            </w:pPr>
            <w:r>
              <w:rPr>
                <w:rFonts w:ascii="Arial" w:hAnsi="Arial"/>
                <w:b/>
                <w:sz w:val="20"/>
              </w:rPr>
              <w:t xml:space="preserve">Common stock offered by us </w:t>
            </w:r>
          </w:p>
        </w:tc>
        <w:tc>
          <w:tcPr>
            <w:tcW w:w="7349" w:type="dxa"/>
            <w:tcBorders/>
          </w:tcPr>
          <w:p>
            <w:pPr>
              <w:pStyle w:val="TableContents"/>
              <w:bidi w:val="0"/>
              <w:spacing w:before="0" w:after="283"/>
              <w:jc w:val="left"/>
              <w:rPr/>
            </w:pPr>
            <w:r>
              <w:rPr/>
              <w:t xml:space="preserve">$500.0 million of shares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856"/>
        <w:gridCol w:w="7349"/>
      </w:tblGrid>
      <w:tr>
        <w:trPr/>
        <w:tc>
          <w:tcPr>
            <w:tcW w:w="2856" w:type="dxa"/>
            <w:tcBorders/>
          </w:tcPr>
          <w:p>
            <w:pPr>
              <w:pStyle w:val="TableContents"/>
              <w:bidi w:val="0"/>
              <w:spacing w:before="0" w:after="20"/>
              <w:jc w:val="left"/>
              <w:rPr>
                <w:rFonts w:ascii="Arial" w:hAnsi="Arial"/>
                <w:b/>
                <w:sz w:val="20"/>
              </w:rPr>
            </w:pPr>
            <w:r>
              <w:rPr>
                <w:rFonts w:ascii="Arial" w:hAnsi="Arial"/>
                <w:b/>
                <w:sz w:val="20"/>
              </w:rPr>
              <w:t xml:space="preserve">Option to purchase additional shares </w:t>
            </w:r>
          </w:p>
        </w:tc>
        <w:tc>
          <w:tcPr>
            <w:tcW w:w="7349" w:type="dxa"/>
            <w:tcBorders/>
          </w:tcPr>
          <w:p>
            <w:pPr>
              <w:pStyle w:val="TableContents"/>
              <w:bidi w:val="0"/>
              <w:spacing w:before="0" w:after="283"/>
              <w:jc w:val="left"/>
              <w:rPr/>
            </w:pPr>
            <w:r>
              <w:rPr/>
              <w:t xml:space="preserve">We have granted the underwriters an option exercisable for a period of 30 days after the date of this prospectus supplement to purchase up to an additional $75.0 million of shares of our common stock.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856"/>
        <w:gridCol w:w="7349"/>
      </w:tblGrid>
      <w:tr>
        <w:trPr/>
        <w:tc>
          <w:tcPr>
            <w:tcW w:w="2856" w:type="dxa"/>
            <w:tcBorders/>
          </w:tcPr>
          <w:p>
            <w:pPr>
              <w:pStyle w:val="TableContents"/>
              <w:bidi w:val="0"/>
              <w:spacing w:before="0" w:after="20"/>
              <w:jc w:val="left"/>
              <w:rPr>
                <w:rFonts w:ascii="Arial" w:hAnsi="Arial"/>
                <w:b/>
                <w:sz w:val="20"/>
              </w:rPr>
            </w:pPr>
            <w:r>
              <w:rPr>
                <w:rFonts w:ascii="Arial" w:hAnsi="Arial"/>
                <w:b/>
                <w:sz w:val="20"/>
              </w:rPr>
              <w:t xml:space="preserve">Common stock to be outstanding immediately after this offering </w:t>
            </w:r>
          </w:p>
        </w:tc>
        <w:tc>
          <w:tcPr>
            <w:tcW w:w="7349" w:type="dxa"/>
            <w:tcBorders/>
          </w:tcPr>
          <w:p>
            <w:pPr>
              <w:pStyle w:val="TableContents"/>
              <w:bidi w:val="0"/>
              <w:spacing w:before="0" w:after="283"/>
              <w:jc w:val="left"/>
              <w:rPr/>
            </w:pPr>
            <w:r>
              <w:rPr/>
              <w:t>    </w:t>
            </w:r>
            <w:r>
              <w:rPr/>
              <w:t xml:space="preserve">shares (or     shares if the underwriters exercise in full their option to purchase additional shares).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856"/>
        <w:gridCol w:w="7349"/>
      </w:tblGrid>
      <w:tr>
        <w:trPr/>
        <w:tc>
          <w:tcPr>
            <w:tcW w:w="2856" w:type="dxa"/>
            <w:tcBorders/>
          </w:tcPr>
          <w:p>
            <w:pPr>
              <w:pStyle w:val="TableContents"/>
              <w:bidi w:val="0"/>
              <w:spacing w:before="0" w:after="20"/>
              <w:jc w:val="left"/>
              <w:rPr>
                <w:rFonts w:ascii="Arial" w:hAnsi="Arial"/>
                <w:b/>
                <w:sz w:val="20"/>
              </w:rPr>
            </w:pPr>
            <w:r>
              <w:rPr>
                <w:rFonts w:ascii="Arial" w:hAnsi="Arial"/>
                <w:b/>
                <w:sz w:val="20"/>
              </w:rPr>
              <w:t xml:space="preserve">Use of proceeds </w:t>
            </w:r>
          </w:p>
        </w:tc>
        <w:tc>
          <w:tcPr>
            <w:tcW w:w="7349" w:type="dxa"/>
            <w:tcBorders/>
          </w:tcPr>
          <w:p>
            <w:pPr>
              <w:pStyle w:val="TableContents"/>
              <w:bidi w:val="0"/>
              <w:spacing w:before="0" w:after="283"/>
              <w:jc w:val="left"/>
              <w:rPr/>
            </w:pPr>
            <w:r>
              <w:rPr/>
              <w:t xml:space="preserve">We intend to use the net proceeds from this offering, together with our existing cash, cash equivalents and marketable securities, to fund the research and development of our product candidates and other development programs and for working capital and other general corporate purposes. We may also use a portion of the remaining net proceeds and our existing cash, cash equivalents and marketable securities, to in-license, acquire, or invest in complementary business, technologies, products or assets; however, we have no current commitments or obligations to do so. See “Use of proceeds.”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856"/>
        <w:gridCol w:w="7349"/>
      </w:tblGrid>
      <w:tr>
        <w:trPr/>
        <w:tc>
          <w:tcPr>
            <w:tcW w:w="2856" w:type="dxa"/>
            <w:tcBorders/>
          </w:tcPr>
          <w:p>
            <w:pPr>
              <w:pStyle w:val="TableContents"/>
              <w:bidi w:val="0"/>
              <w:spacing w:before="0" w:after="20"/>
              <w:jc w:val="left"/>
              <w:rPr>
                <w:rFonts w:ascii="Arial" w:hAnsi="Arial"/>
                <w:b/>
                <w:sz w:val="20"/>
              </w:rPr>
            </w:pPr>
            <w:r>
              <w:rPr>
                <w:rFonts w:ascii="Arial" w:hAnsi="Arial"/>
                <w:b/>
                <w:sz w:val="20"/>
              </w:rPr>
              <w:t xml:space="preserve">Risk factors </w:t>
            </w:r>
          </w:p>
        </w:tc>
        <w:tc>
          <w:tcPr>
            <w:tcW w:w="7349" w:type="dxa"/>
            <w:tcBorders/>
          </w:tcPr>
          <w:p>
            <w:pPr>
              <w:pStyle w:val="TableContents"/>
              <w:bidi w:val="0"/>
              <w:spacing w:before="0" w:after="283"/>
              <w:jc w:val="left"/>
              <w:rPr/>
            </w:pPr>
            <w:r>
              <w:rPr/>
              <w:t xml:space="preserve">You should read the “Risk factors” section of this prospectus supplement and in the documents incorporated by reference in this prospectus supplement for a discussion of factors to consider before deciding to invest in our common stock.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855"/>
        <w:gridCol w:w="7350"/>
      </w:tblGrid>
      <w:tr>
        <w:trPr/>
        <w:tc>
          <w:tcPr>
            <w:tcW w:w="2855" w:type="dxa"/>
            <w:tcBorders/>
          </w:tcPr>
          <w:p>
            <w:pPr>
              <w:pStyle w:val="TableContents"/>
              <w:bidi w:val="0"/>
              <w:spacing w:before="0" w:after="20"/>
              <w:jc w:val="left"/>
              <w:rPr>
                <w:rFonts w:ascii="Arial" w:hAnsi="Arial"/>
                <w:b/>
                <w:sz w:val="20"/>
              </w:rPr>
            </w:pPr>
            <w:r>
              <w:rPr>
                <w:rFonts w:ascii="Arial" w:hAnsi="Arial"/>
                <w:b/>
                <w:sz w:val="20"/>
              </w:rPr>
              <w:t xml:space="preserve">Nasdaq Global Select Market symbol </w:t>
            </w:r>
          </w:p>
        </w:tc>
        <w:tc>
          <w:tcPr>
            <w:tcW w:w="7350" w:type="dxa"/>
            <w:tcBorders/>
          </w:tcPr>
          <w:p>
            <w:pPr>
              <w:pStyle w:val="TableContents"/>
              <w:bidi w:val="0"/>
              <w:spacing w:before="0" w:after="283"/>
              <w:jc w:val="left"/>
              <w:rPr/>
            </w:pPr>
            <w:r>
              <w:rPr/>
              <w:t>“</w:t>
            </w:r>
            <w:r>
              <w:rPr/>
              <w:t xml:space="preserve">ERAS.” </w:t>
            </w:r>
          </w:p>
        </w:tc>
      </w:tr>
    </w:tbl>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The number of shares of common stock to be outstanding immediately after this offering is based on 310,806,888 shares of our common stock outstanding as of March 31, 2026. The number of shares outstanding as of March 31, 2026 excludes: </w:t>
      </w:r>
    </w:p>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58,411,166 shares of common stock issuable upon the exercise of options outstanding as of March 31, 2026, at a weighted average exercise price of $4.66 per share; and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19,822,874 shares of common stock reserved for future issuance under our 2021 Incentive Award Plan and our 2021 Employee Stock Purchase Plan as of March 31, 2026. </w:t>
            </w:r>
          </w:p>
        </w:tc>
      </w:tr>
    </w:tbl>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Except as otherwise indicated, all information in this prospectus supplement assumes (i) no exercise of outstanding options and (ii) no exercise by the underwriters of their option to purchase up to an additional $75.0 million of shares of our common stock.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In addition, the number of shares of our common stock to be outstanding immediately after this offering as shown above does not include the $200 million of shares of our common stock that remain available for sale at March 31, 2026 under the Amended and Restated Open Market Sale AgreementSM (the Sales Agreement), with Jefferies LLC, dated August 12, 2025. Between March 31, 2026 and the date of this prospectus supplement, we have not sold any shares of our common stock under the Sales Agreement.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5" w:name="supptoc116467_3"/>
      <w:bookmarkEnd w:id="5"/>
      <w:r>
        <w:rPr>
          <w:rFonts w:ascii="Arial" w:hAnsi="Arial"/>
          <w:b/>
          <w:sz w:val="32"/>
        </w:rPr>
        <w:t xml:space="preserve">Risk factors </w:t>
      </w:r>
    </w:p>
    <w:p>
      <w:pPr>
        <w:pStyle w:val="TextBody"/>
        <w:bidi w:val="0"/>
        <w:spacing w:before="160" w:after="0"/>
        <w:jc w:val="left"/>
        <w:rPr>
          <w:rFonts w:ascii="Arial" w:hAnsi="Arial"/>
          <w:i/>
          <w:sz w:val="20"/>
        </w:rPr>
      </w:pPr>
      <w:r>
        <w:rPr>
          <w:rFonts w:ascii="Arial" w:hAnsi="Arial"/>
          <w:i/>
          <w:sz w:val="20"/>
        </w:rPr>
        <w:t xml:space="preserve">You should consider carefully the risks described below and discussed under the section captioned “Risk Factors” contained in our Annual Report on Form 10-K for the year ended December 31, 2025 as updated by our subsequent filings under the Securities Exchange Act of 1934, as amended (the Exchange Act), which are incorporated by reference in this prospectus supplement and the accompanying prospectus in their entirety, together with other information in this prospectus supplement, the accompanying prospectus and the information and documents incorporated by reference in this prospectus supplement and the accompanying prospectus, and any free writing prospectus that we have authorized for use in connection with this offering before you make a decision to invest in our common stock. If any of the following events actually occur, our business, operating results, prospects or financial condition could be materially and adversely affected. This could cause the trading price of our common stock to decline, and you may lose all or part of your investment. The risks described below are not the only ones that we face. Additional risks not presently known to us or that we currently deem immaterial may also affect our business operations. </w:t>
      </w:r>
    </w:p>
    <w:p>
      <w:pPr>
        <w:pStyle w:val="TextBody"/>
        <w:bidi w:val="0"/>
        <w:spacing w:before="320" w:after="0"/>
        <w:jc w:val="left"/>
        <w:rPr>
          <w:rFonts w:ascii="Arial" w:hAnsi="Arial"/>
          <w:b/>
          <w:sz w:val="24"/>
        </w:rPr>
      </w:pPr>
      <w:r>
        <w:rPr>
          <w:rFonts w:ascii="Arial" w:hAnsi="Arial"/>
          <w:b/>
          <w:sz w:val="24"/>
        </w:rPr>
        <w:t xml:space="preserve">Risks relating to this offering </w:t>
      </w:r>
    </w:p>
    <w:p>
      <w:pPr>
        <w:pStyle w:val="TextBody"/>
        <w:bidi w:val="0"/>
        <w:spacing w:before="160" w:after="0"/>
        <w:jc w:val="left"/>
        <w:rPr>
          <w:rFonts w:ascii="Arial" w:hAnsi="Arial"/>
          <w:b/>
          <w:i/>
          <w:sz w:val="20"/>
        </w:rPr>
      </w:pPr>
      <w:r>
        <w:rPr>
          <w:rFonts w:ascii="Arial" w:hAnsi="Arial"/>
          <w:b/>
          <w:i/>
          <w:sz w:val="20"/>
        </w:rPr>
        <w:t xml:space="preserve">If you purchase shares of our common stock sold in this offering, you will experience immediate and substantial dilution in the net tangible book value of your shares. In addition, we may issue additional equity or convertible debt securities in the future, which may result in additional dilution to investors. </w:t>
      </w:r>
    </w:p>
    <w:p>
      <w:pPr>
        <w:pStyle w:val="TextBody"/>
        <w:bidi w:val="0"/>
        <w:spacing w:before="160" w:after="0"/>
        <w:jc w:val="left"/>
        <w:rPr>
          <w:rFonts w:ascii="Arial" w:hAnsi="Arial"/>
          <w:sz w:val="20"/>
        </w:rPr>
      </w:pPr>
      <w:r>
        <w:rPr>
          <w:rFonts w:ascii="Arial" w:hAnsi="Arial"/>
          <w:sz w:val="20"/>
        </w:rPr>
        <w:t xml:space="preserve">The offering price per share of common stock in this offering is considerably more than the net tangible book value per share of our outstanding common stock. As a result, investors purchasing shares of common stock in this offering will pay a price per share that substantially exceeds the value of our tangible assets after subtracting liabilities. Based upon the offering price of $    per share, new investors will incur immediate dilution of $    per share based on the net tangible book value as of March 31, 2026. For a more detailed discussion of the foregoing, see “Dilution.” To the extent outstanding stock options are exercised, there will be further dilution to new investors. In addition, to the extent we need to raise additional capital in the future and we issue additional shares of common stock or securities convertible or exchangeable for our common stock, our then existing stockholders may experience dilution and the new securities may have rights senior to those of our common stock offered in this offering. </w:t>
      </w:r>
    </w:p>
    <w:p>
      <w:pPr>
        <w:pStyle w:val="TextBody"/>
        <w:bidi w:val="0"/>
        <w:spacing w:before="160" w:after="0"/>
        <w:jc w:val="left"/>
        <w:rPr>
          <w:rFonts w:ascii="Arial" w:hAnsi="Arial"/>
          <w:sz w:val="20"/>
        </w:rPr>
      </w:pPr>
      <w:r>
        <w:rPr>
          <w:rFonts w:ascii="Arial" w:hAnsi="Arial"/>
          <w:sz w:val="20"/>
        </w:rPr>
        <w:t xml:space="preserve">In addition, pursuant to the Sales Agreement, we may issue and sell from time to time through Jefferies LLC shares of our common stock, in an aggregate amount not to exceed $200 million. As of the date of this prospectus supplement, $200 million of common stock remains available for sale under the Sales Agreement. To the extent that we sell additional shares of our common stock pursuant to the Sales Agreement subsequent to this offering, investors purchasing securities in this offering could experience further dilution. </w:t>
      </w:r>
    </w:p>
    <w:p>
      <w:pPr>
        <w:pStyle w:val="TextBody"/>
        <w:bidi w:val="0"/>
        <w:spacing w:before="160" w:after="0"/>
        <w:jc w:val="left"/>
        <w:rPr>
          <w:rFonts w:ascii="Arial" w:hAnsi="Arial"/>
          <w:b/>
          <w:i/>
          <w:sz w:val="20"/>
        </w:rPr>
      </w:pPr>
      <w:r>
        <w:rPr>
          <w:rFonts w:ascii="Arial" w:hAnsi="Arial"/>
          <w:b/>
          <w:i/>
          <w:sz w:val="20"/>
        </w:rPr>
        <w:t xml:space="preserve">We have broad discretion in the use of the net proceeds from this offering and may not use them effectively. </w:t>
      </w:r>
    </w:p>
    <w:p>
      <w:pPr>
        <w:pStyle w:val="TextBody"/>
        <w:bidi w:val="0"/>
        <w:spacing w:before="160" w:after="0"/>
        <w:jc w:val="left"/>
        <w:rPr>
          <w:rFonts w:ascii="Arial" w:hAnsi="Arial"/>
          <w:sz w:val="20"/>
        </w:rPr>
      </w:pPr>
      <w:r>
        <w:rPr>
          <w:rFonts w:ascii="Arial" w:hAnsi="Arial"/>
          <w:sz w:val="20"/>
        </w:rPr>
        <w:t xml:space="preserve">Our management will have broad discretion in the application of the net proceeds from this offering, including for any of the purposes described in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We expect to use the net proceeds from this offering, together with our existing cash, cash equivalents and marketable securities, to fund the research and development of our product candidates and other development programs and for working capital and general corporate purposes. We may also use a portion of the remaining net proceeds and our existing cash, cash equivalents and marketable securities, to in-license, acquire, or invest in complementary businesses,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technologies, products or assets; however, we have no current commitments or obligations to do so. The failure by our management to apply these funds effectively could harm our business. Pending their use, we may invest the net proceeds from this offering in short- and intermediate-term, investment-grade, interest-bearing securities. These investments may not yield a favorable return to our stockholders. If we do not invest or apply the net proceeds from this offering in ways that enhance stockholder value, we may fail to achieve expected financial results, which could cause our stock price to decline.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6" w:name="supptoc116467_4"/>
      <w:bookmarkEnd w:id="6"/>
      <w:r>
        <w:rPr>
          <w:rFonts w:ascii="Arial" w:hAnsi="Arial"/>
          <w:b/>
          <w:sz w:val="32"/>
        </w:rPr>
        <w:t xml:space="preserve">Cautionary note regarding forward-looking statements </w:t>
      </w:r>
    </w:p>
    <w:p>
      <w:pPr>
        <w:pStyle w:val="TextBody"/>
        <w:bidi w:val="0"/>
        <w:spacing w:before="160" w:after="0"/>
        <w:jc w:val="left"/>
        <w:rPr>
          <w:rFonts w:ascii="Arial" w:hAnsi="Arial"/>
          <w:sz w:val="20"/>
        </w:rPr>
      </w:pPr>
      <w:r>
        <w:rPr>
          <w:rFonts w:ascii="Arial" w:hAnsi="Arial"/>
          <w:sz w:val="20"/>
        </w:rPr>
        <w:t xml:space="preserve">This prospectus supplement and the accompanying prospectus, including the documents incorporated by reference herein and therein, and any free writing prospectus that we have authorized for use in connection with this offering contain forward-looking statements within the meaning of Section 27A of the Securities Act of 1933, as amended (the Securities Act), and Section 21E of the Exchange Act. All statements other than statements of historical facts contained in this prospectus supplement, the accompanying prospectus and the documents incorporated by reference herein and therein are forward-looking statements, including statements regarding our future results of operations and financial position, business strategy, research and development plans, the anticipated timing, costs, design and conduct of our ongoing and planned preclinical studies and clinical trials for our product candidates, the timing and likelihood of regulatory filings and approvals for our product candidates, our ability to commercialize our product candidates, if approved, the impact of global geopolitical and economic events and war on our business, the pricing and reimbursement of our product candidates, if approved, the potential to develop future product candidates, the potential benefits of current and future licenses, acquisitions and strategic arrangements with third parties, and our intent to enter into any future strategic arrangements, the timing and likelihood of success, plans and objectives of management for future operations, and future results of anticipated product development efforts and the anticipated use of proceeds from this offering,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This prospectus supplement, the accompanying prospectus and the documents incorporated by reference herein and therein also contain estimates and other statistical data made by independent parties and by us relating to market size and growth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 </w:t>
      </w:r>
    </w:p>
    <w:p>
      <w:pPr>
        <w:pStyle w:val="TextBody"/>
        <w:bidi w:val="0"/>
        <w:spacing w:before="160" w:after="0"/>
        <w:jc w:val="left"/>
        <w:rPr>
          <w:rFonts w:ascii="Arial" w:hAnsi="Arial"/>
          <w:sz w:val="20"/>
        </w:rPr>
      </w:pPr>
      <w:r>
        <w:rPr>
          <w:rFonts w:ascii="Arial" w:hAnsi="Arial"/>
          <w:sz w:val="20"/>
        </w:rPr>
        <w:t xml:space="preserve">In some cases, you can identify forward-looking statements by terms such as “may,” “will,” “should,” “expect,” “plan,” “anticipate,” “could,” “intend,” “target,” “project,” “contemplates,” “believes,” “estimates,” “predicts,” “potential” or “continue” or the negative of these terms or other similar expressions. The forward-looking statements in this prospectus supplement, the accompanying prospectus and the documents incorporated by reference herein and therein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prospectus supplement and are subject to a number of risks, uncertainties and assumptions, which we discuss in greater detail in the documents incorporated by reference herein, including under the heading “Risk factors” and elsewhere in this prospectus supplement.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Given these risks and uncertainties, you should not place undue reliance on these forward-looking statements. Except as required by applicable law, we do not plan to publicly update or revise any forward-looking statements contained in this prospectus supplement, the accompanying prospectus or the documents incorporated by reference herein and therein, whether as a result of any new information, future events, changed circumstances or otherwise. For all forward-looking statements, we claim the protection of the safe harbor for forward-looking statements contained in the Private Securities Litigation Reform Act of 1995.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7" w:name="supptoc116467_5"/>
      <w:bookmarkEnd w:id="7"/>
      <w:r>
        <w:rPr>
          <w:rFonts w:ascii="Arial" w:hAnsi="Arial"/>
          <w:b/>
          <w:sz w:val="32"/>
        </w:rPr>
        <w:t xml:space="preserve">Use of proceeds </w:t>
      </w:r>
    </w:p>
    <w:p>
      <w:pPr>
        <w:pStyle w:val="TextBody"/>
        <w:bidi w:val="0"/>
        <w:spacing w:before="160" w:after="0"/>
        <w:jc w:val="left"/>
        <w:rPr>
          <w:rFonts w:ascii="Arial" w:hAnsi="Arial"/>
          <w:sz w:val="20"/>
        </w:rPr>
      </w:pPr>
      <w:r>
        <w:rPr>
          <w:rFonts w:ascii="Arial" w:hAnsi="Arial"/>
          <w:sz w:val="20"/>
        </w:rPr>
        <w:t xml:space="preserve">We estimate that we will receive net proceeds of approximately $  million from the sale of     shares of common stock offered by us in this offering, or approximately $  million if the underwriters exercise in full their option to purchase up to an additional    shares of common stock, after deducting the estimated underwriting discounts and commissions and estimated offering expenses payable by us. </w:t>
      </w:r>
    </w:p>
    <w:p>
      <w:pPr>
        <w:pStyle w:val="TextBody"/>
        <w:bidi w:val="0"/>
        <w:spacing w:before="160" w:after="0"/>
        <w:jc w:val="left"/>
        <w:rPr>
          <w:rFonts w:ascii="Arial" w:hAnsi="Arial"/>
          <w:sz w:val="20"/>
        </w:rPr>
      </w:pPr>
      <w:r>
        <w:rPr>
          <w:rFonts w:ascii="Arial" w:hAnsi="Arial"/>
          <w:sz w:val="20"/>
        </w:rPr>
        <w:t xml:space="preserve">We intend to use the net proceeds from this offering, together with our existing cash, cash equivalents and marketable securities, to fund the research and development of our product candidates and other development programs and for working capital and other general corporate purposes. We may also use a portion of the remaining net proceeds, together with our existing cash, cash equivalents and marketable securities, to in-license, acquire, or invest in complementary businesses, technologies, products or assets; however, we have no current commitments or obligations to do so. </w:t>
      </w:r>
    </w:p>
    <w:p>
      <w:pPr>
        <w:pStyle w:val="TextBody"/>
        <w:bidi w:val="0"/>
        <w:spacing w:before="160" w:after="0"/>
        <w:jc w:val="left"/>
        <w:rPr>
          <w:rFonts w:ascii="Arial" w:hAnsi="Arial"/>
          <w:sz w:val="20"/>
        </w:rPr>
      </w:pPr>
      <w:r>
        <w:rPr>
          <w:rFonts w:ascii="Arial" w:hAnsi="Arial"/>
          <w:sz w:val="20"/>
        </w:rPr>
        <w:t xml:space="preserve">The amounts and timing of our actual expenditures will depend on numerous factors, including the factors described under “Risk factors” in this prospectus supplement and in the documents incorporated by reference herein, as well as the amount of cash used in our operations. We may find it necessary or advisable to use the net proceeds for other purposes, and we will have broad discretion in the application of the net proceeds. </w:t>
      </w:r>
    </w:p>
    <w:p>
      <w:pPr>
        <w:pStyle w:val="TextBody"/>
        <w:bidi w:val="0"/>
        <w:spacing w:before="160" w:after="0"/>
        <w:jc w:val="left"/>
        <w:rPr>
          <w:rFonts w:ascii="Arial" w:hAnsi="Arial"/>
          <w:sz w:val="20"/>
        </w:rPr>
      </w:pPr>
      <w:r>
        <w:rPr>
          <w:rFonts w:ascii="Arial" w:hAnsi="Arial"/>
          <w:sz w:val="20"/>
        </w:rPr>
        <w:t xml:space="preserve">Pending the uses described above, we plan to invest the net proceeds from this offering in short- and intermediate-term, interest-bearing obligations, investment-grade instruments, certificates of deposit or direct or guaranteed obligations of the U.S. government.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8" w:name="supptoc116467_6"/>
      <w:bookmarkEnd w:id="8"/>
      <w:r>
        <w:rPr>
          <w:rFonts w:ascii="Arial" w:hAnsi="Arial"/>
          <w:b/>
          <w:sz w:val="32"/>
        </w:rPr>
        <w:t xml:space="preserve">Dilution </w:t>
      </w:r>
    </w:p>
    <w:p>
      <w:pPr>
        <w:pStyle w:val="TextBody"/>
        <w:bidi w:val="0"/>
        <w:spacing w:before="160" w:after="0"/>
        <w:jc w:val="left"/>
        <w:rPr>
          <w:rFonts w:ascii="Arial" w:hAnsi="Arial"/>
          <w:sz w:val="20"/>
        </w:rPr>
      </w:pPr>
      <w:r>
        <w:rPr>
          <w:rFonts w:ascii="Arial" w:hAnsi="Arial"/>
          <w:sz w:val="20"/>
        </w:rPr>
        <w:t xml:space="preserve">If you invest in our common stock in this offering, your interest will be diluted to the extent of the difference between the offering price per share and the as adjusted net tangible book value per share of our common stock immediately after this offering. </w:t>
      </w:r>
    </w:p>
    <w:p>
      <w:pPr>
        <w:pStyle w:val="TextBody"/>
        <w:bidi w:val="0"/>
        <w:spacing w:before="160" w:after="0"/>
        <w:jc w:val="left"/>
        <w:rPr>
          <w:rFonts w:ascii="Arial" w:hAnsi="Arial"/>
          <w:sz w:val="20"/>
        </w:rPr>
      </w:pPr>
      <w:r>
        <w:rPr>
          <w:rFonts w:ascii="Arial" w:hAnsi="Arial"/>
          <w:sz w:val="20"/>
        </w:rPr>
        <w:t xml:space="preserve">As of March 31, 2026, our net tangible book value was approximately $393.5 million, or approximately $1.27 per share of common stock, based on 310,806,888 shares of our common stock outstanding. Our net tangible book value per share is equal to our total tangible assets, less our total liabilities, divided by the total number of shares of our common stock outstanding as of March 31, 2026. </w:t>
      </w:r>
    </w:p>
    <w:p>
      <w:pPr>
        <w:pStyle w:val="TextBody"/>
        <w:bidi w:val="0"/>
        <w:spacing w:before="160" w:after="0"/>
        <w:jc w:val="left"/>
        <w:rPr>
          <w:rFonts w:ascii="Arial" w:hAnsi="Arial"/>
          <w:sz w:val="20"/>
        </w:rPr>
      </w:pPr>
      <w:r>
        <w:rPr>
          <w:rFonts w:ascii="Arial" w:hAnsi="Arial"/>
          <w:sz w:val="20"/>
        </w:rPr>
        <w:t xml:space="preserve">After giving effect to our sale in this offering of    shares of our common stock at the offering price of $    per share and after deducting the underwriting discounts and commissions and estimated offering expenses payable by us, our as adjusted net tangible book value as of March 31, 2026 would have been approximately $  million, or approximately $    per share of our common stock. This represents an immediate decrease in net tangible book value of approximately $    per share to our existing stockholders and an immediate dilution of $    per share to new investors purchasing our common stock in this offering. The following table illustrates this per share dilution to the new investors purchasing shares of our common stock.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887"/>
        <w:gridCol w:w="138"/>
        <w:gridCol w:w="147"/>
        <w:gridCol w:w="449"/>
        <w:gridCol w:w="114"/>
        <w:gridCol w:w="204"/>
        <w:gridCol w:w="147"/>
        <w:gridCol w:w="1054"/>
        <w:gridCol w:w="65"/>
      </w:tblGrid>
      <w:tr>
        <w:trPr/>
        <w:tc>
          <w:tcPr>
            <w:tcW w:w="7887"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7887" w:type="dxa"/>
            <w:tcBorders>
              <w:top w:val="single" w:sz="16" w:space="0" w:color="000000"/>
            </w:tcBorders>
            <w:shd w:fill="CCEEFF" w:val="clear"/>
            <w:tcMar>
              <w:top w:w="28" w:type="dxa"/>
            </w:tcMar>
          </w:tcPr>
          <w:p>
            <w:pPr>
              <w:pStyle w:val="TableContents"/>
              <w:bidi w:val="0"/>
              <w:spacing w:before="0" w:after="0"/>
              <w:jc w:val="left"/>
              <w:rPr>
                <w:rFonts w:ascii="Arial" w:hAnsi="Arial"/>
                <w:sz w:val="20"/>
              </w:rPr>
            </w:pPr>
            <w:r>
              <w:rPr>
                <w:rFonts w:ascii="Arial" w:hAnsi="Arial"/>
                <w:sz w:val="20"/>
              </w:rPr>
              <w:t>Public offering price per share</w:t>
            </w:r>
          </w:p>
        </w:tc>
        <w:tc>
          <w:tcPr>
            <w:tcW w:w="138" w:type="dxa"/>
            <w:tcBorders>
              <w:top w:val="single" w:sz="16" w:space="0" w:color="000000"/>
            </w:tcBorders>
            <w:shd w:fill="CCEEFF" w:val="clear"/>
            <w:tcMar>
              <w:top w:w="28" w:type="dxa"/>
            </w:tcMar>
            <w:vAlign w:val="bottom"/>
          </w:tcPr>
          <w:p>
            <w:pPr>
              <w:pStyle w:val="TableContents"/>
              <w:bidi w:val="0"/>
              <w:spacing w:before="0" w:after="283"/>
              <w:jc w:val="left"/>
              <w:rPr/>
            </w:pPr>
            <w:r>
              <w:rPr/>
              <w:t>  </w:t>
            </w:r>
          </w:p>
        </w:tc>
        <w:tc>
          <w:tcPr>
            <w:tcW w:w="147" w:type="dxa"/>
            <w:tcBorders>
              <w:top w:val="single" w:sz="16" w:space="0" w:color="000000"/>
            </w:tcBorders>
            <w:shd w:fill="CCEEFF" w:val="clear"/>
            <w:tcMar>
              <w:top w:w="28" w:type="dxa"/>
            </w:tcMar>
            <w:vAlign w:val="bottom"/>
          </w:tcPr>
          <w:p>
            <w:pPr>
              <w:pStyle w:val="TableContents"/>
              <w:bidi w:val="0"/>
              <w:spacing w:before="0" w:after="283"/>
              <w:jc w:val="left"/>
              <w:rPr/>
            </w:pPr>
            <w:r>
              <w:rPr/>
              <w:t> </w:t>
            </w:r>
          </w:p>
        </w:tc>
        <w:tc>
          <w:tcPr>
            <w:tcW w:w="449" w:type="dxa"/>
            <w:tcBorders>
              <w:top w:val="single" w:sz="16" w:space="0" w:color="000000"/>
            </w:tcBorders>
            <w:shd w:fill="CCEEFF" w:val="clear"/>
            <w:tcMar>
              <w:top w:w="28" w:type="dxa"/>
            </w:tcMar>
            <w:vAlign w:val="bottom"/>
          </w:tcPr>
          <w:p>
            <w:pPr>
              <w:pStyle w:val="TableContents"/>
              <w:bidi w:val="0"/>
              <w:spacing w:before="0" w:after="283"/>
              <w:jc w:val="left"/>
              <w:rPr/>
            </w:pPr>
            <w:r>
              <w:rPr/>
              <w:t> </w:t>
            </w:r>
          </w:p>
        </w:tc>
        <w:tc>
          <w:tcPr>
            <w:tcW w:w="114" w:type="dxa"/>
            <w:tcBorders>
              <w:top w:val="single" w:sz="16" w:space="0" w:color="000000"/>
            </w:tcBorders>
            <w:shd w:fill="CCEEFF" w:val="clear"/>
            <w:tcMar>
              <w:top w:w="28" w:type="dxa"/>
            </w:tcMar>
            <w:vAlign w:val="bottom"/>
          </w:tcPr>
          <w:p>
            <w:pPr>
              <w:pStyle w:val="TableContents"/>
              <w:bidi w:val="0"/>
              <w:spacing w:before="0" w:after="283"/>
              <w:jc w:val="left"/>
              <w:rPr/>
            </w:pPr>
            <w:r>
              <w:rPr/>
              <w:t> </w:t>
            </w:r>
          </w:p>
        </w:tc>
        <w:tc>
          <w:tcPr>
            <w:tcW w:w="204" w:type="dxa"/>
            <w:tcBorders>
              <w:top w:val="single" w:sz="16" w:space="0" w:color="000000"/>
            </w:tcBorders>
            <w:shd w:fill="CCEEFF" w:val="clear"/>
            <w:tcMar>
              <w:top w:w="28" w:type="dxa"/>
            </w:tcMar>
            <w:vAlign w:val="bottom"/>
          </w:tcPr>
          <w:p>
            <w:pPr>
              <w:pStyle w:val="TableContents"/>
              <w:bidi w:val="0"/>
              <w:spacing w:before="0" w:after="283"/>
              <w:jc w:val="left"/>
              <w:rPr/>
            </w:pPr>
            <w:r>
              <w:rPr/>
              <w:t> </w:t>
            </w:r>
          </w:p>
        </w:tc>
        <w:tc>
          <w:tcPr>
            <w:tcW w:w="147" w:type="dxa"/>
            <w:tcBorders>
              <w:top w:val="single" w:sz="16" w:space="0" w:color="000000"/>
            </w:tcBorders>
            <w:shd w:fill="CCEEFF" w:val="clear"/>
            <w:tcMar>
              <w:top w:w="28" w:type="dxa"/>
            </w:tcMar>
            <w:vAlign w:val="bottom"/>
          </w:tcPr>
          <w:p>
            <w:pPr>
              <w:pStyle w:val="TableContents"/>
              <w:bidi w:val="0"/>
              <w:spacing w:before="0" w:after="283"/>
              <w:jc w:val="left"/>
              <w:rPr/>
            </w:pPr>
            <w:r>
              <w:rPr/>
              <w:t>$</w:t>
            </w:r>
          </w:p>
        </w:tc>
        <w:tc>
          <w:tcPr>
            <w:tcW w:w="1054" w:type="dxa"/>
            <w:tcBorders>
              <w:top w:val="single" w:sz="16" w:space="0" w:color="000000"/>
            </w:tcBorders>
            <w:shd w:fill="CCEEFF" w:val="clear"/>
            <w:tcMar>
              <w:top w:w="28" w:type="dxa"/>
            </w:tcMar>
            <w:vAlign w:val="bottom"/>
          </w:tcPr>
          <w:p>
            <w:pPr>
              <w:pStyle w:val="TableContents"/>
              <w:bidi w:val="0"/>
              <w:spacing w:before="0" w:after="283"/>
              <w:jc w:val="right"/>
              <w:rPr/>
            </w:pPr>
            <w:r>
              <w:rPr/>
              <w:t>     </w:t>
            </w:r>
          </w:p>
        </w:tc>
        <w:tc>
          <w:tcPr>
            <w:tcW w:w="65" w:type="dxa"/>
            <w:tcBorders>
              <w:top w:val="single" w:sz="16" w:space="0" w:color="000000"/>
            </w:tcBorders>
            <w:shd w:fill="CCEEFF" w:val="clear"/>
            <w:tcMar>
              <w:top w:w="28" w:type="dxa"/>
            </w:tcMar>
            <w:vAlign w:val="bottom"/>
          </w:tcPr>
          <w:p>
            <w:pPr>
              <w:pStyle w:val="TableContents"/>
              <w:bidi w:val="0"/>
              <w:spacing w:before="0" w:after="283"/>
              <w:jc w:val="left"/>
              <w:rPr/>
            </w:pPr>
            <w:r>
              <w:rPr/>
              <w:t> </w:t>
            </w:r>
          </w:p>
        </w:tc>
      </w:tr>
      <w:tr>
        <w:trPr/>
        <w:tc>
          <w:tcPr>
            <w:tcW w:w="7887" w:type="dxa"/>
            <w:tcBorders/>
          </w:tcPr>
          <w:p>
            <w:pPr>
              <w:pStyle w:val="TableContents"/>
              <w:bidi w:val="0"/>
              <w:spacing w:before="0" w:after="0"/>
              <w:jc w:val="left"/>
              <w:rPr>
                <w:rFonts w:ascii="Arial" w:hAnsi="Arial"/>
                <w:sz w:val="20"/>
              </w:rPr>
            </w:pPr>
            <w:r>
              <w:rPr>
                <w:rFonts w:ascii="Arial" w:hAnsi="Arial"/>
                <w:sz w:val="20"/>
              </w:rPr>
              <w:t>Net tangible book value per share as of March 31, 2026</w:t>
            </w:r>
          </w:p>
        </w:tc>
        <w:tc>
          <w:tcPr>
            <w:tcW w:w="13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449" w:type="dxa"/>
            <w:tcBorders/>
            <w:vAlign w:val="bottom"/>
          </w:tcPr>
          <w:p>
            <w:pPr>
              <w:pStyle w:val="TableContents"/>
              <w:bidi w:val="0"/>
              <w:spacing w:before="0" w:after="283"/>
              <w:jc w:val="right"/>
              <w:rPr/>
            </w:pPr>
            <w:r>
              <w:rPr/>
              <w:t>1.27</w:t>
            </w:r>
          </w:p>
        </w:tc>
        <w:tc>
          <w:tcPr>
            <w:tcW w:w="114"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1054"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7887" w:type="dxa"/>
            <w:tcBorders/>
            <w:shd w:fill="CCEEFF" w:val="clear"/>
          </w:tcPr>
          <w:p>
            <w:pPr>
              <w:pStyle w:val="TableContents"/>
              <w:bidi w:val="0"/>
              <w:spacing w:before="0" w:after="0"/>
              <w:jc w:val="left"/>
              <w:rPr>
                <w:rFonts w:ascii="Arial" w:hAnsi="Arial"/>
                <w:sz w:val="20"/>
              </w:rPr>
            </w:pPr>
            <w:r>
              <w:rPr>
                <w:rFonts w:ascii="Arial" w:hAnsi="Arial"/>
                <w:sz w:val="20"/>
              </w:rPr>
              <w:t>Decrease in net tangible book value per share attributable to this offering</w:t>
            </w:r>
          </w:p>
        </w:tc>
        <w:tc>
          <w:tcPr>
            <w:tcW w:w="13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449" w:type="dxa"/>
            <w:tcBorders/>
            <w:shd w:fill="CCEEFF" w:val="clear"/>
            <w:vAlign w:val="bottom"/>
          </w:tcPr>
          <w:p>
            <w:pPr>
              <w:pStyle w:val="TableContents"/>
              <w:bidi w:val="0"/>
              <w:spacing w:before="0" w:after="283"/>
              <w:jc w:val="right"/>
              <w:rPr/>
            </w:pPr>
            <w:r>
              <w:rPr/>
              <w:t>  </w:t>
            </w:r>
          </w:p>
        </w:tc>
        <w:tc>
          <w:tcPr>
            <w:tcW w:w="114"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1054"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7887"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449" w:type="dxa"/>
            <w:tcBorders/>
            <w:vAlign w:val="bottom"/>
          </w:tcPr>
          <w:p>
            <w:pPr>
              <w:pStyle w:val="TableContents"/>
              <w:pBdr>
                <w:top w:val="single" w:sz="2" w:space="1" w:color="000000"/>
              </w:pBdr>
              <w:bidi w:val="0"/>
              <w:spacing w:before="0" w:after="0"/>
              <w:jc w:val="left"/>
              <w:rPr/>
            </w:pPr>
            <w:r>
              <w:rPr/>
              <w:t> </w:t>
            </w:r>
          </w:p>
        </w:tc>
        <w:tc>
          <w:tcPr>
            <w:tcW w:w="114"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1054"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7887" w:type="dxa"/>
            <w:tcBorders/>
          </w:tcPr>
          <w:p>
            <w:pPr>
              <w:pStyle w:val="TableContents"/>
              <w:bidi w:val="0"/>
              <w:spacing w:before="0" w:after="0"/>
              <w:jc w:val="left"/>
              <w:rPr>
                <w:rFonts w:ascii="Arial" w:hAnsi="Arial"/>
                <w:sz w:val="20"/>
              </w:rPr>
            </w:pPr>
            <w:r>
              <w:rPr>
                <w:rFonts w:ascii="Arial" w:hAnsi="Arial"/>
                <w:sz w:val="20"/>
              </w:rPr>
              <w:t>As adjusted net tangible book value per share, after giving effect to this offering</w:t>
            </w:r>
          </w:p>
        </w:tc>
        <w:tc>
          <w:tcPr>
            <w:tcW w:w="13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1054"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7887"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054"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7887" w:type="dxa"/>
            <w:tcBorders/>
            <w:shd w:fill="CCEEFF" w:val="clear"/>
          </w:tcPr>
          <w:p>
            <w:pPr>
              <w:pStyle w:val="TableContents"/>
              <w:bidi w:val="0"/>
              <w:spacing w:before="0" w:after="0"/>
              <w:jc w:val="left"/>
              <w:rPr>
                <w:rFonts w:ascii="Arial" w:hAnsi="Arial"/>
                <w:sz w:val="20"/>
              </w:rPr>
            </w:pPr>
            <w:r>
              <w:rPr>
                <w:rFonts w:ascii="Arial" w:hAnsi="Arial"/>
                <w:sz w:val="20"/>
              </w:rPr>
              <w:t>Dilution in net tangible book value per share to new investors in this offering</w:t>
            </w:r>
          </w:p>
        </w:tc>
        <w:tc>
          <w:tcPr>
            <w:tcW w:w="13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449"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sz w:val="4"/>
                <w:szCs w:val="4"/>
              </w:rPr>
            </w:pPr>
            <w:r>
              <w:rPr>
                <w:sz w:val="4"/>
                <w:szCs w:val="4"/>
              </w:rPr>
            </w:r>
          </w:p>
        </w:tc>
        <w:tc>
          <w:tcPr>
            <w:tcW w:w="20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1054"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10140" w:type="dxa"/>
            <w:gridSpan w:val="8"/>
            <w:tcBorders/>
          </w:tcPr>
          <w:p>
            <w:pPr>
              <w:pStyle w:val="TableContents"/>
              <w:pBdr>
                <w:bottom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If the underwriters exercise their option in full to purchase up to an additional     shares of our common stock at the public offering price of $    per share, after deducting the underwriting discounts and commissions and estimated offering expenses payable by us, our as adjusted net tangible book value after this offering would be approximately $    per share, representing an immediate decrease in net tangible book value of approximately $    per share to our existing stockholders and immediate dilution of approximately $    per share to new investors purchasing common stock in this offering. </w:t>
      </w:r>
    </w:p>
    <w:p>
      <w:pPr>
        <w:pStyle w:val="TextBody"/>
        <w:bidi w:val="0"/>
        <w:spacing w:before="160" w:after="0"/>
        <w:jc w:val="left"/>
        <w:rPr>
          <w:rFonts w:ascii="Arial" w:hAnsi="Arial"/>
          <w:sz w:val="20"/>
        </w:rPr>
      </w:pPr>
      <w:r>
        <w:rPr>
          <w:rFonts w:ascii="Arial" w:hAnsi="Arial"/>
          <w:sz w:val="20"/>
        </w:rPr>
        <w:t xml:space="preserve">The foregoing table and calculations (other than net tangible book value calculations) are based on 310,806,888 shares of our common stock outstanding as of March 31, 2026. The number of shares outstanding as of March 31, 2026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58,411,166 shares of common stock issuable upon the exercise of options outstanding as of March 31, 2026, at a weighted average exercise price of $4.66 per share;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19,822,874 shares of common stock reserved for future issuance under our 2021 Incentive Award Plan and our 2021 Employee Stock Purchase Plan as of March 31, 2026. </w:t>
            </w:r>
          </w:p>
        </w:tc>
      </w:tr>
    </w:tbl>
    <w:p>
      <w:pPr>
        <w:pStyle w:val="TextBody"/>
        <w:bidi w:val="0"/>
        <w:spacing w:before="160" w:after="0"/>
        <w:jc w:val="left"/>
        <w:rPr>
          <w:rFonts w:ascii="Arial" w:hAnsi="Arial"/>
          <w:sz w:val="20"/>
        </w:rPr>
      </w:pPr>
      <w:r>
        <w:rPr>
          <w:rFonts w:ascii="Arial" w:hAnsi="Arial"/>
          <w:sz w:val="20"/>
        </w:rPr>
        <w:t xml:space="preserve">Except as otherwise indicated, all information in this prospectus supplement assumes (i) no exercise of outstanding options and (ii) no exercise by the underwriters of their option to purchase up to an additional $75.0 million of shares of our common stock. </w:t>
      </w:r>
    </w:p>
    <w:p>
      <w:pPr>
        <w:pStyle w:val="TextBody"/>
        <w:bidi w:val="0"/>
        <w:spacing w:before="160" w:after="0"/>
        <w:jc w:val="left"/>
        <w:rPr>
          <w:rFonts w:ascii="Arial" w:hAnsi="Arial"/>
          <w:sz w:val="20"/>
        </w:rPr>
      </w:pPr>
      <w:r>
        <w:rPr>
          <w:rFonts w:ascii="Arial" w:hAnsi="Arial"/>
          <w:sz w:val="20"/>
        </w:rPr>
        <w:t xml:space="preserve">To the extent that outstanding options are exercised, you may experience further dilution. In addition, we may choose to raise additional capital due to market conditions or strategic considerations even if we believe we have sufficient funds for our current or future operating plans. To the extent that we raise additional capital by issuing equity or convertible debt securities, your ownership will be further diluted.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In addition, the number of shares of our common stock to be outstanding immediately after this offering as shown above does not include the $200 million of shares of our common stock that remain available for sale at March 31, 2026 under the Sales Agreement. Between March 31, 2026 and the date of this prospectus supplement, we have not sold any shares of our common stock under the Sales Agreement.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9" w:name="supptoc116467_6a"/>
      <w:bookmarkEnd w:id="9"/>
      <w:r>
        <w:rPr>
          <w:rFonts w:ascii="Arial" w:hAnsi="Arial"/>
          <w:b/>
          <w:sz w:val="32"/>
        </w:rPr>
        <w:t xml:space="preserve">Material U.S. federal income tax consequences to non-U.S. holders </w:t>
      </w:r>
    </w:p>
    <w:p>
      <w:pPr>
        <w:pStyle w:val="TextBody"/>
        <w:bidi w:val="0"/>
        <w:spacing w:before="160" w:after="0"/>
        <w:jc w:val="left"/>
        <w:rPr>
          <w:rFonts w:ascii="Arial" w:hAnsi="Arial"/>
          <w:sz w:val="20"/>
        </w:rPr>
      </w:pPr>
      <w:r>
        <w:rPr>
          <w:rFonts w:ascii="Arial" w:hAnsi="Arial"/>
          <w:sz w:val="20"/>
        </w:rPr>
        <w:t xml:space="preserve">The following discussion is a summary of the material U.S. federal income tax consequences to Non-U.S. Holders (as defined below) of the purchase, ownership, and disposition of our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or the Code, U.S. Treasury regulations promulgated thereunder, or the Treasury Regulations, judicial decisions, and published rulings and administrative pronouncements of the U.S. Internal Revenue Service, or the IRS, in each case in effect as of the date hereof. 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 </w:t>
      </w:r>
    </w:p>
    <w:p>
      <w:pPr>
        <w:pStyle w:val="TextBody"/>
        <w:bidi w:val="0"/>
        <w:spacing w:before="160" w:after="0"/>
        <w:jc w:val="left"/>
        <w:rPr>
          <w:rFonts w:ascii="Arial" w:hAnsi="Arial"/>
          <w:sz w:val="20"/>
        </w:rPr>
      </w:pPr>
      <w:r>
        <w:rPr>
          <w:rFonts w:ascii="Arial" w:hAnsi="Arial"/>
          <w:sz w:val="20"/>
        </w:rPr>
        <w:t xml:space="preserve">This discussion is limited to Non-U.S. Holders that hold our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and the alternative minimum tax. In addition, it does not address consequences relevant to Non-U.S. Holders subject to special rules, including,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U.S. expatriates and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persons holding our common stock as part of a hedge, straddle or other risk reduction strategy, or as part of a conversion transaction or other integrated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banks, insurance companies, and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brokers, dealers, or traders in securities or currencies;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pPr>
            <w:r>
              <w:rPr/>
              <w:t>“</w:t>
            </w:r>
            <w:r>
              <w:rPr>
                <w:rFonts w:ascii="Arial" w:hAnsi="Arial"/>
                <w:sz w:val="20"/>
              </w:rPr>
              <w:t xml:space="preserve">controlled foreign corporations,” “foreign controlled foreign corporations,” “passive foreign investment companies,” and 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partnerships or other entities or arrangements treated as partnerships for U.S. federal income tax purposes (and investors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tax-exempt organizations or governmental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persons deemed to sell our common stock under the constructive sale provisions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persons who hold or receive our common stock pursuant to the exercise of any employee stock option or otherwise as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tax-qualified retirement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pPr>
            <w:r>
              <w:rPr/>
              <w:t>“</w:t>
            </w:r>
            <w:r>
              <w:rPr>
                <w:rFonts w:ascii="Arial" w:hAnsi="Arial"/>
                <w:sz w:val="20"/>
              </w:rPr>
              <w:t xml:space="preserve">qualified foreign pension funds” as defined in Section 897(l)(2) of the Code and entities all of the interests of which are held by qualified foreign pension funds;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persons subject to special tax accounting rules as a result of any item of gross income with respect to the stock being taken into account in an applicable financial statement. </w:t>
            </w:r>
          </w:p>
        </w:tc>
      </w:tr>
    </w:tbl>
    <w:p>
      <w:pPr>
        <w:pStyle w:val="TextBody"/>
        <w:bidi w:val="0"/>
        <w:spacing w:before="160" w:after="0"/>
        <w:jc w:val="left"/>
        <w:rPr>
          <w:rFonts w:ascii="Arial" w:hAnsi="Arial"/>
          <w:sz w:val="20"/>
        </w:rPr>
      </w:pPr>
      <w:r>
        <w:rPr>
          <w:rFonts w:ascii="Arial" w:hAnsi="Arial"/>
          <w:sz w:val="20"/>
        </w:rPr>
        <w:t xml:space="preserve">If an entity or arrangement treated as a partnership for U.S. federal income tax purposes holds our common stock, the tax treatment of a partner in the partnership will depend on the status of the partner, the activities of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the partnership, and certain determinations made at the partner level. Accordingly, partnerships holding our common stock and the partners in such partnerships should consult their tax advisors regarding the U.S. federal income tax consequences to them. </w:t>
      </w:r>
    </w:p>
    <w:p>
      <w:pPr>
        <w:pStyle w:val="TextBody"/>
        <w:bidi w:val="0"/>
        <w:spacing w:before="320" w:after="0"/>
        <w:jc w:val="left"/>
        <w:rPr>
          <w:rFonts w:ascii="Arial" w:hAnsi="Arial"/>
          <w:b/>
          <w:sz w:val="20"/>
        </w:rPr>
      </w:pPr>
      <w:r>
        <w:rPr>
          <w:rFonts w:ascii="Arial" w:hAnsi="Arial"/>
          <w:b/>
          <w:sz w:val="20"/>
        </w:rPr>
        <w:t xml:space="preserve">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 </w:t>
      </w:r>
    </w:p>
    <w:p>
      <w:pPr>
        <w:pStyle w:val="TextBody"/>
        <w:bidi w:val="0"/>
        <w:spacing w:before="160" w:after="0"/>
        <w:jc w:val="left"/>
        <w:rPr>
          <w:rFonts w:ascii="Arial" w:hAnsi="Arial"/>
          <w:b/>
          <w:i/>
          <w:sz w:val="20"/>
        </w:rPr>
      </w:pPr>
      <w:r>
        <w:rPr>
          <w:rFonts w:ascii="Arial" w:hAnsi="Arial"/>
          <w:b/>
          <w:i/>
          <w:sz w:val="20"/>
        </w:rPr>
        <w:t xml:space="preserve">Definition of a non-U.S. holder </w:t>
      </w:r>
    </w:p>
    <w:p>
      <w:pPr>
        <w:pStyle w:val="TextBody"/>
        <w:bidi w:val="0"/>
        <w:spacing w:before="160" w:after="0"/>
        <w:jc w:val="left"/>
        <w:rPr>
          <w:rFonts w:ascii="Arial" w:hAnsi="Arial"/>
          <w:sz w:val="20"/>
        </w:rPr>
      </w:pPr>
      <w:r>
        <w:rPr>
          <w:rFonts w:ascii="Arial" w:hAnsi="Arial"/>
          <w:sz w:val="20"/>
        </w:rPr>
        <w:t xml:space="preserve">For purposes of this discussion, a “Non-U.S. Holder” is any beneficial owner of our common stock that is neither a U.S. person nor an entity treated as a partnership for U.S. federal income tax purposes. A “U.S. person” is any person that, for U.S. federal income tax purposes, is or is treated as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a corporation created or organized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 </w:t>
            </w:r>
          </w:p>
        </w:tc>
      </w:tr>
    </w:tbl>
    <w:p>
      <w:pPr>
        <w:pStyle w:val="TextBody"/>
        <w:bidi w:val="0"/>
        <w:spacing w:before="160" w:after="0"/>
        <w:jc w:val="left"/>
        <w:rPr>
          <w:rFonts w:ascii="Arial" w:hAnsi="Arial"/>
          <w:b/>
          <w:i/>
          <w:sz w:val="20"/>
        </w:rPr>
      </w:pPr>
      <w:r>
        <w:rPr>
          <w:rFonts w:ascii="Arial" w:hAnsi="Arial"/>
          <w:b/>
          <w:i/>
          <w:sz w:val="20"/>
        </w:rPr>
        <w:t xml:space="preserve">Distributions </w:t>
      </w:r>
    </w:p>
    <w:p>
      <w:pPr>
        <w:pStyle w:val="TextBody"/>
        <w:bidi w:val="0"/>
        <w:spacing w:before="160" w:after="0"/>
        <w:jc w:val="left"/>
        <w:rPr>
          <w:rFonts w:ascii="Arial" w:hAnsi="Arial"/>
          <w:sz w:val="20"/>
        </w:rPr>
      </w:pPr>
      <w:r>
        <w:rPr>
          <w:rFonts w:ascii="Arial" w:hAnsi="Arial"/>
          <w:sz w:val="20"/>
        </w:rPr>
        <w:t xml:space="preserve">We do not intend to pay cash dividends to our stockholders in the foreseeable future.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w:t>
      </w:r>
    </w:p>
    <w:p>
      <w:pPr>
        <w:pStyle w:val="TextBody"/>
        <w:bidi w:val="0"/>
        <w:spacing w:before="160" w:after="0"/>
        <w:jc w:val="left"/>
        <w:rPr>
          <w:rFonts w:ascii="Arial" w:hAnsi="Arial"/>
          <w:sz w:val="20"/>
        </w:rPr>
      </w:pPr>
      <w:r>
        <w:rPr>
          <w:rFonts w:ascii="Arial" w:hAnsi="Arial"/>
          <w:sz w:val="20"/>
        </w:rPr>
        <w:t xml:space="preserve">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“—Sale or other taxable disposition.” </w:t>
      </w:r>
    </w:p>
    <w:p>
      <w:pPr>
        <w:pStyle w:val="TextBody"/>
        <w:bidi w:val="0"/>
        <w:spacing w:before="160" w:after="0"/>
        <w:jc w:val="left"/>
        <w:rPr>
          <w:rFonts w:ascii="Arial" w:hAnsi="Arial"/>
          <w:sz w:val="20"/>
        </w:rPr>
      </w:pPr>
      <w:r>
        <w:rPr>
          <w:rFonts w:ascii="Arial" w:hAnsi="Arial"/>
          <w:sz w:val="20"/>
        </w:rPr>
        <w:t xml:space="preserve">Subject to the discussion below on effectively connected income,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 </w:t>
      </w:r>
    </w:p>
    <w:p>
      <w:pPr>
        <w:pStyle w:val="TextBody"/>
        <w:bidi w:val="0"/>
        <w:spacing w:before="160" w:after="0"/>
        <w:jc w:val="left"/>
        <w:rPr>
          <w:rFonts w:ascii="Arial" w:hAnsi="Arial"/>
          <w:sz w:val="20"/>
        </w:rPr>
      </w:pPr>
      <w:r>
        <w:rPr>
          <w:rFonts w:ascii="Arial" w:hAnsi="Arial"/>
          <w:sz w:val="20"/>
        </w:rPr>
        <w:t xml:space="preserve">If dividends paid to a Non-U.S. Holder are effectively connected with the Non-U.S. Holder’s conduct of a trade or business within the United States (and, if required by an applicable income tax treaty, the Non-U.S. Holder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 Any such effectively connected dividends will be subject to U.S. federal income tax on a net income basis at the regular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 </w:t>
      </w:r>
    </w:p>
    <w:p>
      <w:pPr>
        <w:pStyle w:val="TextBody"/>
        <w:bidi w:val="0"/>
        <w:spacing w:before="160" w:after="0"/>
        <w:jc w:val="left"/>
        <w:rPr>
          <w:rFonts w:ascii="Arial" w:hAnsi="Arial"/>
          <w:b/>
          <w:i/>
          <w:sz w:val="20"/>
        </w:rPr>
      </w:pPr>
      <w:r>
        <w:rPr>
          <w:rFonts w:ascii="Arial" w:hAnsi="Arial"/>
          <w:b/>
          <w:i/>
          <w:sz w:val="20"/>
        </w:rPr>
        <w:t xml:space="preserve">Sale or other taxable disposition </w:t>
      </w:r>
    </w:p>
    <w:p>
      <w:pPr>
        <w:pStyle w:val="TextBody"/>
        <w:bidi w:val="0"/>
        <w:spacing w:before="160" w:after="0"/>
        <w:jc w:val="left"/>
        <w:rPr>
          <w:rFonts w:ascii="Arial" w:hAnsi="Arial"/>
          <w:sz w:val="20"/>
        </w:rPr>
      </w:pPr>
      <w:r>
        <w:rPr>
          <w:rFonts w:ascii="Arial" w:hAnsi="Arial"/>
          <w:sz w:val="20"/>
        </w:rPr>
        <w:t xml:space="preserve">A Non-U.S. Holder will not be subject to U.S. federal income tax on any gain realized upon the sale or other taxable disposition of our common stock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gain is effectively connected with the Non-U.S. Holder’s conduct of a trade or business within the United States (and, if required by an applicable income tax treaty, the Non-U.S. Holder maintains a permanent establishment in the United States to which such gain is attributable);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the Non-U.S. Holder is a nonresident alien individual present in the United States for 183 days or more during the taxable year of the disposition and certain other requirements are met;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our common stock constitutes a U.S. real property interest, or USRPI, by reason of our status as a U.S. real property holding corporation, or USRPHC, for U.S. federal income tax purposes. </w:t>
            </w:r>
          </w:p>
        </w:tc>
      </w:tr>
    </w:tbl>
    <w:p>
      <w:pPr>
        <w:pStyle w:val="TextBody"/>
        <w:bidi w:val="0"/>
        <w:spacing w:before="160" w:after="0"/>
        <w:jc w:val="left"/>
        <w:rPr>
          <w:rFonts w:ascii="Arial" w:hAnsi="Arial"/>
          <w:sz w:val="20"/>
        </w:rPr>
      </w:pPr>
      <w:r>
        <w:rPr>
          <w:rFonts w:ascii="Arial" w:hAnsi="Arial"/>
          <w:sz w:val="20"/>
        </w:rPr>
        <w:t xml:space="preserve">Gain described in the first bullet point above generally will be subject to U.S. federal income tax on a net income basis at the regular rates. A Non-U.S. Holder that is a corporation also may be subject to a branch profits tax at a rate of 30% (or such lower rate specified by an applicable income tax treaty) on such effectively connected gain, as adjusted for certain items. </w:t>
      </w:r>
    </w:p>
    <w:p>
      <w:pPr>
        <w:pStyle w:val="TextBody"/>
        <w:bidi w:val="0"/>
        <w:spacing w:before="160" w:after="0"/>
        <w:jc w:val="left"/>
        <w:rPr>
          <w:rFonts w:ascii="Arial" w:hAnsi="Arial"/>
          <w:sz w:val="20"/>
        </w:rPr>
      </w:pPr>
      <w:r>
        <w:rPr>
          <w:rFonts w:ascii="Arial" w:hAnsi="Arial"/>
          <w:sz w:val="20"/>
        </w:rPr>
        <w:t xml:space="preserve">A Non-U.S. Holder described in the second bullet point above will be subject to U.S. federal income tax at a rate of 30% (or such lower rate specified by an applicable income tax treaty) on gain realized upon the sale or other taxable disposition of our common stock, which may be offset by U.S. source capital losses of the Non-U.S. Holder (even though the individual is not considered a resident of the United States), provided the Non-U.S. Holder has timely filed U.S. federal income tax returns with respect to such losses. </w:t>
      </w:r>
    </w:p>
    <w:p>
      <w:pPr>
        <w:pStyle w:val="TextBody"/>
        <w:bidi w:val="0"/>
        <w:spacing w:before="160" w:after="0"/>
        <w:jc w:val="left"/>
        <w:rPr>
          <w:rFonts w:ascii="Arial" w:hAnsi="Arial"/>
          <w:sz w:val="20"/>
        </w:rPr>
      </w:pPr>
      <w:r>
        <w:rPr>
          <w:rFonts w:ascii="Arial" w:hAnsi="Arial"/>
          <w:sz w:val="20"/>
        </w:rPr>
        <w:t xml:space="preserve">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of our common stock by a Non-U.S. Holder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 </w:t>
      </w:r>
    </w:p>
    <w:p>
      <w:pPr>
        <w:pStyle w:val="TextBody"/>
        <w:bidi w:val="0"/>
        <w:spacing w:before="160" w:after="0"/>
        <w:jc w:val="left"/>
        <w:rPr>
          <w:rFonts w:ascii="Arial" w:hAnsi="Arial"/>
          <w:sz w:val="20"/>
        </w:rPr>
      </w:pPr>
      <w:r>
        <w:rPr>
          <w:rFonts w:ascii="Arial" w:hAnsi="Arial"/>
          <w:sz w:val="20"/>
        </w:rPr>
        <w:t xml:space="preserve">Non-U.S. Holders should consult their tax advisors regarding potentially applicable income tax treaties that may provide for different rules. </w:t>
      </w:r>
    </w:p>
    <w:p>
      <w:pPr>
        <w:pStyle w:val="TextBody"/>
        <w:bidi w:val="0"/>
        <w:spacing w:before="160" w:after="0"/>
        <w:jc w:val="left"/>
        <w:rPr>
          <w:rFonts w:ascii="Arial" w:hAnsi="Arial"/>
          <w:b/>
          <w:i/>
          <w:sz w:val="20"/>
        </w:rPr>
      </w:pPr>
      <w:r>
        <w:rPr>
          <w:rFonts w:ascii="Arial" w:hAnsi="Arial"/>
          <w:b/>
          <w:i/>
          <w:sz w:val="20"/>
        </w:rPr>
        <w:t xml:space="preserve">Information reporting and backup withholding </w:t>
      </w:r>
    </w:p>
    <w:p>
      <w:pPr>
        <w:pStyle w:val="TextBody"/>
        <w:bidi w:val="0"/>
        <w:spacing w:before="160" w:after="0"/>
        <w:jc w:val="left"/>
        <w:rPr>
          <w:rFonts w:ascii="Arial" w:hAnsi="Arial"/>
          <w:sz w:val="20"/>
        </w:rPr>
      </w:pPr>
      <w:r>
        <w:rPr>
          <w:rFonts w:ascii="Arial" w:hAnsi="Arial"/>
          <w:sz w:val="20"/>
        </w:rPr>
        <w:t xml:space="preserve">Payments of dividends on our common stock will not be subject to backup withholding, provided the applicable withholding agent does not have actual knowledge or reason to know the holder is a United States person and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the holder either certifies its non-U.S. status, such as by furnishing a valid IRS Form W-8BEN, W-8BEN-E or W-8ECI, or otherwise establishes an exemption. However, information returns are required to be filed with the IRS in connection with any distributions on our common stock paid to the Non-U.S. Holder, regardless of whether such distributions constitute dividends or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common stock conducted through a non-U.S. office of a non-U.S. broker generally will not be subject to backup withholding or information reporting. </w:t>
      </w:r>
    </w:p>
    <w:p>
      <w:pPr>
        <w:pStyle w:val="TextBody"/>
        <w:bidi w:val="0"/>
        <w:spacing w:before="160" w:after="0"/>
        <w:jc w:val="left"/>
        <w:rPr>
          <w:rFonts w:ascii="Arial" w:hAnsi="Arial"/>
          <w:sz w:val="20"/>
        </w:rPr>
      </w:pPr>
      <w:r>
        <w:rPr>
          <w:rFonts w:ascii="Arial" w:hAnsi="Arial"/>
          <w:sz w:val="20"/>
        </w:rPr>
        <w:t xml:space="preserve">Copies of information returns that are filed with the IRS may also be made available under the provisions of an applicable treaty or agreement to the tax authorities of the country in which the Non-U.S. Holder resides or is established. </w:t>
      </w:r>
    </w:p>
    <w:p>
      <w:pPr>
        <w:pStyle w:val="TextBody"/>
        <w:bidi w:val="0"/>
        <w:spacing w:before="160" w:after="0"/>
        <w:jc w:val="left"/>
        <w:rPr>
          <w:rFonts w:ascii="Arial" w:hAnsi="Arial"/>
          <w:sz w:val="20"/>
        </w:rPr>
      </w:pPr>
      <w:r>
        <w:rPr>
          <w:rFonts w:ascii="Arial" w:hAnsi="Arial"/>
          <w:sz w:val="20"/>
        </w:rPr>
        <w:t xml:space="preserve">Backup withholding is not an additional tax. Any amounts withheld under the backup withholding rules may be allowed as a refund or a credit against a Non-U.S. Holder’s U.S. federal income tax liability, provided the required information is timely furnished to the IRS. </w:t>
      </w:r>
    </w:p>
    <w:p>
      <w:pPr>
        <w:pStyle w:val="TextBody"/>
        <w:bidi w:val="0"/>
        <w:spacing w:before="160" w:after="0"/>
        <w:jc w:val="left"/>
        <w:rPr>
          <w:rFonts w:ascii="Arial" w:hAnsi="Arial"/>
          <w:b/>
          <w:i/>
          <w:sz w:val="20"/>
        </w:rPr>
      </w:pPr>
      <w:r>
        <w:rPr>
          <w:rFonts w:ascii="Arial" w:hAnsi="Arial"/>
          <w:b/>
          <w:i/>
          <w:sz w:val="20"/>
        </w:rPr>
        <w:t xml:space="preserve">Additional withholding tax on payments made to foreign accounts </w:t>
      </w:r>
    </w:p>
    <w:p>
      <w:pPr>
        <w:pStyle w:val="TextBody"/>
        <w:bidi w:val="0"/>
        <w:spacing w:before="160" w:after="0"/>
        <w:jc w:val="left"/>
        <w:rPr>
          <w:rFonts w:ascii="Arial" w:hAnsi="Arial"/>
          <w:sz w:val="20"/>
        </w:rPr>
      </w:pPr>
      <w:r>
        <w:rPr>
          <w:rFonts w:ascii="Arial" w:hAnsi="Arial"/>
          <w:sz w:val="20"/>
        </w:rPr>
        <w:t xml:space="preserve">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clause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 </w:t>
      </w:r>
    </w:p>
    <w:p>
      <w:pPr>
        <w:pStyle w:val="TextBody"/>
        <w:bidi w:val="0"/>
        <w:spacing w:before="160" w:after="0"/>
        <w:jc w:val="left"/>
        <w:rPr>
          <w:rFonts w:ascii="Arial" w:hAnsi="Arial"/>
          <w:sz w:val="20"/>
        </w:rPr>
      </w:pPr>
      <w:r>
        <w:rPr>
          <w:rFonts w:ascii="Arial" w:hAnsi="Arial"/>
          <w:sz w:val="20"/>
        </w:rPr>
        <w:t xml:space="preserve">Under the applicable Treasury Regulations and administrative guidance, withholding under FATCA generally applies to payments of dividends on our common stock. While withholding under FATCA would have applied also to payments of gross proceeds from the sale or other disposition of stock, proposed Treasury Regulations eliminate FATCA withholding on payments of gross proceeds entirely. Taxpayers generally may rely on these proposed Treasury Regulations until final Treasury Regulations are issued. </w:t>
      </w:r>
    </w:p>
    <w:p>
      <w:pPr>
        <w:pStyle w:val="TextBody"/>
        <w:bidi w:val="0"/>
        <w:spacing w:before="160" w:after="0"/>
        <w:jc w:val="left"/>
        <w:rPr>
          <w:rFonts w:ascii="Arial" w:hAnsi="Arial"/>
          <w:sz w:val="20"/>
        </w:rPr>
      </w:pPr>
      <w:r>
        <w:rPr>
          <w:rFonts w:ascii="Arial" w:hAnsi="Arial"/>
          <w:sz w:val="20"/>
        </w:rPr>
        <w:t xml:space="preserve">Prospective investors should consult their tax advisors regarding the potential application of withholding under FATCA to their investment in our common stock.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10" w:name="supptoc116467_7"/>
      <w:bookmarkEnd w:id="10"/>
      <w:r>
        <w:rPr>
          <w:rFonts w:ascii="Arial" w:hAnsi="Arial"/>
          <w:b/>
          <w:sz w:val="32"/>
        </w:rPr>
        <w:t xml:space="preserve">Underwriting </w:t>
      </w:r>
    </w:p>
    <w:p>
      <w:pPr>
        <w:pStyle w:val="TextBody"/>
        <w:bidi w:val="0"/>
        <w:spacing w:before="160" w:after="0"/>
        <w:jc w:val="left"/>
        <w:rPr>
          <w:rFonts w:ascii="Arial" w:hAnsi="Arial"/>
          <w:sz w:val="20"/>
        </w:rPr>
      </w:pPr>
      <w:r>
        <w:rPr>
          <w:rFonts w:ascii="Arial" w:hAnsi="Arial"/>
          <w:sz w:val="20"/>
        </w:rPr>
        <w:t xml:space="preserve">We are offering the shares of common stock described in this prospectus supplement through a number of underwriters. J.P. Morgan Securities LLC, Morgan Stanley &amp; Co. LLC, Jefferies LLC and Evercore Group L.L.C. are acting as joint book-running managers of the offering and as representatives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supplement, the number of shares of common stock listed next to its name in the following table: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116"/>
        <w:gridCol w:w="898"/>
        <w:gridCol w:w="565"/>
        <w:gridCol w:w="565"/>
        <w:gridCol w:w="61"/>
      </w:tblGrid>
      <w:tr>
        <w:trPr/>
        <w:tc>
          <w:tcPr>
            <w:tcW w:w="8116" w:type="dxa"/>
            <w:tcBorders/>
            <w:vAlign w:val="center"/>
          </w:tcPr>
          <w:p>
            <w:pPr>
              <w:pStyle w:val="TableContents"/>
              <w:bidi w:val="0"/>
              <w:spacing w:before="0" w:after="283"/>
              <w:jc w:val="left"/>
              <w:rPr>
                <w:sz w:val="4"/>
                <w:szCs w:val="4"/>
              </w:rPr>
            </w:pPr>
            <w:r>
              <w:rPr>
                <w:sz w:val="4"/>
                <w:szCs w:val="4"/>
              </w:rPr>
            </w:r>
          </w:p>
        </w:tc>
        <w:tc>
          <w:tcPr>
            <w:tcW w:w="898" w:type="dxa"/>
            <w:tcBorders/>
            <w:vAlign w:val="bottom"/>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8116" w:type="dxa"/>
            <w:tcBorders>
              <w:top w:val="single" w:sz="16" w:space="0" w:color="000000"/>
            </w:tcBorders>
            <w:tcMar>
              <w:top w:w="28" w:type="dxa"/>
            </w:tcMar>
            <w:vAlign w:val="center"/>
          </w:tcPr>
          <w:p>
            <w:pPr>
              <w:pStyle w:val="TableContents"/>
              <w:bidi w:val="0"/>
              <w:spacing w:before="0" w:after="283"/>
              <w:jc w:val="left"/>
              <w:rPr/>
            </w:pPr>
            <w:r>
              <w:rPr/>
              <w:t> </w:t>
            </w:r>
          </w:p>
        </w:tc>
        <w:tc>
          <w:tcPr>
            <w:tcW w:w="2089"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8116" w:type="dxa"/>
            <w:tcBorders>
              <w:bottom w:val="single" w:sz="2" w:space="0" w:color="000000"/>
            </w:tcBorders>
            <w:tcMar>
              <w:bottom w:w="28" w:type="dxa"/>
            </w:tcMar>
            <w:vAlign w:val="bottom"/>
          </w:tcPr>
          <w:p>
            <w:pPr>
              <w:pStyle w:val="TableContents"/>
              <w:bidi w:val="0"/>
              <w:spacing w:before="0" w:after="283"/>
              <w:jc w:val="left"/>
              <w:rPr>
                <w:b/>
              </w:rPr>
            </w:pPr>
            <w:r>
              <w:rPr>
                <w:b/>
              </w:rPr>
              <w:t>Name</w:t>
            </w:r>
          </w:p>
        </w:tc>
        <w:tc>
          <w:tcPr>
            <w:tcW w:w="898" w:type="dxa"/>
            <w:tcBorders>
              <w:bottom w:val="single" w:sz="2" w:space="0" w:color="000000"/>
            </w:tcBorders>
            <w:tcMar>
              <w:bottom w:w="28" w:type="dxa"/>
            </w:tcMar>
            <w:vAlign w:val="bottom"/>
          </w:tcPr>
          <w:p>
            <w:pPr>
              <w:pStyle w:val="TableContents"/>
              <w:bidi w:val="0"/>
              <w:spacing w:before="0" w:after="283"/>
              <w:jc w:val="left"/>
              <w:rPr/>
            </w:pPr>
            <w:r>
              <w:rPr/>
              <w:t>  </w:t>
            </w:r>
          </w:p>
        </w:tc>
        <w:tc>
          <w:tcPr>
            <w:tcW w:w="1130" w:type="dxa"/>
            <w:gridSpan w:val="2"/>
            <w:tcBorders>
              <w:bottom w:val="single" w:sz="2" w:space="0" w:color="000000"/>
            </w:tcBorders>
            <w:tcMar>
              <w:bottom w:w="28" w:type="dxa"/>
            </w:tcMar>
            <w:vAlign w:val="bottom"/>
          </w:tcPr>
          <w:p>
            <w:pPr>
              <w:pStyle w:val="TableContents"/>
              <w:bidi w:val="0"/>
              <w:spacing w:before="0" w:after="283"/>
              <w:jc w:val="right"/>
              <w:rPr>
                <w:b/>
              </w:rPr>
            </w:pPr>
            <w:r>
              <w:rPr>
                <w:b/>
              </w:rPr>
              <w:t>Number of</w:t>
              <w:br/>
              <w:t>shares</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8116" w:type="dxa"/>
            <w:tcBorders/>
            <w:shd w:fill="CCEEFF" w:val="clear"/>
          </w:tcPr>
          <w:p>
            <w:pPr>
              <w:pStyle w:val="TableContents"/>
              <w:bidi w:val="0"/>
              <w:spacing w:before="0" w:after="0"/>
              <w:jc w:val="left"/>
              <w:rPr>
                <w:rFonts w:ascii="Arial" w:hAnsi="Arial"/>
                <w:sz w:val="20"/>
              </w:rPr>
            </w:pPr>
            <w:r>
              <w:rPr>
                <w:rFonts w:ascii="Arial" w:hAnsi="Arial"/>
                <w:sz w:val="20"/>
              </w:rPr>
              <w:t>J.P. Morgan Securities LLC</w:t>
            </w:r>
          </w:p>
        </w:tc>
        <w:tc>
          <w:tcPr>
            <w:tcW w:w="898"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r>
      <w:tr>
        <w:trPr/>
        <w:tc>
          <w:tcPr>
            <w:tcW w:w="8116" w:type="dxa"/>
            <w:tcBorders/>
          </w:tcPr>
          <w:p>
            <w:pPr>
              <w:pStyle w:val="TableContents"/>
              <w:bidi w:val="0"/>
              <w:spacing w:before="0" w:after="0"/>
              <w:jc w:val="left"/>
              <w:rPr>
                <w:rFonts w:ascii="Arial" w:hAnsi="Arial"/>
                <w:sz w:val="20"/>
              </w:rPr>
            </w:pPr>
            <w:r>
              <w:rPr>
                <w:rFonts w:ascii="Arial" w:hAnsi="Arial"/>
                <w:sz w:val="20"/>
              </w:rPr>
              <w:t>Morgan Stanley &amp; Co. LLC</w:t>
            </w:r>
          </w:p>
        </w:tc>
        <w:tc>
          <w:tcPr>
            <w:tcW w:w="898"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r>
      <w:tr>
        <w:trPr/>
        <w:tc>
          <w:tcPr>
            <w:tcW w:w="8116" w:type="dxa"/>
            <w:tcBorders/>
            <w:shd w:fill="CCEEFF" w:val="clear"/>
          </w:tcPr>
          <w:p>
            <w:pPr>
              <w:pStyle w:val="TableContents"/>
              <w:bidi w:val="0"/>
              <w:spacing w:before="0" w:after="0"/>
              <w:jc w:val="left"/>
              <w:rPr>
                <w:rFonts w:ascii="Arial" w:hAnsi="Arial"/>
                <w:sz w:val="20"/>
              </w:rPr>
            </w:pPr>
            <w:r>
              <w:rPr>
                <w:rFonts w:ascii="Arial" w:hAnsi="Arial"/>
                <w:sz w:val="20"/>
              </w:rPr>
              <w:t>Jefferies LLC</w:t>
            </w:r>
          </w:p>
        </w:tc>
        <w:tc>
          <w:tcPr>
            <w:tcW w:w="898"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r>
      <w:tr>
        <w:trPr/>
        <w:tc>
          <w:tcPr>
            <w:tcW w:w="8116" w:type="dxa"/>
            <w:tcBorders/>
          </w:tcPr>
          <w:p>
            <w:pPr>
              <w:pStyle w:val="TableContents"/>
              <w:bidi w:val="0"/>
              <w:spacing w:before="0" w:after="0"/>
              <w:jc w:val="left"/>
              <w:rPr>
                <w:rFonts w:ascii="Arial" w:hAnsi="Arial"/>
                <w:sz w:val="20"/>
              </w:rPr>
            </w:pPr>
            <w:r>
              <w:rPr>
                <w:rFonts w:ascii="Arial" w:hAnsi="Arial"/>
                <w:sz w:val="20"/>
              </w:rPr>
              <w:t>Evercore Group L.L.C.</w:t>
            </w:r>
          </w:p>
        </w:tc>
        <w:tc>
          <w:tcPr>
            <w:tcW w:w="898"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r>
      <w:tr>
        <w:trPr/>
        <w:tc>
          <w:tcPr>
            <w:tcW w:w="8116" w:type="dxa"/>
            <w:tcBorders/>
            <w:vAlign w:val="bottom"/>
          </w:tcPr>
          <w:p>
            <w:pPr>
              <w:pStyle w:val="TableContents"/>
              <w:bidi w:val="0"/>
              <w:spacing w:before="0" w:after="283"/>
              <w:jc w:val="left"/>
              <w:rPr>
                <w:sz w:val="4"/>
                <w:szCs w:val="4"/>
              </w:rPr>
            </w:pPr>
            <w:r>
              <w:rPr>
                <w:sz w:val="4"/>
                <w:szCs w:val="4"/>
              </w:rPr>
            </w:r>
          </w:p>
        </w:tc>
        <w:tc>
          <w:tcPr>
            <w:tcW w:w="898" w:type="dxa"/>
            <w:tcBorders/>
            <w:vAlign w:val="bottom"/>
          </w:tcPr>
          <w:p>
            <w:pPr>
              <w:pStyle w:val="TableContents"/>
              <w:bidi w:val="0"/>
              <w:spacing w:before="0" w:after="283"/>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61" w:type="dxa"/>
            <w:tcBorders/>
            <w:vAlign w:val="center"/>
          </w:tcPr>
          <w:p>
            <w:pPr>
              <w:pStyle w:val="TableContents"/>
              <w:bidi w:val="0"/>
              <w:spacing w:before="0" w:after="283"/>
              <w:jc w:val="left"/>
              <w:rPr/>
            </w:pPr>
            <w:r>
              <w:rPr/>
              <w:t> </w:t>
            </w:r>
          </w:p>
        </w:tc>
      </w:tr>
      <w:tr>
        <w:trPr/>
        <w:tc>
          <w:tcPr>
            <w:tcW w:w="8116" w:type="dxa"/>
            <w:tcBorders/>
            <w:shd w:fill="CCEEFF" w:val="clear"/>
          </w:tcPr>
          <w:p>
            <w:pPr>
              <w:pStyle w:val="TableContents"/>
              <w:bidi w:val="0"/>
              <w:spacing w:before="0" w:after="0"/>
              <w:jc w:val="left"/>
              <w:rPr>
                <w:rFonts w:ascii="Arial" w:hAnsi="Arial"/>
                <w:sz w:val="20"/>
              </w:rPr>
            </w:pPr>
            <w:r>
              <w:rPr>
                <w:rFonts w:ascii="Arial" w:hAnsi="Arial"/>
                <w:sz w:val="20"/>
              </w:rPr>
              <w:t>Total</w:t>
            </w:r>
          </w:p>
        </w:tc>
        <w:tc>
          <w:tcPr>
            <w:tcW w:w="898"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r>
      <w:tr>
        <w:trPr/>
        <w:tc>
          <w:tcPr>
            <w:tcW w:w="10144" w:type="dxa"/>
            <w:gridSpan w:val="4"/>
            <w:tcBorders/>
          </w:tcPr>
          <w:p>
            <w:pPr>
              <w:pStyle w:val="TableContents"/>
              <w:pBdr>
                <w:bottom w:val="single" w:sz="2" w:space="1" w:color="000000"/>
              </w:pBdr>
              <w:bidi w:val="0"/>
              <w:spacing w:before="0" w:after="0"/>
              <w:jc w:val="left"/>
              <w:rPr/>
            </w:pPr>
            <w:r>
              <w:rPr/>
              <w:t> </w:t>
            </w:r>
          </w:p>
        </w:tc>
        <w:tc>
          <w:tcPr>
            <w:tcW w:w="61"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The underwriters are committed to purchase all the shares of common stock offered by us if they purchase any shares. The underwriting agreement also provides that if an underwriter defaults, the purchase commitments of non-defaulting underwriters may also be increased or the offering may be terminated. </w:t>
      </w:r>
    </w:p>
    <w:p>
      <w:pPr>
        <w:pStyle w:val="TextBody"/>
        <w:bidi w:val="0"/>
        <w:spacing w:before="160" w:after="0"/>
        <w:jc w:val="left"/>
        <w:rPr>
          <w:rFonts w:ascii="Arial" w:hAnsi="Arial"/>
          <w:sz w:val="20"/>
        </w:rPr>
      </w:pPr>
      <w:r>
        <w:rPr>
          <w:rFonts w:ascii="Arial" w:hAnsi="Arial"/>
          <w:sz w:val="20"/>
        </w:rPr>
        <w:t xml:space="preserve">The underwriters propose to offer the shares of common stock directly to the public at the initial public offering price set forth on the cover page of this prospectus supplement and to certain dealers at that price less a concession not in excess of $    per share. Any such dealers may resell shares to certain other brokers or dealers at a discount of up to $    per share from the initial public offering price. After the initial offering of the shares to the public, if all of the shares of common stock are not sold at the initial public offering price, the underwriters may change the offering price and the other selling terms. Sales of any shares made outside of the United States may be made by affiliates of the underwriters. </w:t>
      </w:r>
    </w:p>
    <w:p>
      <w:pPr>
        <w:pStyle w:val="TextBody"/>
        <w:bidi w:val="0"/>
        <w:spacing w:before="160" w:after="0"/>
        <w:jc w:val="left"/>
        <w:rPr>
          <w:rFonts w:ascii="Arial" w:hAnsi="Arial"/>
          <w:sz w:val="20"/>
        </w:rPr>
      </w:pPr>
      <w:r>
        <w:rPr>
          <w:rFonts w:ascii="Arial" w:hAnsi="Arial"/>
          <w:sz w:val="20"/>
        </w:rPr>
        <w:t xml:space="preserve">The underwriters have an option to buy up to     additional shares of common stock from us to cover sales of shares by the underwriters which exceed the number of shares specified in the table above. The underwriters have 30 days from the date of this prospectus supplement to exercise this option to purchase additional shares. If any shares are purchased with this option to purchase additional shares, the underwriters will purchase shares in approximately the same proportion as shown in the table above. If any additional shares of common stock are purchased, the underwriters will offer the additional shares on the same terms as those on which the shares are being offered. </w:t>
      </w:r>
    </w:p>
    <w:p>
      <w:pPr>
        <w:pStyle w:val="TextBody"/>
        <w:bidi w:val="0"/>
        <w:spacing w:before="160" w:after="0"/>
        <w:jc w:val="left"/>
        <w:rPr>
          <w:rFonts w:ascii="Arial" w:hAnsi="Arial"/>
          <w:sz w:val="20"/>
        </w:rPr>
      </w:pPr>
      <w:r>
        <w:rPr>
          <w:rFonts w:ascii="Arial" w:hAnsi="Arial"/>
          <w:sz w:val="20"/>
        </w:rPr>
        <w:t xml:space="preserve">The underwriting fee is equal to the public offering price per share of common stock less the amount paid by the underwriters to us per share of common stock. The underwriting fee is $    per share. The following table shows the per share and total underwriting discounts and commissions to be paid to the underwriters assuming both no exercise and full exercise of the underwriters’ option to purchase additional shares.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296"/>
        <w:gridCol w:w="219"/>
        <w:gridCol w:w="140"/>
        <w:gridCol w:w="1534"/>
        <w:gridCol w:w="60"/>
        <w:gridCol w:w="219"/>
        <w:gridCol w:w="140"/>
        <w:gridCol w:w="1534"/>
        <w:gridCol w:w="63"/>
      </w:tblGrid>
      <w:tr>
        <w:trPr/>
        <w:tc>
          <w:tcPr>
            <w:tcW w:w="6296"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6296" w:type="dxa"/>
            <w:tcBorders>
              <w:top w:val="single" w:sz="16" w:space="0" w:color="000000"/>
            </w:tcBorders>
            <w:tcMar>
              <w:top w:w="28" w:type="dxa"/>
            </w:tcMar>
            <w:vAlign w:val="center"/>
          </w:tcPr>
          <w:p>
            <w:pPr>
              <w:pStyle w:val="TableContents"/>
              <w:bidi w:val="0"/>
              <w:spacing w:before="0" w:after="283"/>
              <w:jc w:val="left"/>
              <w:rPr/>
            </w:pPr>
            <w:r>
              <w:rPr/>
              <w:t> </w:t>
            </w:r>
          </w:p>
        </w:tc>
        <w:tc>
          <w:tcPr>
            <w:tcW w:w="1953"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956"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6296" w:type="dxa"/>
            <w:tcBorders>
              <w:bottom w:val="single" w:sz="2" w:space="0" w:color="000000"/>
            </w:tcBorders>
            <w:tcMar>
              <w:bottom w:w="28" w:type="dxa"/>
            </w:tcMar>
            <w:vAlign w:val="bottom"/>
          </w:tcPr>
          <w:p>
            <w:pPr>
              <w:pStyle w:val="TableContents"/>
              <w:bidi w:val="0"/>
              <w:spacing w:before="0" w:after="283"/>
              <w:jc w:val="left"/>
              <w:rPr/>
            </w:pPr>
            <w:r>
              <w:rPr/>
              <w:t>  </w:t>
            </w:r>
          </w:p>
        </w:tc>
        <w:tc>
          <w:tcPr>
            <w:tcW w:w="219" w:type="dxa"/>
            <w:tcBorders>
              <w:bottom w:val="single" w:sz="2" w:space="0" w:color="000000"/>
            </w:tcBorders>
            <w:tcMar>
              <w:bottom w:w="28" w:type="dxa"/>
            </w:tcMar>
            <w:vAlign w:val="bottom"/>
          </w:tcPr>
          <w:p>
            <w:pPr>
              <w:pStyle w:val="TableContents"/>
              <w:bidi w:val="0"/>
              <w:spacing w:before="0" w:after="283"/>
              <w:jc w:val="left"/>
              <w:rPr/>
            </w:pPr>
            <w:r>
              <w:rPr/>
              <w:t>  </w:t>
            </w:r>
          </w:p>
        </w:tc>
        <w:tc>
          <w:tcPr>
            <w:tcW w:w="1674" w:type="dxa"/>
            <w:gridSpan w:val="2"/>
            <w:tcBorders>
              <w:bottom w:val="single" w:sz="2" w:space="0" w:color="000000"/>
            </w:tcBorders>
            <w:tcMar>
              <w:bottom w:w="28" w:type="dxa"/>
            </w:tcMar>
            <w:vAlign w:val="bottom"/>
          </w:tcPr>
          <w:p>
            <w:pPr>
              <w:pStyle w:val="TableContents"/>
              <w:bidi w:val="0"/>
              <w:spacing w:before="0" w:after="283"/>
              <w:jc w:val="right"/>
              <w:rPr>
                <w:b/>
              </w:rPr>
            </w:pPr>
            <w:r>
              <w:rPr>
                <w:b/>
              </w:rPr>
              <w:t>Without option</w:t>
              <w:br/>
              <w:t>to purchase</w:t>
              <w:br/>
              <w:t>additional</w:t>
              <w:br/>
              <w:t>shares exercise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19" w:type="dxa"/>
            <w:tcBorders>
              <w:bottom w:val="single" w:sz="2" w:space="0" w:color="000000"/>
            </w:tcBorders>
            <w:tcMar>
              <w:bottom w:w="28" w:type="dxa"/>
            </w:tcMar>
            <w:vAlign w:val="bottom"/>
          </w:tcPr>
          <w:p>
            <w:pPr>
              <w:pStyle w:val="TableContents"/>
              <w:bidi w:val="0"/>
              <w:spacing w:before="0" w:after="283"/>
              <w:jc w:val="left"/>
              <w:rPr/>
            </w:pPr>
            <w:r>
              <w:rPr/>
              <w:t>  </w:t>
            </w:r>
          </w:p>
        </w:tc>
        <w:tc>
          <w:tcPr>
            <w:tcW w:w="1674" w:type="dxa"/>
            <w:gridSpan w:val="2"/>
            <w:tcBorders>
              <w:bottom w:val="single" w:sz="2" w:space="0" w:color="000000"/>
            </w:tcBorders>
            <w:tcMar>
              <w:bottom w:w="28" w:type="dxa"/>
            </w:tcMar>
            <w:vAlign w:val="bottom"/>
          </w:tcPr>
          <w:p>
            <w:pPr>
              <w:pStyle w:val="TableContents"/>
              <w:bidi w:val="0"/>
              <w:spacing w:before="0" w:after="283"/>
              <w:jc w:val="right"/>
              <w:rPr>
                <w:b/>
              </w:rPr>
            </w:pPr>
            <w:r>
              <w:rPr>
                <w:b/>
              </w:rPr>
              <w:t>With full option</w:t>
              <w:br/>
              <w:t>to purchase</w:t>
              <w:br/>
              <w:t>additional</w:t>
              <w:br/>
              <w:t>shares exercise</w:t>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6296" w:type="dxa"/>
            <w:tcBorders/>
            <w:shd w:fill="CCEEFF" w:val="clear"/>
          </w:tcPr>
          <w:p>
            <w:pPr>
              <w:pStyle w:val="TableContents"/>
              <w:bidi w:val="0"/>
              <w:spacing w:before="0" w:after="0"/>
              <w:jc w:val="left"/>
              <w:rPr>
                <w:rFonts w:ascii="Arial" w:hAnsi="Arial"/>
                <w:sz w:val="20"/>
              </w:rPr>
            </w:pPr>
            <w:r>
              <w:rPr>
                <w:rFonts w:ascii="Arial" w:hAnsi="Arial"/>
                <w:sz w:val="20"/>
              </w:rPr>
              <w:t>Per Share</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53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534"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6296" w:type="dxa"/>
            <w:tcBorders/>
          </w:tcPr>
          <w:p>
            <w:pPr>
              <w:pStyle w:val="TableContents"/>
              <w:bidi w:val="0"/>
              <w:spacing w:before="0" w:after="0"/>
              <w:jc w:val="left"/>
              <w:rPr>
                <w:rFonts w:ascii="Arial" w:hAnsi="Arial"/>
                <w:sz w:val="20"/>
              </w:rPr>
            </w:pPr>
            <w:r>
              <w:rPr>
                <w:rFonts w:ascii="Arial" w:hAnsi="Arial"/>
                <w:sz w:val="20"/>
              </w:rPr>
              <w:t>Total</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53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534"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10142" w:type="dxa"/>
            <w:gridSpan w:val="8"/>
            <w:tcBorders/>
          </w:tcPr>
          <w:p>
            <w:pPr>
              <w:pStyle w:val="TableContents"/>
              <w:pBdr>
                <w:bottom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We estimate that the total expenses of this offering, including registration, filing and listing fees, printing fees and legal and accounting expenses, but excluding the underwriting discounts and commissions, will be approximately $   . We have agreed to reimburse the underwriters for expenses relating to the clearance of this offering with the Financial Industry Regulatory Authority, Inc. in an amount up to $25,000. The underwriters have agreed to reimburse us for certain of our expenses incurred by us in connection with this offering. </w:t>
      </w:r>
    </w:p>
    <w:p>
      <w:pPr>
        <w:pStyle w:val="TextBody"/>
        <w:bidi w:val="0"/>
        <w:spacing w:before="160" w:after="0"/>
        <w:jc w:val="left"/>
        <w:rPr>
          <w:rFonts w:ascii="Arial" w:hAnsi="Arial"/>
          <w:sz w:val="20"/>
        </w:rPr>
      </w:pPr>
      <w:r>
        <w:rPr>
          <w:rFonts w:ascii="Arial" w:hAnsi="Arial"/>
          <w:sz w:val="20"/>
        </w:rPr>
        <w:t xml:space="preserve">A prospectus supplement and the accompanying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 </w:t>
      </w:r>
    </w:p>
    <w:p>
      <w:pPr>
        <w:pStyle w:val="TextBody"/>
        <w:bidi w:val="0"/>
        <w:spacing w:before="160" w:after="0"/>
        <w:jc w:val="left"/>
        <w:rPr>
          <w:rFonts w:ascii="Arial" w:hAnsi="Arial"/>
          <w:sz w:val="20"/>
        </w:rPr>
      </w:pPr>
      <w:r>
        <w:rPr>
          <w:rFonts w:ascii="Arial" w:hAnsi="Arial"/>
          <w:sz w:val="20"/>
        </w:rPr>
        <w:t xml:space="preserve">We have agreed that we will not, subject to certain exceptions, (i) offer, pledge, sell, contract to sell, sell any option or contract to purchase, purchase any option or contract to sell, grant any option, right or warrant to purchase, hedge, lend, or otherwise transfer or dispose of, directly or indirectly, or submit to, or file with, the SEC a registration statement under the Securities Act relating to, any shares of our common stock or any securities convertible into or exercisable or exchangeable for any shares of our common stock, or (ii) enter into any swap, hedging, or other agreement that transfers, in whole or in part, any of the economic consequences of ownership of any shares of common stock or any such other securities, or publicly disclose the intention to undertake any of the foregoing in clause (i) or (ii), (regardless of whether any of these transactions are to be settled by the delivery of shares of common stock or such other securities, in cash or otherwise), in each case without the prior written consent of J.P. Morgan Securities LLC for a period of 60 days after the date of this prospectus supplement, other than the shares of our common stock to be sold in this offering. </w:t>
      </w:r>
    </w:p>
    <w:p>
      <w:pPr>
        <w:pStyle w:val="TextBody"/>
        <w:bidi w:val="0"/>
        <w:spacing w:before="160" w:after="0"/>
        <w:jc w:val="left"/>
        <w:rPr>
          <w:rFonts w:ascii="Arial" w:hAnsi="Arial"/>
          <w:sz w:val="20"/>
        </w:rPr>
      </w:pPr>
      <w:r>
        <w:rPr>
          <w:rFonts w:ascii="Arial" w:hAnsi="Arial"/>
          <w:sz w:val="20"/>
        </w:rPr>
        <w:t xml:space="preserve">The restrictions on our actions, as described above, do not apply to certain transactions, including (i) the issuance of shares of common stock or securities convertible into or exercisable for shares of our common stock pursuant to the exercise of warrants or options (including net exercise) or the settlement of restricted stock units (RSUs) (including net settlement), in each case outstanding on the date of the underwriting agreement and described in this prospectus supplement, </w:t>
      </w:r>
      <w:r>
        <w:rPr>
          <w:rFonts w:ascii="Arial" w:hAnsi="Arial"/>
          <w:sz w:val="20"/>
          <w:u w:val="single"/>
        </w:rPr>
        <w:t>provided</w:t>
      </w:r>
      <w:r>
        <w:rPr>
          <w:rFonts w:ascii="Arial" w:hAnsi="Arial"/>
          <w:sz w:val="20"/>
        </w:rPr>
        <w:t xml:space="preserve"> that such recipients enter into a lock-up agreement with the underwriters; (ii) grants of stock options, stock awards, restricted stock, RSUs, or other equity awards and the issuance of shares of common stock or securities convertible into or exercisable or exchangeable for shares of our common stock (whether upon the exercise of stock options or otherwise) to our employees, officers, directors, advisors, or consultants pursuant to the terms of an equity compensation plan in effect as of the closing date of this offering and described in this prospectus supplement, including our 2021 Employee Stock Purchase Plan, </w:t>
      </w:r>
      <w:r>
        <w:rPr>
          <w:rFonts w:ascii="Arial" w:hAnsi="Arial"/>
          <w:sz w:val="20"/>
          <w:u w:val="single"/>
        </w:rPr>
        <w:t>provided</w:t>
      </w:r>
      <w:r>
        <w:rPr>
          <w:rFonts w:ascii="Arial" w:hAnsi="Arial"/>
          <w:sz w:val="20"/>
        </w:rPr>
        <w:t xml:space="preserve"> that a newly appointed director or executive officer that is such a recipient enter into a lock-up agreement with the underwriters; (iii) the issuance of up to 5% of the outstanding shares of common stock, or securities convertible into, exercisable for, or which are otherwise exchangeable for, common stock, immediately following the closing date of this offering, in acquisitions or other similar strategic transactions, </w:t>
      </w:r>
      <w:r>
        <w:rPr>
          <w:rFonts w:ascii="Arial" w:hAnsi="Arial"/>
          <w:sz w:val="20"/>
          <w:u w:val="single"/>
        </w:rPr>
        <w:t>provided</w:t>
      </w:r>
      <w:r>
        <w:rPr>
          <w:rFonts w:ascii="Arial" w:hAnsi="Arial"/>
          <w:sz w:val="20"/>
        </w:rPr>
        <w:t xml:space="preserve"> that such recipients enter into a lock-up agreement with the underwriters; (iv) the filing of any registration statement on Form S-8 relating to securities granted or to be granted pursuant to any plan in effect on the date of the underwriting agreement and described in this prospectus supplement or any assumed benefit plan pursuant to an acquisition or similar strategic transaction; and (v) the issuance by us of shares of common stock in connection with sales under an “at-the-market” equity offering program pursuant to the Sales Agreement, provided no sales shall be made under the Sales Agreement until the earlier of (a) the representatives exercising their option to purchase additional shares in full or (b) 30 days after the date of this prospectus supplement.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Our directors and executive officers, and certain of our securityholders (such persons, the lock-up parties) have entered into lock-up agreements with the underwriters prior to the commencement of this offering pursuant to which each lock-up party, with limited exceptions, for a period of 60 days after the date of this prospectus supplement (such period, the restricted period), may not and may not cause any of their direct or indirect affiliates to, without the prior written consent of J.P. Morgan Securities LLC, (i)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(including without limitation, our common stock or such other securities which may be deemed to be beneficially owned by the lock-up party in accordance with the rules and regulations of the SEC and securities which may be issued upon exercise of a stock option or warrant) (collectively with the common stock, the lock-up securities), (ii) enter into any hedging, swap or other agreement or transaction that transfers, in whole or in part, any of the economic consequences of ownership of the lock-up securities, whether any such transaction described in clause (i) or (ii) above is to be settled by delivery of the lock-up securities, in cash or otherwise, (iii) make any demand for or exercise any right with respect to the registration of any lock-up securities, or (iv) publicly disclose the intention to do any of the foregoing. </w:t>
      </w:r>
    </w:p>
    <w:p>
      <w:pPr>
        <w:pStyle w:val="TextBody"/>
        <w:bidi w:val="0"/>
        <w:spacing w:before="160" w:after="0"/>
        <w:jc w:val="left"/>
        <w:rPr>
          <w:rFonts w:ascii="Arial" w:hAnsi="Arial"/>
          <w:sz w:val="20"/>
        </w:rPr>
      </w:pPr>
      <w:r>
        <w:rPr>
          <w:rFonts w:ascii="Arial" w:hAnsi="Arial"/>
          <w:sz w:val="20"/>
        </w:rPr>
        <w:t xml:space="preserve">Such persons or entities have further acknowledged that these undertakings preclude them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(whether by the lock-up party or any other person) of any economic consequences of ownership, in whole or in part, directly or indirectly, of any lock-up securities, whether any such transaction or arrangement (or instrument </w:t>
      </w:r>
      <w:r>
        <w:rPr>
          <w:rFonts w:ascii="Arial" w:hAnsi="Arial"/>
          <w:sz w:val="20"/>
          <w:u w:val="single"/>
        </w:rPr>
        <w:t>provided</w:t>
      </w:r>
      <w:r>
        <w:rPr>
          <w:rFonts w:ascii="Arial" w:hAnsi="Arial"/>
          <w:sz w:val="20"/>
        </w:rPr>
        <w:t xml:space="preserve"> for thereunder) would be settled by delivery of lock-up securities, in cash or otherwise. Such persons or entities further confirm that they have furnished the representatives with the details of any transaction such persons or entities, or any of their respective affiliates, is a party to as of the date hereof, which transaction would have been restricted by the lock-up agreements if it had been entered into by such persons or entities during the restricted period. </w:t>
      </w:r>
    </w:p>
    <w:p>
      <w:pPr>
        <w:pStyle w:val="TextBody"/>
        <w:bidi w:val="0"/>
        <w:spacing w:before="160" w:after="0"/>
        <w:jc w:val="left"/>
        <w:rPr>
          <w:rFonts w:ascii="Arial" w:hAnsi="Arial"/>
          <w:sz w:val="20"/>
        </w:rPr>
      </w:pPr>
      <w:r>
        <w:rPr>
          <w:rFonts w:ascii="Arial" w:hAnsi="Arial"/>
          <w:sz w:val="20"/>
        </w:rPr>
        <w:t xml:space="preserve">The restrictions described in the immediately preceding paragraph and contained in the lock-up agreements between the underwriters and the lock-up parties do not apply, subject in certain cases to various conditions, to certain transactions,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(i)</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transfers of lock-up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283"/>
              <w:jc w:val="left"/>
              <w:rPr/>
            </w:pPr>
            <w:r>
              <w:rPr/>
              <w:t xml:space="preserve">as a bona fide gift or gifts, including without limitation to a charitable organization or educational institution, or for bona fide estate planning purposes, </w:t>
            </w:r>
            <w:r>
              <w:rPr>
                <w:u w:val="single"/>
              </w:rPr>
              <w:t>provided</w:t>
            </w:r>
            <w:r>
              <w:rPr/>
              <w:t xml:space="preserve"> that, such transfer shall not involve a disposition for value and each donee, devisee, transferee or distributee shall execute and deliver to the representatives a lock-up letter in the form of the lock-up agreements, </w:t>
            </w:r>
            <w:r>
              <w:rPr>
                <w:u w:val="single"/>
              </w:rPr>
              <w:t>provided</w:t>
            </w:r>
            <w:r>
              <w:rPr/>
              <w:t xml:space="preserve"> </w:t>
            </w:r>
            <w:r>
              <w:rPr>
                <w:u w:val="single"/>
              </w:rPr>
              <w:t>further</w:t>
            </w:r>
            <w:r>
              <w:rPr/>
              <w:t xml:space="preserve"> that, no filing by any party (donor, donee, devisee, transferor, transferee, distributer or distributee) under the Exchange Act, or other public announcement shall be required or shall be made voluntarily in connection with such transfer or distribution (other than a filing on a Form 5 made after the expiration of the restricted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by will, other testamentary document or intestacy, </w:t>
            </w:r>
            <w:r>
              <w:rPr>
                <w:rFonts w:ascii="Arial" w:hAnsi="Arial"/>
                <w:sz w:val="20"/>
                <w:u w:val="single"/>
              </w:rPr>
              <w:t>provided</w:t>
            </w:r>
            <w:r>
              <w:rPr>
                <w:rFonts w:ascii="Arial" w:hAnsi="Arial"/>
                <w:sz w:val="20"/>
              </w:rPr>
              <w:t xml:space="preserve"> that, such transfer shall not involve a disposition for value and each donee, devisee, transferee or distributee shall execute and deliver to the representatives a lock-up letter in the form of the lock-up agreements, </w:t>
            </w:r>
            <w:r>
              <w:rPr>
                <w:rFonts w:ascii="Arial" w:hAnsi="Arial"/>
                <w:sz w:val="20"/>
                <w:u w:val="single"/>
              </w:rPr>
              <w:t>provided</w:t>
            </w:r>
            <w:r>
              <w:rPr>
                <w:rFonts w:ascii="Arial" w:hAnsi="Arial"/>
                <w:sz w:val="20"/>
              </w:rPr>
              <w:t xml:space="preserve"> </w:t>
            </w:r>
            <w:r>
              <w:rPr>
                <w:rFonts w:ascii="Arial" w:hAnsi="Arial"/>
                <w:sz w:val="20"/>
                <w:u w:val="single"/>
              </w:rPr>
              <w:t>further</w:t>
            </w:r>
            <w:r>
              <w:rPr>
                <w:rFonts w:ascii="Arial" w:hAnsi="Arial"/>
                <w:sz w:val="20"/>
              </w:rPr>
              <w:t xml:space="preserve"> that, no filing by any party (donor, donee, devisee, transferor, transferee, distributer or distributee) under the Exchange Act, or other public announcement shall be required or shall be made voluntarily in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Arial" w:hAnsi="Arial"/>
                <w:sz w:val="20"/>
              </w:rPr>
            </w:pPr>
            <w:r>
              <w:rPr>
                <w:rFonts w:ascii="Arial" w:hAnsi="Arial"/>
                <w:sz w:val="20"/>
              </w:rPr>
              <w:t xml:space="preserve">connection with such transfer or distribution (other than a filing on a Form 5 made after the expiration of the restricted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(3)</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283"/>
              <w:jc w:val="left"/>
              <w:rPr/>
            </w:pPr>
            <w:r>
              <w:rPr/>
              <w:t xml:space="preserve">to any member of the lock-up party’s immediate family or to any trust for the direct or indirect benefit of the lock-up party or the immediate family of the lock-up party, or if the lock-up party is a trust, to a trustor or beneficiary of the trust or to the estate of a beneficiary of such trust (for purposes of the lock-up agreement, “immediate family” shall mean any relationship by blood, current or former marriage, domestic partnership or adoption, not more remote than first cousin), </w:t>
            </w:r>
            <w:r>
              <w:rPr>
                <w:u w:val="single"/>
              </w:rPr>
              <w:t>provided</w:t>
            </w:r>
            <w:r>
              <w:rPr/>
              <w:t xml:space="preserve"> that, such transfer shall not involve a disposition for value and each donee, devisee, transferee or distributee shall execute and deliver to the representatives a lock-up letter in the form of the lock-up agreements, </w:t>
            </w:r>
            <w:r>
              <w:rPr>
                <w:u w:val="single"/>
              </w:rPr>
              <w:t>provided</w:t>
            </w:r>
            <w:r>
              <w:rPr/>
              <w:t xml:space="preserve"> </w:t>
            </w:r>
            <w:r>
              <w:rPr>
                <w:u w:val="single"/>
              </w:rPr>
              <w:t>further</w:t>
            </w:r>
            <w:r>
              <w:rPr/>
              <w:t xml:space="preserve"> that, no filing by any party (donor, donee, devisee, transferor, transferee, distributer or distributee) under the Exchange Act, or other public announcement shall be required or shall be made voluntarily in connection with such transfer or distribution (other than a filing on a Form 5 made after the expiration of the restricted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(4)</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283"/>
              <w:jc w:val="left"/>
              <w:rPr/>
            </w:pPr>
            <w:r>
              <w:rPr/>
              <w:t xml:space="preserve">to a partnership, limited liability company or other entity of which the lock-up party and the immediate family of the lock-up party are the legal and beneficial owner of all of the outstanding equity securities or similar interests, </w:t>
            </w:r>
            <w:r>
              <w:rPr>
                <w:u w:val="single"/>
              </w:rPr>
              <w:t>provided</w:t>
            </w:r>
            <w:r>
              <w:rPr/>
              <w:t xml:space="preserve"> that, such transfer shall not involve a disposition for value and each donee, devisee, transferee or distributee shall execute and deliver to the representatives a lock-up letter in the form of the lock-up agreements, </w:t>
            </w:r>
            <w:r>
              <w:rPr>
                <w:u w:val="single"/>
              </w:rPr>
              <w:t>provided</w:t>
            </w:r>
            <w:r>
              <w:rPr/>
              <w:t xml:space="preserve"> </w:t>
            </w:r>
            <w:r>
              <w:rPr>
                <w:u w:val="single"/>
              </w:rPr>
              <w:t>further</w:t>
            </w:r>
            <w:r>
              <w:rPr/>
              <w:t xml:space="preserve"> that, no filing by any party (donor, donee, devisee, transferor, transferee, distributer or distributee) under the Exchange Act, or other public announcement shall be required or shall be made voluntarily in connection with such transfer or distribution (other than a filing on a Form 5 made after the expiration of the restricted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(5)</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283"/>
              <w:jc w:val="left"/>
              <w:rPr/>
            </w:pPr>
            <w:r>
              <w:rPr/>
              <w:t xml:space="preserve">to a nominee or custodian of a person or entity to whom a disposition or transfer would be permissible under clauses (1) through (4), </w:t>
            </w:r>
            <w:r>
              <w:rPr>
                <w:u w:val="single"/>
              </w:rPr>
              <w:t>provided</w:t>
            </w:r>
            <w:r>
              <w:rPr/>
              <w:t xml:space="preserve"> that, such transfer shall not involve a disposition for value and each donee, devisee, transferee or distributee shall execute and deliver to the representatives a lock-up letter in the form of the lock-up agreements, </w:t>
            </w:r>
            <w:r>
              <w:rPr>
                <w:u w:val="single"/>
              </w:rPr>
              <w:t>provided</w:t>
            </w:r>
            <w:r>
              <w:rPr/>
              <w:t xml:space="preserve"> </w:t>
            </w:r>
            <w:r>
              <w:rPr>
                <w:u w:val="single"/>
              </w:rPr>
              <w:t>further</w:t>
            </w:r>
            <w:r>
              <w:rPr/>
              <w:t xml:space="preserve"> that, no filing by any party (donor, donee, devisee, transferor, transferee, distributer or distributee) under the Exchange Act, or other public announcement shall be required or shall be made voluntarily in connection with such transfer or distribution (other than a filing on a Form 5 made after the expiration of the restricted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(6)</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283"/>
              <w:jc w:val="left"/>
              <w:rPr/>
            </w:pPr>
            <w:r>
              <w:rPr/>
              <w:t xml:space="preserve">if the lock-up party is a corporation, partnership, limited liability company, trust or other business entity, (A) to another corporation, partnership, limited liability company, trust or other business entity that is an affiliate (as defined in Rule 405 promulgated under the Securities Act, as amended) of the lock-up party, or to any investment fund or other entity controlling, controlled by, managing or managed by or under common control with the lock-up party or affiliates of the lock-up party (including, for the avoidance of doubt, where the lock-up party is a partnership, to its general partner or a successor partnership or fund, or any other funds managed by such partnership), or (B) as part of a distribution, to members or shareholders of the lock-up party, </w:t>
            </w:r>
            <w:r>
              <w:rPr>
                <w:u w:val="single"/>
              </w:rPr>
              <w:t>provided</w:t>
            </w:r>
            <w:r>
              <w:rPr/>
              <w:t xml:space="preserve"> that, such transfer shall not involve a disposition for value and each donee, devisee, transferee or distributee shall execute and deliver to the representatives a lock-up letter in the form of the lock-up agreements, </w:t>
            </w:r>
            <w:r>
              <w:rPr>
                <w:u w:val="single"/>
              </w:rPr>
              <w:t>provided</w:t>
            </w:r>
            <w:r>
              <w:rPr/>
              <w:t xml:space="preserve"> </w:t>
            </w:r>
            <w:r>
              <w:rPr>
                <w:u w:val="single"/>
              </w:rPr>
              <w:t>further</w:t>
            </w:r>
            <w:r>
              <w:rPr/>
              <w:t xml:space="preserve"> that, no filing by any party (donor, donee, devisee, transferor, transferee, distributer or distributee) under the Exchange Act, or other public announcement shall be required or shall be made voluntarily in connection with such transfer or distribution (other than a filing on a Form 5 made after the expiration of the restricted period);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(7)</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283"/>
              <w:jc w:val="left"/>
              <w:rPr/>
            </w:pPr>
            <w:r>
              <w:rPr/>
              <w:t xml:space="preserve">by operation of law, such as pursuant to a qualified domestic order, divorce settlement, divorce decree or separation agreement, </w:t>
            </w:r>
            <w:r>
              <w:rPr>
                <w:u w:val="single"/>
              </w:rPr>
              <w:t>provided</w:t>
            </w:r>
            <w:r>
              <w:rPr/>
              <w:t xml:space="preserve"> that, such transfer shall not involve a disposition for value and each donee, devisee, transferee or distributee shall execute and deliver to the representatives a lock-up letter in the form of the lock-up agreements, </w:t>
            </w:r>
            <w:r>
              <w:rPr>
                <w:u w:val="single"/>
              </w:rPr>
              <w:t>provided</w:t>
            </w:r>
            <w:r>
              <w:rPr/>
              <w:t xml:space="preserve"> </w:t>
            </w:r>
            <w:r>
              <w:rPr>
                <w:u w:val="single"/>
              </w:rPr>
              <w:t>further</w:t>
            </w:r>
            <w:r>
              <w:rPr/>
              <w:t xml:space="preserve"> that no public filing, report or announcement shall be voluntarily made and if any filing under Section 16(a) of the Exchange Act, or other public filing, report or announcement reporting a reduction in beneficial ownership of shares of common stock in connection with such transfer or distribution shall be legally required during the restricted period, such filing, report or announcement shall clearly indicate in the footnotes thereto the nature and conditions of such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(8)</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283"/>
              <w:jc w:val="left"/>
              <w:rPr/>
            </w:pPr>
            <w:r>
              <w:rPr/>
              <w:t xml:space="preserve">to us from an employee upon death, disability or termination of employment, in each case, of such employee, </w:t>
            </w:r>
            <w:r>
              <w:rPr>
                <w:u w:val="single"/>
              </w:rPr>
              <w:t>provided</w:t>
            </w:r>
            <w:r>
              <w:rPr/>
              <w:t xml:space="preserve"> that no public filing, report or announcement shall be voluntarily made and if any filing under Section 16(a) of the Exchange Act, or other public filing, report or announcement reporting a reduction in beneficial ownership of shares of common stock in connection with such transfer or distribution shall be legally required during the restricted period, such filing, report or announcement shall clearly indicate in the footnotes thereto the nature and conditions of such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(9)</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283"/>
              <w:jc w:val="left"/>
              <w:rPr/>
            </w:pPr>
            <w:r>
              <w:rPr/>
              <w:t xml:space="preserve">as part of a sale of lock-up securities acquired in this offering or in open market transactions after the closing date of this offering, </w:t>
            </w:r>
            <w:r>
              <w:rPr>
                <w:u w:val="single"/>
              </w:rPr>
              <w:t>provided</w:t>
            </w:r>
            <w:r>
              <w:rPr/>
              <w:t xml:space="preserve"> that no filing by any party (donor, donee, devisee, transferor, transferee, distributer or distributee) under the Exchange Act, or other public announcement shall be required or shall be made voluntarily in connection with such transfer or distribution (other than a filing on a Form 5 made after the expiration of the restricted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(10)</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283"/>
              <w:jc w:val="left"/>
              <w:rPr/>
            </w:pPr>
            <w:r>
              <w:rPr/>
              <w:t xml:space="preserve">to us in connection with the vesting, settlement, or exercise of RSUs, options, warrants or other rights to purchase shares of common stock (including, in each case, by way of “net” or “cashless” exercise), including for the payment of exercise price and tax and remittance payments due as a result of the vesting, settlement, or exercise of such RSUs, options, warrants or rights, </w:t>
            </w:r>
            <w:r>
              <w:rPr>
                <w:u w:val="single"/>
              </w:rPr>
              <w:t>provided</w:t>
            </w:r>
            <w:r>
              <w:rPr/>
              <w:t xml:space="preserve"> that any such shares of common stock received upon such exercise, vesting or settlement shall be subject to the terms of the lock-up agreement, </w:t>
            </w:r>
            <w:r>
              <w:rPr>
                <w:u w:val="single"/>
              </w:rPr>
              <w:t>provided</w:t>
            </w:r>
            <w:r>
              <w:rPr/>
              <w:t xml:space="preserve"> </w:t>
            </w:r>
            <w:r>
              <w:rPr>
                <w:u w:val="single"/>
              </w:rPr>
              <w:t>further</w:t>
            </w:r>
            <w:r>
              <w:rPr/>
              <w:t xml:space="preserve"> that any such RSUs, options, warrants or rights are held by the lock-up party pursuant to an agreement or equity awards granted under a stock incentive plan or other equity award plan, each such agreement or plan which is described in this prospectus supplement, </w:t>
            </w:r>
            <w:r>
              <w:rPr>
                <w:u w:val="single"/>
              </w:rPr>
              <w:t>provided</w:t>
            </w:r>
            <w:r>
              <w:rPr/>
              <w:t xml:space="preserve"> </w:t>
            </w:r>
            <w:r>
              <w:rPr>
                <w:u w:val="single"/>
              </w:rPr>
              <w:t>further</w:t>
            </w:r>
            <w:r>
              <w:rPr/>
              <w:t xml:space="preserve"> that no public filing, report or announcement reporting a reduction in beneficial ownership of shares of common stock shall be voluntarily made during the restricted period, and if the lock-up party is required to file a report reporting a reduction in beneficial ownership of shares of common stock during the restricted period, the lock-up party shall clearly indicate in the footnotes thereto that the filing relates to the circumstances described in this clause and that the shares of common stock received upon exercise of the stock option or warrant or RSU or other right or vesting event are subject to the lock-up agreement, and no public filing, report or announcement shall be voluntarily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(11)</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Arial" w:hAnsi="Arial"/>
                <w:sz w:val="20"/>
              </w:rPr>
            </w:pPr>
            <w:r>
              <w:rPr>
                <w:rFonts w:ascii="Arial" w:hAnsi="Arial"/>
                <w:sz w:val="20"/>
              </w:rPr>
              <w:t xml:space="preserve">transfer or dispose shares of common stock or any security convertible into or exercisable or exchangeable for common stock to us pursuant to any contractual arrangement in effect on the date of the lock-up agreement and disclosed in this prospectus supplement that provides for the repurchase of shares of common stock in connection with the termination of the lock-up party’s employment with or service to us, </w:t>
            </w:r>
            <w:r>
              <w:rPr>
                <w:rFonts w:ascii="Arial" w:hAnsi="Arial"/>
                <w:sz w:val="20"/>
                <w:u w:val="single"/>
              </w:rPr>
              <w:t>provided</w:t>
            </w:r>
            <w:r>
              <w:rPr>
                <w:rFonts w:ascii="Arial" w:hAnsi="Arial"/>
                <w:sz w:val="20"/>
              </w:rPr>
              <w:t xml:space="preserve"> that no public filing, report or announcement reporting a reduction in beneficial ownership of shares of common stock shall be voluntarily made during the restricted period, and if the lock-up party is required to file a report reporting a reduction in beneficial ownership of shares of common stock during the restricted period, such report or filing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shall clearly indicate in the footnotes thereto that the filing relates to the circumstances described in this clause and no public filing, report or announcement shall be voluntarily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(12)</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283"/>
              <w:jc w:val="left"/>
              <w:rPr/>
            </w:pPr>
            <w:r>
              <w:rPr/>
              <w:t xml:space="preserve">pursuant to a bona fide third-party tender offer, merger, consolidation or other similar transaction that is approved by our board of directors and made to all holders of our capital stock involving a change of control (as defined in the lock-up agreement) of us, </w:t>
            </w:r>
            <w:r>
              <w:rPr>
                <w:u w:val="single"/>
              </w:rPr>
              <w:t>provided</w:t>
            </w:r>
            <w:r>
              <w:rPr/>
              <w:t xml:space="preserve"> that in the event that such tender offer, merger, consolidation or other similar transaction is not completed, the lock-up securities shall remain subject to the provisions of the lock-up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(13)</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283"/>
              <w:jc w:val="left"/>
              <w:rPr/>
            </w:pPr>
            <w:r>
              <w:rPr/>
              <w:t xml:space="preserve">pursuant to a trading plan under Rule 10b5-1 under the Exchange Act that is existing on the date of this prospectus supplement which has been provided to the underwriters or its legal counsel; </w:t>
            </w:r>
            <w:r>
              <w:rPr>
                <w:u w:val="single"/>
              </w:rPr>
              <w:t>provided</w:t>
            </w:r>
            <w:r>
              <w:rPr/>
              <w:t xml:space="preserve"> that (1) to the extent a public announcement or filing under the Exchange Act, if any, is required by or on behalf of the lock-up party or us regarding such transfer during the restricted period, such announcement or filing shall include the date that the trading plan was entered into and a statement that such transfer is in accordance with an established trading plan, and (2) the existing trading plan may not be amended during the restricted period to allow for an increase in the number of lock-up securities that may be sold pursuant to such existing trading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(ii)</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exercise outstanding options, settle RSUs or other equity awards or exercise warrants pursuant to plans described in this prospectus supplement; </w:t>
            </w:r>
            <w:r>
              <w:rPr>
                <w:u w:val="single"/>
              </w:rPr>
              <w:t>provided</w:t>
            </w:r>
            <w:r>
              <w:rPr/>
              <w:t xml:space="preserve"> that any lock-up securities received upon such exercise, vesting or settlement shall be subject to the terms of the lock-up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(iii)</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the establishment by lock-up parties of trading plans under Rule 10b5-1 under the Exchange Act for the transfer of the lock-up securities, </w:t>
            </w:r>
            <w:r>
              <w:rPr>
                <w:u w:val="single"/>
              </w:rPr>
              <w:t>provided</w:t>
            </w:r>
            <w:r>
              <w:rPr/>
              <w:t xml:space="preserve"> that (1) such plan does not provide for the transfer of lock-up securities during the restricted period and (2) no filing by any party under the Exchange Act or other public announcement shall be made voluntarily in connection with such trading plan during the restricted period and if any filing under Section 16(a) of the Exchange Act, or other public filing, report or announcement shall be legally required during the restricted period, such filing, report or announcement shall clearly indicate in the footnotes thereto and the nature and conditions of such establishment. </w:t>
            </w:r>
          </w:p>
        </w:tc>
      </w:tr>
    </w:tbl>
    <w:p>
      <w:pPr>
        <w:pStyle w:val="TextBody"/>
        <w:bidi w:val="0"/>
        <w:spacing w:before="160" w:after="0"/>
        <w:jc w:val="left"/>
        <w:rPr>
          <w:rFonts w:ascii="Arial" w:hAnsi="Arial"/>
          <w:sz w:val="20"/>
        </w:rPr>
      </w:pPr>
      <w:r>
        <w:rPr>
          <w:rFonts w:ascii="Arial" w:hAnsi="Arial"/>
          <w:sz w:val="20"/>
        </w:rPr>
        <w:t xml:space="preserve">J.P. Morgan Securities LLC, in its sole discretion, may release the securities subject to any of the lock-up agreements with the underwriters described above, in whole or in part at any time. </w:t>
      </w:r>
    </w:p>
    <w:p>
      <w:pPr>
        <w:pStyle w:val="TextBody"/>
        <w:bidi w:val="0"/>
        <w:spacing w:before="160" w:after="0"/>
        <w:jc w:val="left"/>
        <w:rPr>
          <w:rFonts w:ascii="Arial" w:hAnsi="Arial"/>
          <w:sz w:val="20"/>
        </w:rPr>
      </w:pPr>
      <w:r>
        <w:rPr>
          <w:rFonts w:ascii="Arial" w:hAnsi="Arial"/>
          <w:sz w:val="20"/>
        </w:rPr>
        <w:t xml:space="preserve">We have agreed to indemnify the underwriters against certain liabilities, including liabilities under the Securities Act. </w:t>
      </w:r>
    </w:p>
    <w:p>
      <w:pPr>
        <w:pStyle w:val="TextBody"/>
        <w:bidi w:val="0"/>
        <w:spacing w:before="160" w:after="0"/>
        <w:jc w:val="left"/>
        <w:rPr>
          <w:rFonts w:ascii="Arial" w:hAnsi="Arial"/>
          <w:sz w:val="20"/>
        </w:rPr>
      </w:pPr>
      <w:r>
        <w:rPr>
          <w:rFonts w:ascii="Arial" w:hAnsi="Arial"/>
          <w:sz w:val="20"/>
        </w:rPr>
        <w:t xml:space="preserve">Our common stock is listed on the Nasdaq Global Select Market under the symbol “ERAS.” </w:t>
      </w:r>
    </w:p>
    <w:p>
      <w:pPr>
        <w:pStyle w:val="TextBody"/>
        <w:bidi w:val="0"/>
        <w:spacing w:before="160" w:after="0"/>
        <w:jc w:val="left"/>
        <w:rPr>
          <w:rFonts w:ascii="Arial" w:hAnsi="Arial"/>
          <w:sz w:val="20"/>
        </w:rPr>
      </w:pPr>
      <w:r>
        <w:rPr>
          <w:rFonts w:ascii="Arial" w:hAnsi="Arial"/>
          <w:sz w:val="20"/>
        </w:rPr>
        <w:t xml:space="preserve">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 </w:t>
      </w:r>
    </w:p>
    <w:p>
      <w:pPr>
        <w:pStyle w:val="TextBody"/>
        <w:bidi w:val="0"/>
        <w:spacing w:before="160" w:after="0"/>
        <w:jc w:val="left"/>
        <w:rPr>
          <w:rFonts w:ascii="Arial" w:hAnsi="Arial"/>
          <w:sz w:val="20"/>
        </w:rPr>
      </w:pPr>
      <w:r>
        <w:rPr>
          <w:rFonts w:ascii="Arial" w:hAnsi="Arial"/>
          <w:sz w:val="20"/>
        </w:rPr>
        <w:t xml:space="preserve">The underwriters have advised us that, pursuant to Regulation M of the Securities Act,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 </w:t>
      </w:r>
    </w:p>
    <w:p>
      <w:pPr>
        <w:pStyle w:val="TextBody"/>
        <w:bidi w:val="0"/>
        <w:spacing w:before="160" w:after="0"/>
        <w:jc w:val="left"/>
        <w:rPr>
          <w:rFonts w:ascii="Arial" w:hAnsi="Arial"/>
          <w:sz w:val="20"/>
        </w:rPr>
      </w:pPr>
      <w:r>
        <w:rPr>
          <w:rFonts w:ascii="Arial" w:hAnsi="Arial"/>
          <w:sz w:val="20"/>
        </w:rPr>
        <w:t xml:space="preserve">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Nasdaq Global Select Market, in the over-the-counter market or otherwise. </w:t>
      </w:r>
    </w:p>
    <w:p>
      <w:pPr>
        <w:pStyle w:val="TextBody"/>
        <w:bidi w:val="0"/>
        <w:spacing w:before="320" w:after="0"/>
        <w:jc w:val="left"/>
        <w:rPr>
          <w:rFonts w:ascii="Arial" w:hAnsi="Arial"/>
          <w:b/>
          <w:sz w:val="24"/>
        </w:rPr>
      </w:pPr>
      <w:r>
        <w:rPr>
          <w:rFonts w:ascii="Arial" w:hAnsi="Arial"/>
          <w:b/>
          <w:sz w:val="24"/>
        </w:rPr>
        <w:t xml:space="preserve">Other relationships </w:t>
      </w:r>
    </w:p>
    <w:p>
      <w:pPr>
        <w:pStyle w:val="TextBody"/>
        <w:bidi w:val="0"/>
        <w:spacing w:before="160" w:after="0"/>
        <w:jc w:val="left"/>
        <w:rPr>
          <w:rFonts w:ascii="Arial" w:hAnsi="Arial"/>
          <w:sz w:val="20"/>
        </w:rPr>
      </w:pPr>
      <w:r>
        <w:rPr>
          <w:rFonts w:ascii="Arial" w:hAnsi="Arial"/>
          <w:sz w:val="20"/>
        </w:rPr>
        <w:t xml:space="preserve">Certain of the underwriters and their affiliates have </w:t>
      </w:r>
      <w:r>
        <w:rPr>
          <w:rFonts w:ascii="Arial" w:hAnsi="Arial"/>
          <w:sz w:val="20"/>
          <w:u w:val="single"/>
        </w:rPr>
        <w:t>provided</w:t>
      </w:r>
      <w:r>
        <w:rPr>
          <w:rFonts w:ascii="Arial" w:hAnsi="Arial"/>
          <w:sz w:val="20"/>
        </w:rPr>
        <w:t xml:space="preserve">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For example, we entered into the Sales Agreement with Jefferies LLC as the sales agent, as amended from time to time, and pursuant to which we may offer and sell shares of our common stock through Jefferies LLC in an “at the market offering” as defined in Rule 415(a)(4) promulgated under the Securities Act.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 For example, certain of the underwriters also served as underwriters in our public offerings in 2024 and January 2026. </w:t>
      </w:r>
    </w:p>
    <w:p>
      <w:pPr>
        <w:pStyle w:val="TextBody"/>
        <w:bidi w:val="0"/>
        <w:spacing w:before="320" w:after="0"/>
        <w:jc w:val="left"/>
        <w:rPr>
          <w:rFonts w:ascii="Arial" w:hAnsi="Arial"/>
          <w:b/>
          <w:sz w:val="24"/>
        </w:rPr>
      </w:pPr>
      <w:r>
        <w:rPr>
          <w:rFonts w:ascii="Arial" w:hAnsi="Arial"/>
          <w:b/>
          <w:sz w:val="24"/>
        </w:rPr>
        <w:t xml:space="preserve">Selling restrictions </w:t>
      </w:r>
    </w:p>
    <w:p>
      <w:pPr>
        <w:pStyle w:val="TextBody"/>
        <w:bidi w:val="0"/>
        <w:spacing w:before="160" w:after="0"/>
        <w:jc w:val="left"/>
        <w:rPr>
          <w:rFonts w:ascii="Arial" w:hAnsi="Arial"/>
          <w:sz w:val="20"/>
        </w:rPr>
      </w:pPr>
      <w:r>
        <w:rPr>
          <w:rFonts w:ascii="Arial" w:hAnsi="Arial"/>
          <w:sz w:val="20"/>
        </w:rPr>
        <w:t xml:space="preserve">Other than in the United States, no action has been taken by us or the underwriters that would permit a public offering of the securities offered by this prospectus supplement and the accompanying prospectus in any jurisdiction where action for that purpose is required. The securities offered by this prospectus supplement and the accompanying prospectus may not be offered or sold, directly or indirectly, nor may this prospectus supplement and the accompanying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and the accompanying prospectus comes are advised to inform themselves about and to observe any restrictions relating to this offering and the distribution of this prospectus supplement and the accompanying prospectus. This prospectus supplement and the accompanying prospectus do not constitute an offer to sell or a solicitation of an offer to buy any securities offered by this prospectus supplement and the accompanying prospectus in any jurisdiction in which such an offer or a solicitation is unlawful. </w:t>
      </w:r>
    </w:p>
    <w:p>
      <w:pPr>
        <w:pStyle w:val="TextBody"/>
        <w:bidi w:val="0"/>
        <w:spacing w:before="160" w:after="0"/>
        <w:jc w:val="left"/>
        <w:rPr>
          <w:rFonts w:ascii="Arial" w:hAnsi="Arial"/>
          <w:b/>
          <w:i/>
          <w:sz w:val="20"/>
        </w:rPr>
      </w:pPr>
      <w:r>
        <w:rPr>
          <w:rFonts w:ascii="Arial" w:hAnsi="Arial"/>
          <w:b/>
          <w:i/>
          <w:sz w:val="20"/>
        </w:rPr>
        <w:t xml:space="preserve">Notice to prospective investors in the European Economic Area </w:t>
      </w:r>
    </w:p>
    <w:p>
      <w:pPr>
        <w:pStyle w:val="TextBody"/>
        <w:bidi w:val="0"/>
        <w:spacing w:before="160" w:after="0"/>
        <w:jc w:val="left"/>
        <w:rPr>
          <w:rFonts w:ascii="Arial" w:hAnsi="Arial"/>
          <w:sz w:val="20"/>
        </w:rPr>
      </w:pPr>
      <w:r>
        <w:rPr>
          <w:rFonts w:ascii="Arial" w:hAnsi="Arial"/>
          <w:sz w:val="20"/>
        </w:rPr>
        <w:t xml:space="preserve">In relation to each Member State of the European Economic Area, each a Relevant State, no shares of common stock have been offered or will be offered pursuant to this offering to the public in that Relevant State prior to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the publication of a prospectus in relation to the shares of common stock which has been approved by the competent authority in that Relevant State or, where appropriate, approved in another Relevant State and notified to the competent authority in that Relevant State, all in accordance with the Prospectus Regulation, except that offers of shares of common stock may be made to the public in that Relevant State at any time under the following exemptions under the Prospectus Regulation: </w:t>
      </w:r>
    </w:p>
    <w:p>
      <w:pPr>
        <w:pStyle w:val="TextBody"/>
        <w:bidi w:val="0"/>
        <w:spacing w:before="160" w:after="0"/>
        <w:jc w:val="left"/>
        <w:rPr>
          <w:rFonts w:ascii="Arial" w:hAnsi="Arial"/>
          <w:sz w:val="20"/>
        </w:rPr>
      </w:pPr>
      <w:r>
        <w:rPr>
          <w:rFonts w:ascii="Arial" w:hAnsi="Arial"/>
          <w:sz w:val="20"/>
        </w:rPr>
        <w:t xml:space="preserve">(a) to any legal entity which is a qualified investor as defined under Article 2 of the Prospectus Regulation; (b) to fewer than 150 natural or legal persons (other than qualified investors as defined under Article 2 of the Prospectus Regulation), subject to obtaining the prior consent of the underwriters; or (c) in any other circumstances falling within Article 1(4) of the Prospectus Regulation, </w:t>
      </w:r>
    </w:p>
    <w:p>
      <w:pPr>
        <w:pStyle w:val="TextBody"/>
        <w:bidi w:val="0"/>
        <w:spacing w:before="160" w:after="0"/>
        <w:jc w:val="left"/>
        <w:rPr>
          <w:rFonts w:ascii="Arial" w:hAnsi="Arial"/>
          <w:sz w:val="20"/>
        </w:rPr>
      </w:pPr>
      <w:r>
        <w:rPr>
          <w:rFonts w:ascii="Arial" w:hAnsi="Arial"/>
          <w:sz w:val="20"/>
        </w:rPr>
        <w:t xml:space="preserve">provided that no such offer of shares of common stock shall require us or any underwriter to publish a prospectus pursuant to Article 3 of the Prospectus Regulation or supplement a prospectus pursuant to Article 23 of the Prospectus Regulation, and each person who initially acquires any shares of common stock or to whom any offer is made will be deemed to have represented, acknowledged and agreed to and with each of the underwriters and us that it is a “qualified investor” within the meaning of Article 2(e) of the Prospectus Regulation. In the case of any shares of common stock being offered to a financial intermediary as that term is used in the Prospectus Regulation, each such financial intermediary will be deemed to have represented, acknowledged and agreed that the shares of common stock acquired by it in the offer have not been acquired on a non-discretionary basis on behalf of, nor have they been acquired with a view to their offer or resale to, persons in circumstances which may give rise to an offer of any shares of common stock to the public other than their offer or resale in a Relevant State to qualified investors as so defined or in circumstances in which the prior consent of the underwriters have been obtained to each such proposed offer or resale. </w:t>
      </w:r>
    </w:p>
    <w:p>
      <w:pPr>
        <w:pStyle w:val="TextBody"/>
        <w:bidi w:val="0"/>
        <w:spacing w:before="160" w:after="0"/>
        <w:jc w:val="left"/>
        <w:rPr>
          <w:rFonts w:ascii="Arial" w:hAnsi="Arial"/>
          <w:sz w:val="20"/>
        </w:rPr>
      </w:pPr>
      <w:r>
        <w:rPr>
          <w:rFonts w:ascii="Arial" w:hAnsi="Arial"/>
          <w:sz w:val="20"/>
        </w:rPr>
        <w:t xml:space="preserve">For the purposes of this provision, the expression an “offer to the public” in relation to shares of common stock in any Relevant State means the communication in any form and by any means of sufficient information on the terms of the offer and any shares of common stock to be offered so as to enable an investor to decide to purchase or subscribe for any shares of common stock, and the expression “Prospectus Regulation” means Regulation (EU) 2017/1129. </w:t>
      </w:r>
    </w:p>
    <w:p>
      <w:pPr>
        <w:pStyle w:val="TextBody"/>
        <w:bidi w:val="0"/>
        <w:spacing w:before="160" w:after="0"/>
        <w:jc w:val="left"/>
        <w:rPr>
          <w:rFonts w:ascii="Arial" w:hAnsi="Arial"/>
          <w:b/>
          <w:i/>
          <w:sz w:val="20"/>
        </w:rPr>
      </w:pPr>
      <w:r>
        <w:rPr>
          <w:rFonts w:ascii="Arial" w:hAnsi="Arial"/>
          <w:b/>
          <w:i/>
          <w:sz w:val="20"/>
        </w:rPr>
        <w:t xml:space="preserve">Notice to prospective investors in the United Kingdom </w:t>
      </w:r>
    </w:p>
    <w:p>
      <w:pPr>
        <w:pStyle w:val="TextBody"/>
        <w:bidi w:val="0"/>
        <w:spacing w:before="160" w:after="0"/>
        <w:jc w:val="left"/>
        <w:rPr>
          <w:rFonts w:ascii="Arial" w:hAnsi="Arial"/>
          <w:sz w:val="20"/>
        </w:rPr>
      </w:pPr>
      <w:r>
        <w:rPr>
          <w:rFonts w:ascii="Arial" w:hAnsi="Arial"/>
          <w:sz w:val="20"/>
        </w:rPr>
        <w:t xml:space="preserve">No shares of our common stock have been offered or will be offered pursuant to this offering to the public in the United Kingdom prior to the publication of a prospectus in relation to the shares of our common stock which has been approved by the Financial Conduct Authority, except that the shares of our common stock may be offered to the public in the United Kingdom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(i)</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where (i) the offer is conditional on the admission of the securities to trading on the London Stock Exchange plc’s main market (in reliance on the exception in paragraph 6(a) of Schedule 1 of the POATR) or (ii) the securities being offered are at the time of the offer already admitted to trading on London Stock Exchange plc’s main market (in reliance on the exception in paragraph 6(b) of Schedule 1 of the POATR);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(ii)</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283"/>
              <w:jc w:val="left"/>
              <w:rPr/>
            </w:pPr>
            <w:r>
              <w:rPr/>
              <w:t xml:space="preserve">to any “qualified investor” as defined in paragraph 15 of Schedule 1 of the POATR;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(iv)</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(iii) to fewer than 150 persons (other than qualified investors as defined in paragraph 15 of Schedule 1 of the POATR), subject to obtaining the prior consent of the underwriters for any such offer; or in any other circumstances falling within Part 1 of Schedule 1 of the POATR. </w:t>
            </w:r>
          </w:p>
        </w:tc>
      </w:tr>
    </w:tbl>
    <w:p>
      <w:pPr>
        <w:pStyle w:val="TextBody"/>
        <w:bidi w:val="0"/>
        <w:spacing w:before="160" w:after="0"/>
        <w:jc w:val="left"/>
        <w:rPr>
          <w:rFonts w:ascii="Arial" w:hAnsi="Arial"/>
          <w:sz w:val="20"/>
        </w:rPr>
      </w:pPr>
      <w:r>
        <w:rPr>
          <w:rFonts w:ascii="Arial" w:hAnsi="Arial"/>
          <w:sz w:val="20"/>
        </w:rPr>
        <w:t xml:space="preserve">For the purposes of this provision, the expression an “offer to the public” in relation to the securities in the United Kingdom means the communication to any person which presents sufficient information on: (a) the securities to be offered; and (b) the terms on which they are to be offered, to enable an investor to decide to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buy or subscribe for the securities and the expression “POATR” means the Public Offers and Admissions to Trading Regulations 2024. </w:t>
      </w:r>
    </w:p>
    <w:p>
      <w:pPr>
        <w:pStyle w:val="TextBody"/>
        <w:bidi w:val="0"/>
        <w:spacing w:before="160" w:after="0"/>
        <w:jc w:val="left"/>
        <w:rPr>
          <w:rFonts w:ascii="Arial" w:hAnsi="Arial"/>
          <w:sz w:val="20"/>
        </w:rPr>
      </w:pPr>
      <w:r>
        <w:rPr>
          <w:rFonts w:ascii="Arial" w:hAnsi="Arial"/>
          <w:sz w:val="20"/>
        </w:rPr>
        <w:t xml:space="preserve">This prospectus supplement is only being distributed to and is only directed at: (A) persons who are outside the United Kingdom, or (B) qualified investors who are also (i) investment professionals falling within Article 19(5) of the Financial Services and Markets Act 2000 (Financial Promotion) Order 2005 (the Order), or (ii) high-net-worth companies, and other persons to whom it may lawfully be communicated, falling within Article 49(2)(a) to (d) of the Order (all such persons falling within (1)–(3) together being referred to as “relevant persons”). The securities are only available to, and any invitation, offer or agreement to subscribe, purchase or otherwise acquire the securities will be engaged in only with, relevant persons. Any person who is not a relevant person should not act or rely on this prospectus supplement or any of its contents. </w:t>
      </w:r>
    </w:p>
    <w:p>
      <w:pPr>
        <w:pStyle w:val="TextBody"/>
        <w:bidi w:val="0"/>
        <w:spacing w:before="160" w:after="0"/>
        <w:jc w:val="left"/>
        <w:rPr>
          <w:rFonts w:ascii="Arial" w:hAnsi="Arial"/>
          <w:b/>
          <w:i/>
          <w:sz w:val="20"/>
        </w:rPr>
      </w:pPr>
      <w:r>
        <w:rPr>
          <w:rFonts w:ascii="Arial" w:hAnsi="Arial"/>
          <w:b/>
          <w:i/>
          <w:sz w:val="20"/>
        </w:rPr>
        <w:t xml:space="preserve">Notice to prospective investors in Canada </w:t>
      </w:r>
    </w:p>
    <w:p>
      <w:pPr>
        <w:pStyle w:val="TextBody"/>
        <w:bidi w:val="0"/>
        <w:spacing w:before="160" w:after="0"/>
        <w:jc w:val="left"/>
        <w:rPr>
          <w:rFonts w:ascii="Arial" w:hAnsi="Arial"/>
          <w:sz w:val="20"/>
        </w:rPr>
      </w:pPr>
      <w:r>
        <w:rPr>
          <w:rFonts w:ascii="Arial" w:hAnsi="Arial"/>
          <w:sz w:val="20"/>
        </w:rPr>
        <w:t xml:space="preserve">The shares of our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our common stock must be made in accordance with an exemption from, or in a transaction not subject to, the prospectus requirements of applicable securities laws. </w:t>
      </w:r>
    </w:p>
    <w:p>
      <w:pPr>
        <w:pStyle w:val="TextBody"/>
        <w:bidi w:val="0"/>
        <w:spacing w:before="160" w:after="0"/>
        <w:jc w:val="left"/>
        <w:rPr>
          <w:rFonts w:ascii="Arial" w:hAnsi="Arial"/>
          <w:sz w:val="20"/>
        </w:rPr>
      </w:pPr>
      <w:r>
        <w:rPr>
          <w:rFonts w:ascii="Arial" w:hAnsi="Arial"/>
          <w:sz w:val="20"/>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160" w:after="0"/>
        <w:jc w:val="left"/>
        <w:rPr>
          <w:rFonts w:ascii="Arial" w:hAnsi="Arial"/>
          <w:sz w:val="20"/>
        </w:rPr>
      </w:pPr>
      <w:r>
        <w:rPr>
          <w:rFonts w:ascii="Arial" w:hAnsi="Arial"/>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160" w:after="0"/>
        <w:jc w:val="left"/>
        <w:rPr>
          <w:rFonts w:ascii="Arial" w:hAnsi="Arial"/>
          <w:b/>
          <w:i/>
          <w:sz w:val="20"/>
        </w:rPr>
      </w:pPr>
      <w:r>
        <w:rPr>
          <w:rFonts w:ascii="Arial" w:hAnsi="Arial"/>
          <w:b/>
          <w:i/>
          <w:sz w:val="20"/>
        </w:rPr>
        <w:t xml:space="preserve">Notice to prospective investors in Switzerland </w:t>
      </w:r>
    </w:p>
    <w:p>
      <w:pPr>
        <w:pStyle w:val="TextBody"/>
        <w:bidi w:val="0"/>
        <w:spacing w:before="160" w:after="0"/>
        <w:jc w:val="left"/>
        <w:rPr>
          <w:rFonts w:ascii="Arial" w:hAnsi="Arial"/>
          <w:sz w:val="20"/>
        </w:rPr>
      </w:pPr>
      <w:r>
        <w:rPr>
          <w:rFonts w:ascii="Arial" w:hAnsi="Arial"/>
          <w:sz w:val="20"/>
        </w:rPr>
        <w:t xml:space="preserve">This prospectus supplement does not constitute an offer to the public or a solicitation to purchase or invest in any shares of our common stock. No shares of our common stock have been offered or will be offered to the public in Switzerland, except that offers of shares of our common stock may be made to the public in Switzerland at any time under the following exemptions under the Swiss Financial Services Act (FinSA):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(a)</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283"/>
              <w:jc w:val="left"/>
              <w:rPr/>
            </w:pPr>
            <w:r>
              <w:rPr/>
              <w:t xml:space="preserve">to any person which is a professional client as defined under the FinSA;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(b)</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to fewer than 500 persons (other than professional clients as defined under the FinSA), subject to obtaining the prior consent of the representatives of the underwriters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1"/>
        <w:gridCol w:w="9798"/>
      </w:tblGrid>
      <w:tr>
        <w:trPr/>
        <w:tc>
          <w:tcPr>
            <w:tcW w:w="306" w:type="dxa"/>
            <w:tcBorders/>
          </w:tcPr>
          <w:p>
            <w:pPr>
              <w:pStyle w:val="TableContents"/>
              <w:bidi w:val="0"/>
              <w:spacing w:before="0" w:after="283"/>
              <w:jc w:val="left"/>
              <w:rPr/>
            </w:pPr>
            <w:r>
              <w:rPr/>
              <w:t>(c)</w:t>
            </w:r>
          </w:p>
        </w:tc>
        <w:tc>
          <w:tcPr>
            <w:tcW w:w="101"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in any other circumstances falling within Article 36 FinSA in connection with Article 44 of the Swiss Financial Services Ordinance, </w:t>
            </w:r>
          </w:p>
        </w:tc>
      </w:tr>
    </w:tbl>
    <w:p>
      <w:pPr>
        <w:pStyle w:val="TextBody"/>
        <w:bidi w:val="0"/>
        <w:spacing w:before="160" w:after="0"/>
        <w:jc w:val="left"/>
        <w:rPr>
          <w:rFonts w:ascii="Arial" w:hAnsi="Arial"/>
          <w:sz w:val="20"/>
        </w:rPr>
      </w:pPr>
      <w:r>
        <w:rPr>
          <w:rFonts w:ascii="Arial" w:hAnsi="Arial"/>
          <w:i/>
          <w:sz w:val="20"/>
        </w:rPr>
        <w:t>provided that</w:t>
      </w:r>
      <w:r>
        <w:rPr>
          <w:rFonts w:ascii="Arial" w:hAnsi="Arial"/>
          <w:sz w:val="20"/>
        </w:rPr>
        <w:t xml:space="preserve"> no such offer of shares of our common stock shall require us or any investment bank to publish a prospectus pursuant to Article 35 FinSA. </w:t>
      </w:r>
    </w:p>
    <w:p>
      <w:pPr>
        <w:pStyle w:val="TextBody"/>
        <w:bidi w:val="0"/>
        <w:spacing w:before="160" w:after="0"/>
        <w:jc w:val="left"/>
        <w:rPr>
          <w:rFonts w:ascii="Arial" w:hAnsi="Arial"/>
          <w:sz w:val="20"/>
        </w:rPr>
      </w:pPr>
      <w:r>
        <w:rPr>
          <w:rFonts w:ascii="Arial" w:hAnsi="Arial"/>
          <w:sz w:val="20"/>
        </w:rPr>
        <w:t xml:space="preserve">The shares of our common stock have not been and will not be listed or admitted to trading on a trading venue in Switzerland.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Neither this prospectus supplement nor any other offering or marketing material relating to the shares of our common stock constitutes a prospectus as such term is understood pursuant to the FinSA and neither this prospectus supplement nor any other offering or marketing material relating to the shares of our common stock may be publicly distributed or otherwise made publicly available in Switzerland. </w:t>
      </w:r>
    </w:p>
    <w:p>
      <w:pPr>
        <w:pStyle w:val="TextBody"/>
        <w:bidi w:val="0"/>
        <w:spacing w:before="160" w:after="0"/>
        <w:jc w:val="left"/>
        <w:rPr>
          <w:rFonts w:ascii="Arial" w:hAnsi="Arial"/>
          <w:b/>
          <w:i/>
          <w:sz w:val="20"/>
        </w:rPr>
      </w:pPr>
      <w:r>
        <w:rPr>
          <w:rFonts w:ascii="Arial" w:hAnsi="Arial"/>
          <w:b/>
          <w:i/>
          <w:sz w:val="20"/>
        </w:rPr>
        <w:t xml:space="preserve">Notice to prospective investors in the Dubai International Financial Centre </w:t>
      </w:r>
    </w:p>
    <w:p>
      <w:pPr>
        <w:pStyle w:val="TextBody"/>
        <w:bidi w:val="0"/>
        <w:spacing w:before="160" w:after="0"/>
        <w:jc w:val="left"/>
        <w:rPr>
          <w:rFonts w:ascii="Arial" w:hAnsi="Arial"/>
          <w:sz w:val="20"/>
        </w:rPr>
      </w:pPr>
      <w:r>
        <w:rPr>
          <w:rFonts w:ascii="Arial" w:hAnsi="Arial"/>
          <w:sz w:val="20"/>
        </w:rPr>
        <w:t xml:space="preserve">This prospectus supplement relates to an Exempt Offer in accordance with the Markets Law, DIFC Law No. 1 of 2012, as amended. This prospectus supplement is intended for distribution only to persons of a type specified in the Markets Law, DIFC Law No. 1 of 2012, as amended. It must not be delivered to, or relied on by, any other person. The Dubai Financial Services Authority (DFSA) has no responsibility for reviewing or verifying any documents in connection with Exempt Offers. The DFSA has not approved this prospectus supplement nor taken steps to verify the information set forth herein and has no responsibility for this prospectus supplement. The securities to which this prospectus supplement relates may be illiquid and/or subject to restrictions on their resale. Prospective purchasers of the securities offered should conduct their own due diligence on the securities. If you do not understand the contents of this prospectus supplement you should consult an authorized financial advisor. </w:t>
      </w:r>
    </w:p>
    <w:p>
      <w:pPr>
        <w:pStyle w:val="TextBody"/>
        <w:bidi w:val="0"/>
        <w:spacing w:before="160" w:after="0"/>
        <w:jc w:val="left"/>
        <w:rPr>
          <w:rFonts w:ascii="Arial" w:hAnsi="Arial"/>
          <w:sz w:val="20"/>
        </w:rPr>
      </w:pPr>
      <w:r>
        <w:rPr>
          <w:rFonts w:ascii="Arial" w:hAnsi="Arial"/>
          <w:sz w:val="20"/>
        </w:rPr>
        <w:t xml:space="preserve">In relation to its use in the DIFC, this prospectus supplement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 </w:t>
      </w:r>
    </w:p>
    <w:p>
      <w:pPr>
        <w:pStyle w:val="TextBody"/>
        <w:bidi w:val="0"/>
        <w:spacing w:before="160" w:after="0"/>
        <w:jc w:val="left"/>
        <w:rPr>
          <w:rFonts w:ascii="Arial" w:hAnsi="Arial"/>
          <w:b/>
          <w:i/>
          <w:sz w:val="20"/>
        </w:rPr>
      </w:pPr>
      <w:r>
        <w:rPr>
          <w:rFonts w:ascii="Arial" w:hAnsi="Arial"/>
          <w:b/>
          <w:i/>
          <w:sz w:val="20"/>
        </w:rPr>
        <w:t xml:space="preserve">Notice to prospective investors in the United Arab Emirates </w:t>
      </w:r>
    </w:p>
    <w:p>
      <w:pPr>
        <w:pStyle w:val="TextBody"/>
        <w:bidi w:val="0"/>
        <w:spacing w:before="160" w:after="0"/>
        <w:jc w:val="left"/>
        <w:rPr>
          <w:rFonts w:ascii="Arial" w:hAnsi="Arial"/>
          <w:sz w:val="20"/>
        </w:rPr>
      </w:pPr>
      <w:r>
        <w:rPr>
          <w:rFonts w:ascii="Arial" w:hAnsi="Arial"/>
          <w:sz w:val="20"/>
        </w:rPr>
        <w:t xml:space="preserve">The shares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supplement does not constitute a public offer of securities in the United Arab Emirates (including the Dubai International Financial Centre) and is not intended to be a public offer. This prospectus supplement has not been approved by or filed with the Central Bank of the United Arab Emirates, the Securities and Commodities Authority, Financial Services Regulatory Authority or the DFSA. </w:t>
      </w:r>
    </w:p>
    <w:p>
      <w:pPr>
        <w:pStyle w:val="TextBody"/>
        <w:bidi w:val="0"/>
        <w:spacing w:before="320" w:after="0"/>
        <w:jc w:val="left"/>
        <w:rPr>
          <w:rFonts w:ascii="Arial" w:hAnsi="Arial"/>
          <w:b/>
          <w:i/>
          <w:sz w:val="20"/>
        </w:rPr>
      </w:pPr>
      <w:r>
        <w:rPr>
          <w:rFonts w:ascii="Arial" w:hAnsi="Arial"/>
          <w:b/>
          <w:i/>
          <w:sz w:val="20"/>
        </w:rPr>
        <w:t xml:space="preserve">Notice to prospective investors in Australia </w:t>
      </w:r>
    </w:p>
    <w:p>
      <w:pPr>
        <w:pStyle w:val="TextBody"/>
        <w:bidi w:val="0"/>
        <w:spacing w:before="160" w:after="0"/>
        <w:jc w:val="left"/>
        <w:rPr>
          <w:rFonts w:ascii="Arial" w:hAnsi="Arial"/>
          <w:sz w:val="20"/>
        </w:rPr>
      </w:pPr>
      <w:r>
        <w:rPr>
          <w:rFonts w:ascii="Arial" w:hAnsi="Arial"/>
          <w:sz w:val="20"/>
        </w:rPr>
        <w:t xml:space="preserve">This prospectus supplement: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does not constitute a disclosure document or a prospectus under Chapter 6D.2 of the Corporations Act 2001 (Cth), or the Corporations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may only be provided in Australia to select investors who are able to demonstrate that they fall within one or more of the categories of investors, available under section 708 of the Corporations Act, the “Exempt Investors. </w:t>
            </w:r>
          </w:p>
        </w:tc>
      </w:tr>
    </w:tbl>
    <w:p>
      <w:pPr>
        <w:pStyle w:val="TextBody"/>
        <w:bidi w:val="0"/>
        <w:spacing w:before="160" w:after="0"/>
        <w:jc w:val="left"/>
        <w:rPr>
          <w:rFonts w:ascii="Arial" w:hAnsi="Arial"/>
          <w:sz w:val="20"/>
        </w:rPr>
      </w:pPr>
      <w:r>
        <w:rPr>
          <w:rFonts w:ascii="Arial" w:hAnsi="Arial"/>
          <w:sz w:val="20"/>
        </w:rPr>
        <w:t xml:space="preserve">The shares of our common stock may not be directly or indirectly offered for subscription or purchased or sold, and no invitations to subscribe for or buy the shares of our common stock may be issued, and no draft or definitive offering memorandum, advertisement or other offering material relating to any shares of our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common stock may be distributed in Australia, except where disclosure to investors is not required under Chapter 6D of the Corporations Act or is otherwise in compliance with all applicable Australian laws and regulations. By submitting an application for the shares of our common stock, you represent and warrant to us that you are an Exempt Investor. </w:t>
      </w:r>
    </w:p>
    <w:p>
      <w:pPr>
        <w:pStyle w:val="TextBody"/>
        <w:bidi w:val="0"/>
        <w:spacing w:before="160" w:after="0"/>
        <w:jc w:val="left"/>
        <w:rPr>
          <w:rFonts w:ascii="Arial" w:hAnsi="Arial"/>
          <w:sz w:val="20"/>
        </w:rPr>
      </w:pPr>
      <w:r>
        <w:rPr>
          <w:rFonts w:ascii="Arial" w:hAnsi="Arial"/>
          <w:sz w:val="20"/>
        </w:rPr>
        <w:t xml:space="preserve">As any offer of shares of our common stock under this prospectus supplement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of our common stock you undertake to us that you will not, for a period of 12 months from the date of issue of the shares, offer, transfer, assign or otherwise alienate those shares of our common stock to investors in Australia except in circumstances where disclosure to investors is not required under Chapter 6D.2 of the Corporations Act or where a compliant disclosure document is prepared and lodged with ASIC. </w:t>
      </w:r>
    </w:p>
    <w:p>
      <w:pPr>
        <w:pStyle w:val="TextBody"/>
        <w:bidi w:val="0"/>
        <w:spacing w:before="160" w:after="0"/>
        <w:jc w:val="left"/>
        <w:rPr>
          <w:rFonts w:ascii="Arial" w:hAnsi="Arial"/>
          <w:b/>
          <w:i/>
          <w:sz w:val="20"/>
        </w:rPr>
      </w:pPr>
      <w:r>
        <w:rPr>
          <w:rFonts w:ascii="Arial" w:hAnsi="Arial"/>
          <w:b/>
          <w:i/>
          <w:sz w:val="20"/>
        </w:rPr>
        <w:t xml:space="preserve">Notice to prospective investors in Japan </w:t>
      </w:r>
    </w:p>
    <w:p>
      <w:pPr>
        <w:pStyle w:val="TextBody"/>
        <w:bidi w:val="0"/>
        <w:spacing w:before="160" w:after="0"/>
        <w:jc w:val="left"/>
        <w:rPr>
          <w:rFonts w:ascii="Arial" w:hAnsi="Arial"/>
          <w:sz w:val="20"/>
        </w:rPr>
      </w:pPr>
      <w:r>
        <w:rPr>
          <w:rFonts w:ascii="Arial" w:hAnsi="Arial"/>
          <w:sz w:val="20"/>
        </w:rPr>
        <w:t xml:space="preserve">The shares of our common stock have not been and will not be registered pursuant to Article 4, Paragraph 1 of the Financial Instruments and Exchange Act. Accordingly, none of the shares of our common stock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 </w:t>
      </w:r>
    </w:p>
    <w:p>
      <w:pPr>
        <w:pStyle w:val="TextBody"/>
        <w:bidi w:val="0"/>
        <w:spacing w:before="160" w:after="0"/>
        <w:jc w:val="left"/>
        <w:rPr>
          <w:rFonts w:ascii="Arial" w:hAnsi="Arial"/>
          <w:b/>
          <w:i/>
          <w:sz w:val="20"/>
        </w:rPr>
      </w:pPr>
      <w:r>
        <w:rPr>
          <w:rFonts w:ascii="Arial" w:hAnsi="Arial"/>
          <w:b/>
          <w:i/>
          <w:sz w:val="20"/>
        </w:rPr>
        <w:t xml:space="preserve">Notice to prospective investors in Hong Kong </w:t>
      </w:r>
    </w:p>
    <w:p>
      <w:pPr>
        <w:pStyle w:val="TextBody"/>
        <w:bidi w:val="0"/>
        <w:spacing w:before="160" w:after="0"/>
        <w:jc w:val="left"/>
        <w:rPr>
          <w:rFonts w:ascii="Arial" w:hAnsi="Arial"/>
          <w:sz w:val="20"/>
        </w:rPr>
      </w:pPr>
      <w:r>
        <w:rPr>
          <w:rFonts w:ascii="Arial" w:hAnsi="Arial"/>
          <w:sz w:val="20"/>
        </w:rPr>
        <w:t xml:space="preserve">The shares of our common stock have not been offered or sold and will not be offered or sold in Hong Kong, by means of any document, other than (a) to “professional investors” as defined in the Securities and Futures Ordinance (Cap. 571 of the Laws of Hong Kong) (SFO), of Hong Kong and any rules made thereunder; or (b) in other circumstances which do not result in the document being a “prospectus” as defined in the Companies (Winding Up and Miscellaneous Provisions) Ordinance (Cap. 32) of Hong Kong (CO), or which do not constitute an offer to the public within the meaning of the CO. No advertisement, invitation or document relating to the shares of our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the shares of our common stock which are or are intended to be disposed of only to persons outside Hong Kong or only to “professional investors” as defined in the SFO and any rules made thereunder. </w:t>
      </w:r>
    </w:p>
    <w:p>
      <w:pPr>
        <w:pStyle w:val="TextBody"/>
        <w:bidi w:val="0"/>
        <w:spacing w:before="160" w:after="0"/>
        <w:jc w:val="left"/>
        <w:rPr>
          <w:rFonts w:ascii="Arial" w:hAnsi="Arial"/>
          <w:b/>
          <w:i/>
          <w:sz w:val="20"/>
        </w:rPr>
      </w:pPr>
      <w:r>
        <w:rPr>
          <w:rFonts w:ascii="Arial" w:hAnsi="Arial"/>
          <w:b/>
          <w:i/>
          <w:sz w:val="20"/>
        </w:rPr>
        <w:t xml:space="preserve">Notice to prospective investors in Singapore </w:t>
      </w:r>
    </w:p>
    <w:p>
      <w:pPr>
        <w:pStyle w:val="TextBody"/>
        <w:bidi w:val="0"/>
        <w:spacing w:before="160" w:after="0"/>
        <w:jc w:val="left"/>
        <w:rPr>
          <w:rFonts w:ascii="Arial" w:hAnsi="Arial"/>
          <w:sz w:val="20"/>
        </w:rPr>
      </w:pPr>
      <w:r>
        <w:rPr>
          <w:rFonts w:ascii="Arial" w:hAnsi="Arial"/>
          <w:sz w:val="20"/>
        </w:rPr>
        <w:t xml:space="preserve">This prospectus supplement has not been registered as a prospectus with the Monetary Authority of Singapore. Accordingly, no shares of common stock have been or will be offered or sold and no shares of common stock have been or will be made the subject of an invitation for subscription or purchase, and no prospectus supplement or any other document or material in connection with the offer or sale, or invitation for subscription or purchase, of the shares of common stock, has been or will be circulated or distributed, whether directly or indirectly, to any person in Singapore other than: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(i)</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283"/>
              <w:jc w:val="left"/>
              <w:rPr/>
            </w:pPr>
            <w:r>
              <w:rPr/>
              <w:t xml:space="preserve">to an institutional investor (as defined in Section 4A of the Securities and Futures Act (Chapter 289) of Singapore, as modified or amended from time to time (SFA)) pursuant to Section 274 of the SFA;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(ii)</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to a relevant person (as defined in Section 275(2) of the SFA) pursuant to Section 275(1) of the SFA, or any person pursuant to Section 275(1A) of the SFA, and in accordance with the conditions specified in Section 275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1"/>
        <w:gridCol w:w="9798"/>
      </w:tblGrid>
      <w:tr>
        <w:trPr/>
        <w:tc>
          <w:tcPr>
            <w:tcW w:w="306" w:type="dxa"/>
            <w:tcBorders/>
          </w:tcPr>
          <w:p>
            <w:pPr>
              <w:pStyle w:val="TableContents"/>
              <w:bidi w:val="0"/>
              <w:spacing w:before="0" w:after="283"/>
              <w:jc w:val="left"/>
              <w:rPr/>
            </w:pPr>
            <w:r>
              <w:rPr/>
              <w:t>(iii)</w:t>
            </w:r>
          </w:p>
        </w:tc>
        <w:tc>
          <w:tcPr>
            <w:tcW w:w="101"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otherwise pursuant to, and in accordance with the conditions of, any other applicable provision of the SFA. </w:t>
            </w:r>
          </w:p>
        </w:tc>
      </w:tr>
    </w:tbl>
    <w:p>
      <w:pPr>
        <w:pStyle w:val="TextBody"/>
        <w:bidi w:val="0"/>
        <w:spacing w:before="160" w:after="0"/>
        <w:jc w:val="left"/>
        <w:rPr>
          <w:rFonts w:ascii="Arial" w:hAnsi="Arial"/>
          <w:sz w:val="20"/>
        </w:rPr>
      </w:pPr>
      <w:r>
        <w:rPr>
          <w:rFonts w:ascii="Arial" w:hAnsi="Arial"/>
          <w:sz w:val="20"/>
        </w:rPr>
        <w:t xml:space="preserve">Singapore SFA Product Classification—In connection with Section 309B of the SFA and the CMP Regulations 2018, unless otherwise specified before an offer of Notes, the Issuer has determined, and hereby notifies all relevant persons (as defined in Section 309A(1) of the SFA), that the Notes are ‘‘prescribed capital markets products’’ (as defined in the CMP Regulations 2018) and Excluded Investment Products (as defined in MAS Notice SFA 04-N12: Notice on the Sale of Investment Products and MAS Notice FAA-N16: Notice on Recommendations on Investment Products). </w:t>
      </w:r>
    </w:p>
    <w:p>
      <w:pPr>
        <w:pStyle w:val="TextBody"/>
        <w:bidi w:val="0"/>
        <w:spacing w:before="160" w:after="0"/>
        <w:jc w:val="left"/>
        <w:rPr>
          <w:rFonts w:ascii="Arial" w:hAnsi="Arial"/>
          <w:b/>
          <w:i/>
          <w:sz w:val="20"/>
        </w:rPr>
      </w:pPr>
      <w:r>
        <w:rPr>
          <w:rFonts w:ascii="Arial" w:hAnsi="Arial"/>
          <w:b/>
          <w:i/>
          <w:sz w:val="20"/>
        </w:rPr>
        <w:t xml:space="preserve">Notice to prospective investors in Bermuda </w:t>
      </w:r>
    </w:p>
    <w:p>
      <w:pPr>
        <w:pStyle w:val="TextBody"/>
        <w:bidi w:val="0"/>
        <w:spacing w:before="160" w:after="0"/>
        <w:jc w:val="left"/>
        <w:rPr>
          <w:rFonts w:ascii="Arial" w:hAnsi="Arial"/>
          <w:sz w:val="20"/>
        </w:rPr>
      </w:pPr>
      <w:r>
        <w:rPr>
          <w:rFonts w:ascii="Arial" w:hAnsi="Arial"/>
          <w:sz w:val="20"/>
        </w:rPr>
        <w:t xml:space="preserve">Shares of our common stock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 </w:t>
      </w:r>
    </w:p>
    <w:p>
      <w:pPr>
        <w:pStyle w:val="TextBody"/>
        <w:bidi w:val="0"/>
        <w:spacing w:before="160" w:after="0"/>
        <w:jc w:val="left"/>
        <w:rPr>
          <w:rFonts w:ascii="Arial" w:hAnsi="Arial"/>
          <w:b/>
          <w:i/>
          <w:sz w:val="20"/>
        </w:rPr>
      </w:pPr>
      <w:r>
        <w:rPr>
          <w:rFonts w:ascii="Arial" w:hAnsi="Arial"/>
          <w:b/>
          <w:i/>
          <w:sz w:val="20"/>
        </w:rPr>
        <w:t xml:space="preserve">Notice to prospective investors in Saudi Arabia </w:t>
      </w:r>
    </w:p>
    <w:p>
      <w:pPr>
        <w:pStyle w:val="TextBody"/>
        <w:bidi w:val="0"/>
        <w:spacing w:before="160" w:after="0"/>
        <w:jc w:val="left"/>
        <w:rPr>
          <w:rFonts w:ascii="Arial" w:hAnsi="Arial"/>
          <w:sz w:val="20"/>
        </w:rPr>
      </w:pPr>
      <w:r>
        <w:rPr>
          <w:rFonts w:ascii="Arial" w:hAnsi="Arial"/>
          <w:sz w:val="20"/>
        </w:rPr>
        <w:t xml:space="preserve">This prospectus supplement may not be distributed in the Kingdom of Saudi Arabia except to such persons as are permitted under the Rules on the Offer of Securities Regulations as issued by the board of the Saudi Arabian Capital Market Authority (CMA), pursuant to resolution number 3-123-2017 dated December 27, 2017, as amended. The CMA does not make any representation as to the accuracy or completeness of this prospectus supplement and expressly disclaims any liability whatsoever for any loss arising from, or incurred in reliance upon, any part of this prospectus supplement. Prospective purchasers of the securities offered hereby should conduct their own due diligence on the accuracy of the information relating to the securities. If you do not understand the contents of this prospectus supplement, you should consult an authorized financial adviser. </w:t>
      </w:r>
    </w:p>
    <w:p>
      <w:pPr>
        <w:pStyle w:val="TextBody"/>
        <w:bidi w:val="0"/>
        <w:spacing w:before="160" w:after="0"/>
        <w:jc w:val="left"/>
        <w:rPr>
          <w:rFonts w:ascii="Arial" w:hAnsi="Arial"/>
          <w:b/>
          <w:i/>
          <w:sz w:val="20"/>
        </w:rPr>
      </w:pPr>
      <w:r>
        <w:rPr>
          <w:rFonts w:ascii="Arial" w:hAnsi="Arial"/>
          <w:b/>
          <w:i/>
          <w:sz w:val="20"/>
        </w:rPr>
        <w:t xml:space="preserve">Notice to prospective investors in the British Virgin Islands </w:t>
      </w:r>
    </w:p>
    <w:p>
      <w:pPr>
        <w:pStyle w:val="TextBody"/>
        <w:bidi w:val="0"/>
        <w:spacing w:before="160" w:after="0"/>
        <w:jc w:val="left"/>
        <w:rPr>
          <w:rFonts w:ascii="Arial" w:hAnsi="Arial"/>
          <w:sz w:val="20"/>
        </w:rPr>
      </w:pPr>
      <w:r>
        <w:rPr>
          <w:rFonts w:ascii="Arial" w:hAnsi="Arial"/>
          <w:sz w:val="20"/>
        </w:rPr>
        <w:t xml:space="preserve">The shares are not being, and may not be offered to the public or to any person in the British Virgin Islands for purchase or subscription by or on behalf of our company. The shares of our common stock may be offered to companies incorporated under the BVI Business Companies Act, 2004 (British Virgin Islands) (BVI Companies), but only where the offer will be made to, and received by, the relevant BVI Company entirely outside of the British Virgin Islands. </w:t>
      </w:r>
    </w:p>
    <w:p>
      <w:pPr>
        <w:pStyle w:val="TextBody"/>
        <w:bidi w:val="0"/>
        <w:spacing w:before="160" w:after="0"/>
        <w:jc w:val="left"/>
        <w:rPr>
          <w:rFonts w:ascii="Arial" w:hAnsi="Arial"/>
          <w:b/>
          <w:i/>
          <w:sz w:val="20"/>
        </w:rPr>
      </w:pPr>
      <w:r>
        <w:rPr>
          <w:rFonts w:ascii="Arial" w:hAnsi="Arial"/>
          <w:b/>
          <w:i/>
          <w:sz w:val="20"/>
        </w:rPr>
        <w:t xml:space="preserve">Notice to prospective investors in China </w:t>
      </w:r>
    </w:p>
    <w:p>
      <w:pPr>
        <w:pStyle w:val="TextBody"/>
        <w:bidi w:val="0"/>
        <w:spacing w:before="160" w:after="0"/>
        <w:jc w:val="left"/>
        <w:rPr>
          <w:rFonts w:ascii="Arial" w:hAnsi="Arial"/>
          <w:sz w:val="20"/>
        </w:rPr>
      </w:pPr>
      <w:r>
        <w:rPr>
          <w:rFonts w:ascii="Arial" w:hAnsi="Arial"/>
          <w:sz w:val="20"/>
        </w:rPr>
        <w:t xml:space="preserve">This prospectus supplement will not be circulated or distributed in the PRC and the shares of our common stock will not be offered or sold, and will not be offered or sold to any person for re-offering or resale directly or indirectly to any residents of the PRC (for such purposes, not including the Hong Kong and Macau Special Administrative Regions or Taiwan) except pursuant to any applicable laws and regulations of the PRC. Neither this prospectus supplement nor any advertisement or other offering material may be distributed or published in the PRC, except under circumstances that will result in compliance with applicable laws and regulations. </w:t>
      </w:r>
    </w:p>
    <w:p>
      <w:pPr>
        <w:pStyle w:val="TextBody"/>
        <w:bidi w:val="0"/>
        <w:spacing w:before="160" w:after="0"/>
        <w:jc w:val="left"/>
        <w:rPr>
          <w:rFonts w:ascii="Arial" w:hAnsi="Arial"/>
          <w:b/>
          <w:i/>
          <w:sz w:val="20"/>
        </w:rPr>
      </w:pPr>
      <w:r>
        <w:rPr>
          <w:rFonts w:ascii="Arial" w:hAnsi="Arial"/>
          <w:b/>
          <w:i/>
          <w:sz w:val="20"/>
        </w:rPr>
        <w:t xml:space="preserve">Notice to prospective investors in Korea </w:t>
      </w:r>
    </w:p>
    <w:p>
      <w:pPr>
        <w:pStyle w:val="TextBody"/>
        <w:bidi w:val="0"/>
        <w:spacing w:before="160" w:after="0"/>
        <w:jc w:val="left"/>
        <w:rPr>
          <w:rFonts w:ascii="Arial" w:hAnsi="Arial"/>
          <w:sz w:val="20"/>
        </w:rPr>
      </w:pPr>
      <w:r>
        <w:rPr>
          <w:rFonts w:ascii="Arial" w:hAnsi="Arial"/>
          <w:sz w:val="20"/>
        </w:rPr>
        <w:t xml:space="preserve">The shares have not been and will not be registered under the Financial Investments Services and Capital Markets Act of Korea and the decrees and regulations thereunder (FSCMA), and the shares have been and will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be offered in Korea as a private placement under the FSCMA. None of the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FETL. The shares have not been listed on any of securities exchanges in the world including, without limitation, the Korea Exchange in Korea. Furthermore, the purchaser of the shares of our common stock shall comply with all applicable regulatory requirements (including but not limited to requirements under the FETL) in connection with the purchase of the shares. By the purchase of the shares, the relevant holder thereof will be deemed to represent and warrant that if it is in Korea or is a resident of Korea, it purchased the shares pursuant to the applicable laws and regulations of Korea. </w:t>
      </w:r>
    </w:p>
    <w:p>
      <w:pPr>
        <w:pStyle w:val="TextBody"/>
        <w:bidi w:val="0"/>
        <w:spacing w:before="160" w:after="0"/>
        <w:jc w:val="left"/>
        <w:rPr>
          <w:rFonts w:ascii="Arial" w:hAnsi="Arial"/>
          <w:b/>
          <w:i/>
          <w:sz w:val="20"/>
        </w:rPr>
      </w:pPr>
      <w:r>
        <w:rPr>
          <w:rFonts w:ascii="Arial" w:hAnsi="Arial"/>
          <w:b/>
          <w:i/>
          <w:sz w:val="20"/>
        </w:rPr>
        <w:t xml:space="preserve">Notice to prospective investors in Malaysia </w:t>
      </w:r>
    </w:p>
    <w:p>
      <w:pPr>
        <w:pStyle w:val="TextBody"/>
        <w:bidi w:val="0"/>
        <w:spacing w:before="160" w:after="0"/>
        <w:jc w:val="left"/>
        <w:rPr>
          <w:rFonts w:ascii="Arial" w:hAnsi="Arial"/>
          <w:sz w:val="20"/>
        </w:rPr>
      </w:pPr>
      <w:r>
        <w:rPr>
          <w:rFonts w:ascii="Arial" w:hAnsi="Arial"/>
          <w:sz w:val="20"/>
        </w:rPr>
        <w:t xml:space="preserve">No prospectus or other offering material or document in connection with the offer and sale of the shares has been or will be registered with the Securities Commission of Malaysia (the Malaysian Commission), for the Malaysian Commission’s approval pursuant to the Capital Markets and Services Act 2007. Accordingly, this prospectus supplement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Malaysia other than (i) a closed end fund approved by the Malaysian Commission; (ii) a holder of a Capital Markets Services License; (iii) a person who acquires the shares, as principal, if the offer is on terms that the shares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foreign currencies) based on the last audited accounts; (viii) 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Malaysian Commission; provided that, in the each of the preceding categories (i) to (xi), the distribution of the shares is made by a holder of a Capital Markets Services License who carries on the business of dealing in securities. The distribution in Malaysia of this prospectus supplement is subject to Malaysian laws. This prospectus supplement does not constitute and may not be used for the purpose of public offering or an issue, offer for subscription or purchase, invitation to subscribe for or purchase any securities requiring the registration of a prospectus with the Malaysian Commission under the Capital Markets and Services Act 2007. </w:t>
      </w:r>
    </w:p>
    <w:p>
      <w:pPr>
        <w:pStyle w:val="TextBody"/>
        <w:bidi w:val="0"/>
        <w:spacing w:before="160" w:after="0"/>
        <w:jc w:val="left"/>
        <w:rPr>
          <w:rFonts w:ascii="Arial" w:hAnsi="Arial"/>
          <w:b/>
          <w:i/>
          <w:sz w:val="20"/>
        </w:rPr>
      </w:pPr>
      <w:r>
        <w:rPr>
          <w:rFonts w:ascii="Arial" w:hAnsi="Arial"/>
          <w:b/>
          <w:i/>
          <w:sz w:val="20"/>
        </w:rPr>
        <w:t xml:space="preserve">Notice to prospective investors in Taiwan </w:t>
      </w:r>
    </w:p>
    <w:p>
      <w:pPr>
        <w:pStyle w:val="TextBody"/>
        <w:bidi w:val="0"/>
        <w:spacing w:before="160" w:after="0"/>
        <w:jc w:val="left"/>
        <w:rPr>
          <w:rFonts w:ascii="Arial" w:hAnsi="Arial"/>
          <w:sz w:val="20"/>
        </w:rPr>
      </w:pPr>
      <w:r>
        <w:rPr>
          <w:rFonts w:ascii="Arial" w:hAnsi="Arial"/>
          <w:sz w:val="20"/>
        </w:rPr>
        <w:t xml:space="preserve">The shares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shares in Taiwan.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Notice to prospective investors in South Africa </w:t>
      </w:r>
    </w:p>
    <w:p>
      <w:pPr>
        <w:pStyle w:val="TextBody"/>
        <w:bidi w:val="0"/>
        <w:spacing w:before="160" w:after="0"/>
        <w:jc w:val="left"/>
        <w:rPr>
          <w:rFonts w:ascii="Arial" w:hAnsi="Arial"/>
          <w:sz w:val="20"/>
        </w:rPr>
      </w:pPr>
      <w:r>
        <w:rPr>
          <w:rFonts w:ascii="Arial" w:hAnsi="Arial"/>
          <w:sz w:val="20"/>
        </w:rPr>
        <w:t>Due to restrictions under the securities laws of South Africa, no “</w:t>
      </w:r>
      <w:r>
        <w:rPr>
          <w:rFonts w:ascii="Arial" w:hAnsi="Arial"/>
          <w:i/>
          <w:sz w:val="20"/>
        </w:rPr>
        <w:t>offer to the public</w:t>
      </w:r>
      <w:r>
        <w:rPr>
          <w:rFonts w:ascii="Arial" w:hAnsi="Arial"/>
          <w:sz w:val="20"/>
        </w:rPr>
        <w:t>” (as such term is defined in the South African Companies Act, No. 71 of 2008 (as amended or re-enacted)), or the South African Companies Act, is being made in connection with the issue of the shares in South Africa. Accordingly, this prospectus supplement does not, nor is it intended to, constitute a “</w:t>
      </w:r>
      <w:r>
        <w:rPr>
          <w:rFonts w:ascii="Arial" w:hAnsi="Arial"/>
          <w:i/>
          <w:sz w:val="20"/>
        </w:rPr>
        <w:t>registered prospectus</w:t>
      </w:r>
      <w:r>
        <w:rPr>
          <w:rFonts w:ascii="Arial" w:hAnsi="Arial"/>
          <w:sz w:val="20"/>
        </w:rPr>
        <w:t xml:space="preserve">”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The shares are not offered, and the offer shall not be transferred, sold, renounced or delivered, in South Africa or to a person with an address in South Africa, unless one or other of the following exemptions stipulated in section 96 (1) applies: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50"/>
        <w:gridCol w:w="210"/>
        <w:gridCol w:w="8345"/>
      </w:tblGrid>
      <w:tr>
        <w:trPr/>
        <w:tc>
          <w:tcPr>
            <w:tcW w:w="1650"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8345" w:type="dxa"/>
            <w:tcBorders/>
            <w:vAlign w:val="center"/>
          </w:tcPr>
          <w:p>
            <w:pPr>
              <w:pStyle w:val="TableContents"/>
              <w:bidi w:val="0"/>
              <w:spacing w:before="0" w:after="283"/>
              <w:jc w:val="left"/>
              <w:rPr>
                <w:sz w:val="4"/>
                <w:szCs w:val="4"/>
              </w:rPr>
            </w:pPr>
            <w:r>
              <w:rPr>
                <w:sz w:val="4"/>
                <w:szCs w:val="4"/>
              </w:rPr>
            </w:r>
          </w:p>
        </w:tc>
      </w:tr>
      <w:tr>
        <w:trPr/>
        <w:tc>
          <w:tcPr>
            <w:tcW w:w="1650" w:type="dxa"/>
            <w:tcBorders/>
          </w:tcPr>
          <w:p>
            <w:pPr>
              <w:pStyle w:val="TableContents"/>
              <w:bidi w:val="0"/>
              <w:spacing w:before="0" w:after="283"/>
              <w:jc w:val="left"/>
              <w:rPr/>
            </w:pPr>
            <w:r>
              <w:rPr/>
              <w:t>Section 96 (1) (a)</w:t>
            </w:r>
          </w:p>
        </w:tc>
        <w:tc>
          <w:tcPr>
            <w:tcW w:w="210" w:type="dxa"/>
            <w:tcBorders/>
            <w:vAlign w:val="bottom"/>
          </w:tcPr>
          <w:p>
            <w:pPr>
              <w:pStyle w:val="TableContents"/>
              <w:bidi w:val="0"/>
              <w:spacing w:before="0" w:after="283"/>
              <w:jc w:val="left"/>
              <w:rPr/>
            </w:pPr>
            <w:r>
              <w:rPr/>
              <w:t>  </w:t>
            </w:r>
          </w:p>
        </w:tc>
        <w:tc>
          <w:tcPr>
            <w:tcW w:w="8345" w:type="dxa"/>
            <w:tcBorders/>
          </w:tcPr>
          <w:p>
            <w:pPr>
              <w:pStyle w:val="TableContents"/>
              <w:bidi w:val="0"/>
              <w:spacing w:before="0" w:after="283"/>
              <w:jc w:val="left"/>
              <w:rPr/>
            </w:pPr>
            <w:r>
              <w:rPr/>
              <w:t>the offer, transfer, sale, renunciation or delivery is to:</w:t>
            </w:r>
          </w:p>
        </w:tc>
      </w:tr>
      <w:tr>
        <w:trPr>
          <w:trHeight w:val="120" w:hRule="atLeast"/>
        </w:trPr>
        <w:tc>
          <w:tcPr>
            <w:tcW w:w="1650" w:type="dxa"/>
            <w:tcBorders/>
            <w:vAlign w:val="center"/>
          </w:tcPr>
          <w:p>
            <w:pPr>
              <w:pStyle w:val="TableContents"/>
              <w:bidi w:val="0"/>
              <w:spacing w:before="0" w:after="283"/>
              <w:jc w:val="left"/>
              <w:rPr>
                <w:sz w:val="4"/>
                <w:szCs w:val="4"/>
              </w:rPr>
            </w:pPr>
            <w:r>
              <w:rPr>
                <w:sz w:val="4"/>
                <w:szCs w:val="4"/>
              </w:rPr>
            </w:r>
          </w:p>
        </w:tc>
        <w:tc>
          <w:tcPr>
            <w:tcW w:w="8555" w:type="dxa"/>
            <w:gridSpan w:val="2"/>
            <w:tcBorders/>
            <w:vAlign w:val="center"/>
          </w:tcPr>
          <w:p>
            <w:pPr>
              <w:pStyle w:val="TableContents"/>
              <w:bidi w:val="0"/>
              <w:spacing w:before="0" w:after="283"/>
              <w:jc w:val="left"/>
              <w:rPr>
                <w:sz w:val="4"/>
                <w:szCs w:val="4"/>
              </w:rPr>
            </w:pPr>
            <w:r>
              <w:rPr>
                <w:sz w:val="4"/>
                <w:szCs w:val="4"/>
              </w:rPr>
            </w:r>
          </w:p>
        </w:tc>
      </w:tr>
      <w:tr>
        <w:trPr/>
        <w:tc>
          <w:tcPr>
            <w:tcW w:w="1650" w:type="dxa"/>
            <w:tcBorders/>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8345" w:type="dxa"/>
            <w:tcBorders/>
          </w:tcPr>
          <w:p>
            <w:pPr>
              <w:pStyle w:val="TableContents"/>
              <w:bidi w:val="0"/>
              <w:spacing w:before="0" w:after="0"/>
              <w:jc w:val="left"/>
              <w:rPr>
                <w:rFonts w:ascii="Arial" w:hAnsi="Arial"/>
                <w:sz w:val="20"/>
              </w:rPr>
            </w:pPr>
            <w:r>
              <w:rPr>
                <w:rFonts w:ascii="Arial" w:hAnsi="Arial"/>
                <w:sz w:val="20"/>
              </w:rPr>
              <w:t>(i)   persons whose ordinary business, or part of whose ordinary business, is to deal in securities, as principal or agent;</w:t>
            </w:r>
          </w:p>
        </w:tc>
      </w:tr>
      <w:tr>
        <w:trPr>
          <w:trHeight w:val="120" w:hRule="atLeast"/>
        </w:trPr>
        <w:tc>
          <w:tcPr>
            <w:tcW w:w="1650" w:type="dxa"/>
            <w:tcBorders/>
            <w:vAlign w:val="center"/>
          </w:tcPr>
          <w:p>
            <w:pPr>
              <w:pStyle w:val="TableContents"/>
              <w:bidi w:val="0"/>
              <w:spacing w:before="0" w:after="283"/>
              <w:jc w:val="left"/>
              <w:rPr>
                <w:sz w:val="4"/>
                <w:szCs w:val="4"/>
              </w:rPr>
            </w:pPr>
            <w:r>
              <w:rPr>
                <w:sz w:val="4"/>
                <w:szCs w:val="4"/>
              </w:rPr>
            </w:r>
          </w:p>
        </w:tc>
        <w:tc>
          <w:tcPr>
            <w:tcW w:w="8555" w:type="dxa"/>
            <w:gridSpan w:val="2"/>
            <w:tcBorders/>
            <w:vAlign w:val="center"/>
          </w:tcPr>
          <w:p>
            <w:pPr>
              <w:pStyle w:val="TableContents"/>
              <w:bidi w:val="0"/>
              <w:spacing w:before="0" w:after="283"/>
              <w:jc w:val="left"/>
              <w:rPr>
                <w:sz w:val="4"/>
                <w:szCs w:val="4"/>
              </w:rPr>
            </w:pPr>
            <w:r>
              <w:rPr>
                <w:sz w:val="4"/>
                <w:szCs w:val="4"/>
              </w:rPr>
            </w:r>
          </w:p>
        </w:tc>
      </w:tr>
      <w:tr>
        <w:trPr/>
        <w:tc>
          <w:tcPr>
            <w:tcW w:w="1650" w:type="dxa"/>
            <w:tcBorders/>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8345" w:type="dxa"/>
            <w:tcBorders/>
          </w:tcPr>
          <w:p>
            <w:pPr>
              <w:pStyle w:val="TableContents"/>
              <w:bidi w:val="0"/>
              <w:spacing w:before="0" w:after="0"/>
              <w:jc w:val="left"/>
              <w:rPr>
                <w:rFonts w:ascii="Arial" w:hAnsi="Arial"/>
                <w:sz w:val="20"/>
              </w:rPr>
            </w:pPr>
            <w:r>
              <w:rPr>
                <w:rFonts w:ascii="Arial" w:hAnsi="Arial"/>
                <w:sz w:val="20"/>
              </w:rPr>
              <w:t>(ii)    the South African Public Investment Corporation;</w:t>
            </w:r>
          </w:p>
        </w:tc>
      </w:tr>
      <w:tr>
        <w:trPr>
          <w:trHeight w:val="120" w:hRule="atLeast"/>
        </w:trPr>
        <w:tc>
          <w:tcPr>
            <w:tcW w:w="1650" w:type="dxa"/>
            <w:tcBorders/>
            <w:vAlign w:val="center"/>
          </w:tcPr>
          <w:p>
            <w:pPr>
              <w:pStyle w:val="TableContents"/>
              <w:bidi w:val="0"/>
              <w:spacing w:before="0" w:after="283"/>
              <w:jc w:val="left"/>
              <w:rPr>
                <w:sz w:val="4"/>
                <w:szCs w:val="4"/>
              </w:rPr>
            </w:pPr>
            <w:r>
              <w:rPr>
                <w:sz w:val="4"/>
                <w:szCs w:val="4"/>
              </w:rPr>
            </w:r>
          </w:p>
        </w:tc>
        <w:tc>
          <w:tcPr>
            <w:tcW w:w="8555" w:type="dxa"/>
            <w:gridSpan w:val="2"/>
            <w:tcBorders/>
            <w:vAlign w:val="center"/>
          </w:tcPr>
          <w:p>
            <w:pPr>
              <w:pStyle w:val="TableContents"/>
              <w:bidi w:val="0"/>
              <w:spacing w:before="0" w:after="283"/>
              <w:jc w:val="left"/>
              <w:rPr>
                <w:sz w:val="4"/>
                <w:szCs w:val="4"/>
              </w:rPr>
            </w:pPr>
            <w:r>
              <w:rPr>
                <w:sz w:val="4"/>
                <w:szCs w:val="4"/>
              </w:rPr>
            </w:r>
          </w:p>
        </w:tc>
      </w:tr>
      <w:tr>
        <w:trPr/>
        <w:tc>
          <w:tcPr>
            <w:tcW w:w="1650" w:type="dxa"/>
            <w:tcBorders/>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8345" w:type="dxa"/>
            <w:tcBorders/>
          </w:tcPr>
          <w:p>
            <w:pPr>
              <w:pStyle w:val="TableContents"/>
              <w:bidi w:val="0"/>
              <w:spacing w:before="0" w:after="0"/>
              <w:jc w:val="left"/>
              <w:rPr>
                <w:rFonts w:ascii="Arial" w:hAnsi="Arial"/>
                <w:sz w:val="20"/>
              </w:rPr>
            </w:pPr>
            <w:r>
              <w:rPr>
                <w:rFonts w:ascii="Arial" w:hAnsi="Arial"/>
                <w:sz w:val="20"/>
              </w:rPr>
              <w:t>(iii)   persons or entities regulated by the Reserve Bank of South Africa;</w:t>
            </w:r>
          </w:p>
        </w:tc>
      </w:tr>
      <w:tr>
        <w:trPr>
          <w:trHeight w:val="120" w:hRule="atLeast"/>
        </w:trPr>
        <w:tc>
          <w:tcPr>
            <w:tcW w:w="1650" w:type="dxa"/>
            <w:tcBorders/>
            <w:vAlign w:val="center"/>
          </w:tcPr>
          <w:p>
            <w:pPr>
              <w:pStyle w:val="TableContents"/>
              <w:bidi w:val="0"/>
              <w:spacing w:before="0" w:after="283"/>
              <w:jc w:val="left"/>
              <w:rPr>
                <w:sz w:val="4"/>
                <w:szCs w:val="4"/>
              </w:rPr>
            </w:pPr>
            <w:r>
              <w:rPr>
                <w:sz w:val="4"/>
                <w:szCs w:val="4"/>
              </w:rPr>
            </w:r>
          </w:p>
        </w:tc>
        <w:tc>
          <w:tcPr>
            <w:tcW w:w="8555" w:type="dxa"/>
            <w:gridSpan w:val="2"/>
            <w:tcBorders/>
            <w:vAlign w:val="center"/>
          </w:tcPr>
          <w:p>
            <w:pPr>
              <w:pStyle w:val="TableContents"/>
              <w:bidi w:val="0"/>
              <w:spacing w:before="0" w:after="283"/>
              <w:jc w:val="left"/>
              <w:rPr>
                <w:sz w:val="4"/>
                <w:szCs w:val="4"/>
              </w:rPr>
            </w:pPr>
            <w:r>
              <w:rPr>
                <w:sz w:val="4"/>
                <w:szCs w:val="4"/>
              </w:rPr>
            </w:r>
          </w:p>
        </w:tc>
      </w:tr>
      <w:tr>
        <w:trPr/>
        <w:tc>
          <w:tcPr>
            <w:tcW w:w="1650" w:type="dxa"/>
            <w:tcBorders/>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8345" w:type="dxa"/>
            <w:tcBorders/>
          </w:tcPr>
          <w:p>
            <w:pPr>
              <w:pStyle w:val="TableContents"/>
              <w:bidi w:val="0"/>
              <w:spacing w:before="0" w:after="0"/>
              <w:jc w:val="left"/>
              <w:rPr>
                <w:rFonts w:ascii="Arial" w:hAnsi="Arial"/>
                <w:sz w:val="20"/>
              </w:rPr>
            </w:pPr>
            <w:r>
              <w:rPr>
                <w:rFonts w:ascii="Arial" w:hAnsi="Arial"/>
                <w:sz w:val="20"/>
              </w:rPr>
              <w:t>(iv)   authorised financial service providers under South African law;</w:t>
            </w:r>
          </w:p>
        </w:tc>
      </w:tr>
      <w:tr>
        <w:trPr>
          <w:trHeight w:val="120" w:hRule="atLeast"/>
        </w:trPr>
        <w:tc>
          <w:tcPr>
            <w:tcW w:w="1650" w:type="dxa"/>
            <w:tcBorders/>
            <w:vAlign w:val="center"/>
          </w:tcPr>
          <w:p>
            <w:pPr>
              <w:pStyle w:val="TableContents"/>
              <w:bidi w:val="0"/>
              <w:spacing w:before="0" w:after="283"/>
              <w:jc w:val="left"/>
              <w:rPr>
                <w:sz w:val="4"/>
                <w:szCs w:val="4"/>
              </w:rPr>
            </w:pPr>
            <w:r>
              <w:rPr>
                <w:sz w:val="4"/>
                <w:szCs w:val="4"/>
              </w:rPr>
            </w:r>
          </w:p>
        </w:tc>
        <w:tc>
          <w:tcPr>
            <w:tcW w:w="8555" w:type="dxa"/>
            <w:gridSpan w:val="2"/>
            <w:tcBorders/>
            <w:vAlign w:val="center"/>
          </w:tcPr>
          <w:p>
            <w:pPr>
              <w:pStyle w:val="TableContents"/>
              <w:bidi w:val="0"/>
              <w:spacing w:before="0" w:after="283"/>
              <w:jc w:val="left"/>
              <w:rPr>
                <w:sz w:val="4"/>
                <w:szCs w:val="4"/>
              </w:rPr>
            </w:pPr>
            <w:r>
              <w:rPr>
                <w:sz w:val="4"/>
                <w:szCs w:val="4"/>
              </w:rPr>
            </w:r>
          </w:p>
        </w:tc>
      </w:tr>
      <w:tr>
        <w:trPr/>
        <w:tc>
          <w:tcPr>
            <w:tcW w:w="1650" w:type="dxa"/>
            <w:tcBorders/>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8345" w:type="dxa"/>
            <w:tcBorders/>
          </w:tcPr>
          <w:p>
            <w:pPr>
              <w:pStyle w:val="TableContents"/>
              <w:bidi w:val="0"/>
              <w:spacing w:before="0" w:after="0"/>
              <w:jc w:val="left"/>
              <w:rPr>
                <w:rFonts w:ascii="Arial" w:hAnsi="Arial"/>
                <w:sz w:val="20"/>
              </w:rPr>
            </w:pPr>
            <w:r>
              <w:rPr>
                <w:rFonts w:ascii="Arial" w:hAnsi="Arial"/>
                <w:sz w:val="20"/>
              </w:rPr>
              <w:t>(v)    financial institutions recognised as such under South African law;</w:t>
            </w:r>
          </w:p>
        </w:tc>
      </w:tr>
      <w:tr>
        <w:trPr>
          <w:trHeight w:val="120" w:hRule="atLeast"/>
        </w:trPr>
        <w:tc>
          <w:tcPr>
            <w:tcW w:w="1650" w:type="dxa"/>
            <w:tcBorders/>
            <w:vAlign w:val="center"/>
          </w:tcPr>
          <w:p>
            <w:pPr>
              <w:pStyle w:val="TableContents"/>
              <w:bidi w:val="0"/>
              <w:spacing w:before="0" w:after="283"/>
              <w:jc w:val="left"/>
              <w:rPr>
                <w:sz w:val="4"/>
                <w:szCs w:val="4"/>
              </w:rPr>
            </w:pPr>
            <w:r>
              <w:rPr>
                <w:sz w:val="4"/>
                <w:szCs w:val="4"/>
              </w:rPr>
            </w:r>
          </w:p>
        </w:tc>
        <w:tc>
          <w:tcPr>
            <w:tcW w:w="8555" w:type="dxa"/>
            <w:gridSpan w:val="2"/>
            <w:tcBorders/>
            <w:vAlign w:val="center"/>
          </w:tcPr>
          <w:p>
            <w:pPr>
              <w:pStyle w:val="TableContents"/>
              <w:bidi w:val="0"/>
              <w:spacing w:before="0" w:after="283"/>
              <w:jc w:val="left"/>
              <w:rPr>
                <w:sz w:val="4"/>
                <w:szCs w:val="4"/>
              </w:rPr>
            </w:pPr>
            <w:r>
              <w:rPr>
                <w:sz w:val="4"/>
                <w:szCs w:val="4"/>
              </w:rPr>
            </w:r>
          </w:p>
        </w:tc>
      </w:tr>
      <w:tr>
        <w:trPr/>
        <w:tc>
          <w:tcPr>
            <w:tcW w:w="1650" w:type="dxa"/>
            <w:tcBorders/>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8345" w:type="dxa"/>
            <w:tcBorders/>
          </w:tcPr>
          <w:p>
            <w:pPr>
              <w:pStyle w:val="TableContents"/>
              <w:bidi w:val="0"/>
              <w:spacing w:before="0" w:after="0"/>
              <w:jc w:val="left"/>
              <w:rPr>
                <w:rFonts w:ascii="Arial" w:hAnsi="Arial"/>
                <w:sz w:val="20"/>
              </w:rPr>
            </w:pPr>
            <w:r>
              <w:rPr>
                <w:rFonts w:ascii="Arial" w:hAnsi="Arial"/>
                <w:sz w:val="20"/>
              </w:rPr>
              <w:t>(vi)   a wholly-owned subsidiary of any person or entity contemplated in (c), (d) or (e), acting as agent in the capacity of an authorized portfolio manager for a pension fund, or as manager for a collective investment scheme (in each case duly registered as such under South African law); or</w:t>
            </w:r>
          </w:p>
        </w:tc>
      </w:tr>
      <w:tr>
        <w:trPr>
          <w:trHeight w:val="120" w:hRule="atLeast"/>
        </w:trPr>
        <w:tc>
          <w:tcPr>
            <w:tcW w:w="1650" w:type="dxa"/>
            <w:tcBorders/>
            <w:vAlign w:val="center"/>
          </w:tcPr>
          <w:p>
            <w:pPr>
              <w:pStyle w:val="TableContents"/>
              <w:bidi w:val="0"/>
              <w:spacing w:before="0" w:after="283"/>
              <w:jc w:val="left"/>
              <w:rPr>
                <w:sz w:val="4"/>
                <w:szCs w:val="4"/>
              </w:rPr>
            </w:pPr>
            <w:r>
              <w:rPr>
                <w:sz w:val="4"/>
                <w:szCs w:val="4"/>
              </w:rPr>
            </w:r>
          </w:p>
        </w:tc>
        <w:tc>
          <w:tcPr>
            <w:tcW w:w="8555" w:type="dxa"/>
            <w:gridSpan w:val="2"/>
            <w:tcBorders/>
            <w:vAlign w:val="center"/>
          </w:tcPr>
          <w:p>
            <w:pPr>
              <w:pStyle w:val="TableContents"/>
              <w:bidi w:val="0"/>
              <w:spacing w:before="0" w:after="283"/>
              <w:jc w:val="left"/>
              <w:rPr>
                <w:sz w:val="4"/>
                <w:szCs w:val="4"/>
              </w:rPr>
            </w:pPr>
            <w:r>
              <w:rPr>
                <w:sz w:val="4"/>
                <w:szCs w:val="4"/>
              </w:rPr>
            </w:r>
          </w:p>
        </w:tc>
      </w:tr>
      <w:tr>
        <w:trPr/>
        <w:tc>
          <w:tcPr>
            <w:tcW w:w="1650" w:type="dxa"/>
            <w:tcBorders/>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8345" w:type="dxa"/>
            <w:tcBorders/>
          </w:tcPr>
          <w:p>
            <w:pPr>
              <w:pStyle w:val="TableContents"/>
              <w:bidi w:val="0"/>
              <w:spacing w:before="0" w:after="0"/>
              <w:jc w:val="left"/>
              <w:rPr>
                <w:rFonts w:ascii="Arial" w:hAnsi="Arial"/>
                <w:sz w:val="20"/>
              </w:rPr>
            </w:pPr>
            <w:r>
              <w:rPr>
                <w:rFonts w:ascii="Arial" w:hAnsi="Arial"/>
                <w:sz w:val="20"/>
              </w:rPr>
              <w:t>(vii)   any combination of the person in (i) to (vi); or</w:t>
            </w:r>
          </w:p>
        </w:tc>
      </w:tr>
      <w:tr>
        <w:trPr>
          <w:trHeight w:val="120" w:hRule="atLeast"/>
        </w:trPr>
        <w:tc>
          <w:tcPr>
            <w:tcW w:w="1650" w:type="dxa"/>
            <w:tcBorders/>
            <w:vAlign w:val="center"/>
          </w:tcPr>
          <w:p>
            <w:pPr>
              <w:pStyle w:val="TableContents"/>
              <w:bidi w:val="0"/>
              <w:spacing w:before="0" w:after="283"/>
              <w:jc w:val="left"/>
              <w:rPr>
                <w:sz w:val="4"/>
                <w:szCs w:val="4"/>
              </w:rPr>
            </w:pPr>
            <w:r>
              <w:rPr>
                <w:sz w:val="4"/>
                <w:szCs w:val="4"/>
              </w:rPr>
            </w:r>
          </w:p>
        </w:tc>
        <w:tc>
          <w:tcPr>
            <w:tcW w:w="8555" w:type="dxa"/>
            <w:gridSpan w:val="2"/>
            <w:tcBorders/>
            <w:vAlign w:val="center"/>
          </w:tcPr>
          <w:p>
            <w:pPr>
              <w:pStyle w:val="TableContents"/>
              <w:bidi w:val="0"/>
              <w:spacing w:before="0" w:after="283"/>
              <w:jc w:val="left"/>
              <w:rPr>
                <w:sz w:val="4"/>
                <w:szCs w:val="4"/>
              </w:rPr>
            </w:pPr>
            <w:r>
              <w:rPr>
                <w:sz w:val="4"/>
                <w:szCs w:val="4"/>
              </w:rPr>
            </w:r>
          </w:p>
        </w:tc>
      </w:tr>
      <w:tr>
        <w:trPr/>
        <w:tc>
          <w:tcPr>
            <w:tcW w:w="1650" w:type="dxa"/>
            <w:tcBorders/>
          </w:tcPr>
          <w:p>
            <w:pPr>
              <w:pStyle w:val="TableContents"/>
              <w:bidi w:val="0"/>
              <w:spacing w:before="0" w:after="283"/>
              <w:jc w:val="left"/>
              <w:rPr/>
            </w:pPr>
            <w:r>
              <w:rPr/>
              <w:t>Section 96 (1) (b)</w:t>
            </w:r>
          </w:p>
        </w:tc>
        <w:tc>
          <w:tcPr>
            <w:tcW w:w="210" w:type="dxa"/>
            <w:tcBorders/>
            <w:vAlign w:val="bottom"/>
          </w:tcPr>
          <w:p>
            <w:pPr>
              <w:pStyle w:val="TableContents"/>
              <w:bidi w:val="0"/>
              <w:spacing w:before="0" w:after="283"/>
              <w:jc w:val="left"/>
              <w:rPr/>
            </w:pPr>
            <w:r>
              <w:rPr/>
              <w:t>  </w:t>
            </w:r>
          </w:p>
        </w:tc>
        <w:tc>
          <w:tcPr>
            <w:tcW w:w="8345" w:type="dxa"/>
            <w:tcBorders/>
          </w:tcPr>
          <w:p>
            <w:pPr>
              <w:pStyle w:val="TableContents"/>
              <w:bidi w:val="0"/>
              <w:spacing w:before="0" w:after="283"/>
              <w:jc w:val="left"/>
              <w:rPr/>
            </w:pPr>
            <w:r>
              <w:rPr/>
              <w:t>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w:t>
            </w:r>
          </w:p>
        </w:tc>
      </w:tr>
    </w:tbl>
    <w:p>
      <w:pPr>
        <w:pStyle w:val="TextBody"/>
        <w:bidi w:val="0"/>
        <w:spacing w:before="160" w:after="0"/>
        <w:jc w:val="left"/>
        <w:rPr>
          <w:rFonts w:ascii="Arial" w:hAnsi="Arial"/>
          <w:sz w:val="20"/>
        </w:rPr>
      </w:pPr>
      <w:r>
        <w:rPr>
          <w:rFonts w:ascii="Arial" w:hAnsi="Arial"/>
          <w:sz w:val="20"/>
        </w:rPr>
        <w:t xml:space="preserve">Information made available in this prospectus supplement should not be considered as “advice” as defined in the South African Financial Advisory and Intermediary Services Act, 2002. </w:t>
      </w:r>
    </w:p>
    <w:p>
      <w:pPr>
        <w:pStyle w:val="TextBody"/>
        <w:bidi w:val="0"/>
        <w:spacing w:before="160" w:after="0"/>
        <w:jc w:val="left"/>
        <w:rPr>
          <w:rFonts w:ascii="Arial" w:hAnsi="Arial"/>
          <w:b/>
          <w:i/>
          <w:sz w:val="20"/>
        </w:rPr>
      </w:pPr>
      <w:r>
        <w:rPr>
          <w:rFonts w:ascii="Arial" w:hAnsi="Arial"/>
          <w:b/>
          <w:i/>
          <w:sz w:val="20"/>
        </w:rPr>
        <w:t xml:space="preserve">Notice to prospective investors in Israel </w:t>
      </w:r>
    </w:p>
    <w:p>
      <w:pPr>
        <w:pStyle w:val="TextBody"/>
        <w:bidi w:val="0"/>
        <w:spacing w:before="160" w:after="0"/>
        <w:jc w:val="left"/>
        <w:rPr>
          <w:rFonts w:ascii="Arial" w:hAnsi="Arial"/>
          <w:sz w:val="20"/>
        </w:rPr>
      </w:pPr>
      <w:r>
        <w:rPr>
          <w:rFonts w:ascii="Arial" w:hAnsi="Arial"/>
          <w:sz w:val="20"/>
        </w:rPr>
        <w:t xml:space="preserve">In the State of Israel this prospectus supplement shall not be regarded as an offer to the public to purchase shares of common stock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or the Addressed Investors; or (ii) the offer is made, distributed or directed to certain qualified investors defined in the First Addendum of the Israeli Securities Law, 5728—1968, subject to certain conditions, or the Qualified Investors. The Qualified Investors shall not be taken into account in the count of the Addressed Investors and may be offered to purchase securities in addition to the 35 Addressed Investors. We have not and will not take any action that would require us to publish a prospectus in accordance with and subject to the Israeli Securities Law, 5728—1968. We have not and will not distribute this prospectus supplement or make, distribute or direct an offer to subscribe for our shares of common stock to any person within the State of Israel, other than to Qualified Investors and up to 35 Addressed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Investors. Qualified Investors may have to submit written evidence that they meet the definitions set out in the First Addendum to the Israeli Securities Law, 5728—1968. In particular, we may request, as a condition to be offered shares of common stock, that Qualified Investors will each represent, warrant and certify to us and/or to anyone acting on our behalf: (i) that it is an investor falling within one of the categories listed in the First Addendum to the Israeli Securities Law, 5728—1968; (ii) which of the categories listed in the First Addendum to the Israeli Securities Law, 5728—1968 regarding Qualified Investors is applicable to it; (iii) that it will abide by all provisions set forth in the Israeli Securities Law, 5728—1968 and the regulations promulgated thereunder in connection with the offer to be issued shares of common stock; (iv) that the shares of common stock that it will be issued are, subject to exemptions available under the Israeli Securities Law, 5728—1968: (a) for its own account; (b) for investment purposes only; and (c) not issued with a view to resale within the State of Israel, other 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11" w:name="supptoc116467_8"/>
      <w:bookmarkEnd w:id="11"/>
      <w:r>
        <w:rPr>
          <w:rFonts w:ascii="Arial" w:hAnsi="Arial"/>
          <w:b/>
          <w:sz w:val="32"/>
        </w:rPr>
        <w:t xml:space="preserve">Legal matters </w:t>
      </w:r>
    </w:p>
    <w:p>
      <w:pPr>
        <w:pStyle w:val="TextBody"/>
        <w:bidi w:val="0"/>
        <w:spacing w:before="160" w:after="0"/>
        <w:jc w:val="left"/>
        <w:rPr>
          <w:rFonts w:ascii="Arial" w:hAnsi="Arial"/>
          <w:sz w:val="20"/>
        </w:rPr>
      </w:pPr>
      <w:r>
        <w:rPr>
          <w:rFonts w:ascii="Arial" w:hAnsi="Arial"/>
          <w:sz w:val="20"/>
        </w:rPr>
        <w:t xml:space="preserve">Latham &amp; Watkins LLP, San Diego, California, will pass upon certain legal matters relating to the issuance and sale of the securities offered hereby on behalf of Erasca, Inc. Latham &amp; Watkins LLP and certain attorneys in the firm who have rendered, and will continue to render, legal services to us, own shares of our common stock representing in the aggregate less than one percent of the shares of our common stock outstanding. The underwriters are being represented in connection with this offering by Cooley LLP, San Diego, California. </w:t>
      </w:r>
    </w:p>
    <w:p>
      <w:pPr>
        <w:pStyle w:val="TextBody"/>
        <w:bidi w:val="0"/>
        <w:spacing w:before="160" w:after="0"/>
        <w:jc w:val="left"/>
        <w:rPr>
          <w:rFonts w:ascii="Arial" w:hAnsi="Arial"/>
          <w:b/>
          <w:sz w:val="32"/>
        </w:rPr>
      </w:pPr>
      <w:bookmarkStart w:id="12" w:name="supptoc116467_9"/>
      <w:bookmarkEnd w:id="12"/>
      <w:r>
        <w:rPr>
          <w:rFonts w:ascii="Arial" w:hAnsi="Arial"/>
          <w:b/>
          <w:sz w:val="32"/>
        </w:rPr>
        <w:t xml:space="preserve">Experts </w:t>
      </w:r>
    </w:p>
    <w:p>
      <w:pPr>
        <w:pStyle w:val="TextBody"/>
        <w:bidi w:val="0"/>
        <w:spacing w:before="160" w:after="0"/>
        <w:jc w:val="left"/>
        <w:rPr>
          <w:rFonts w:ascii="Arial" w:hAnsi="Arial"/>
          <w:sz w:val="20"/>
        </w:rPr>
      </w:pPr>
      <w:r>
        <w:rPr>
          <w:rFonts w:ascii="Arial" w:hAnsi="Arial"/>
          <w:sz w:val="20"/>
        </w:rPr>
        <w:t xml:space="preserve">The consolidated financial statements of Erasca, Inc. as of December 31, 2025 and 2024, and for the years then ended, have been incorporated by reference herein and in the registration statement in reliance upon the report of KPMG LLP, independent registered public accounting firm, incorporated by reference herein, and upon the authority of said firm as experts in accounting and auditing.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13" w:name="supptoc116467_10"/>
      <w:bookmarkEnd w:id="13"/>
      <w:r>
        <w:rPr>
          <w:rFonts w:ascii="Arial" w:hAnsi="Arial"/>
          <w:b/>
          <w:sz w:val="32"/>
        </w:rPr>
        <w:t xml:space="preserve">Where you can find more information; incorporation by reference </w:t>
      </w:r>
    </w:p>
    <w:p>
      <w:pPr>
        <w:pStyle w:val="TextBody"/>
        <w:bidi w:val="0"/>
        <w:spacing w:before="160" w:after="0"/>
        <w:jc w:val="left"/>
        <w:rPr>
          <w:rFonts w:ascii="Arial" w:hAnsi="Arial"/>
          <w:b/>
          <w:sz w:val="24"/>
        </w:rPr>
      </w:pPr>
      <w:r>
        <w:rPr>
          <w:rFonts w:ascii="Arial" w:hAnsi="Arial"/>
          <w:b/>
          <w:sz w:val="24"/>
        </w:rPr>
        <w:t xml:space="preserve">Available information </w:t>
      </w:r>
    </w:p>
    <w:p>
      <w:pPr>
        <w:pStyle w:val="TextBody"/>
        <w:bidi w:val="0"/>
        <w:spacing w:before="160" w:after="0"/>
        <w:jc w:val="left"/>
        <w:rPr>
          <w:rFonts w:ascii="Arial" w:hAnsi="Arial"/>
          <w:sz w:val="20"/>
        </w:rPr>
      </w:pPr>
      <w:r>
        <w:rPr>
          <w:rFonts w:ascii="Arial" w:hAnsi="Arial"/>
          <w:sz w:val="20"/>
        </w:rPr>
        <w:t xml:space="preserve">We have filed with the SEC a registration statement on Form S-3 under the Securities Act, of which this prospectus supplement forms a part. The rules and regulations of the SEC allow us to omit from this prospectus supplement and the accompanying prospectus certain information included in the registration statement. For further information about us and the securities we are offering under this prospectus supplement, you should refer to the registration statement and the exhibits and schedules filed with the registration statement. With respect to the statements contained in this prospectus supplement and the accompanying prospectus regarding the contents of any agreement or any other document, in each instance, the statement is qualified in all respects by the complete text of the agreement or document, a copy of which has been filed as an exhibit to the registration statement. </w:t>
      </w:r>
    </w:p>
    <w:p>
      <w:pPr>
        <w:pStyle w:val="TextBody"/>
        <w:bidi w:val="0"/>
        <w:spacing w:before="160" w:after="0"/>
        <w:jc w:val="left"/>
        <w:rPr>
          <w:rFonts w:ascii="Arial" w:hAnsi="Arial"/>
          <w:sz w:val="20"/>
        </w:rPr>
      </w:pPr>
      <w:r>
        <w:rPr>
          <w:rFonts w:ascii="Arial" w:hAnsi="Arial"/>
          <w:sz w:val="20"/>
        </w:rPr>
        <w:t xml:space="preserve">We file reports, proxy statements and other information with the SEC. The SEC maintains a website that contains reports, proxy and information statements and other information about issuers, such as us, who file electronically with the SEC. The address of that website is http://www.sec.gov. </w:t>
      </w:r>
    </w:p>
    <w:p>
      <w:pPr>
        <w:pStyle w:val="TextBody"/>
        <w:bidi w:val="0"/>
        <w:spacing w:before="160" w:after="0"/>
        <w:jc w:val="left"/>
        <w:rPr>
          <w:rFonts w:ascii="Arial" w:hAnsi="Arial"/>
          <w:sz w:val="20"/>
        </w:rPr>
      </w:pPr>
      <w:r>
        <w:rPr>
          <w:rFonts w:ascii="Arial" w:hAnsi="Arial"/>
          <w:sz w:val="20"/>
        </w:rPr>
        <w:t xml:space="preserve">Our website address is www.erasca.com. The information on, or accessible through, our website is not part of, and is not incorporated into, this prospectus supplement or the accompanying prospectus and should not be considered part of this prospectus supplement or the accompanying prospectus. </w:t>
      </w:r>
    </w:p>
    <w:p>
      <w:pPr>
        <w:pStyle w:val="TextBody"/>
        <w:bidi w:val="0"/>
        <w:spacing w:before="320" w:after="0"/>
        <w:jc w:val="left"/>
        <w:rPr>
          <w:rFonts w:ascii="Arial" w:hAnsi="Arial"/>
          <w:b/>
          <w:sz w:val="24"/>
        </w:rPr>
      </w:pPr>
      <w:r>
        <w:rPr>
          <w:rFonts w:ascii="Arial" w:hAnsi="Arial"/>
          <w:b/>
          <w:sz w:val="24"/>
        </w:rPr>
        <w:t xml:space="preserve">Incorporation by reference </w:t>
      </w:r>
    </w:p>
    <w:p>
      <w:pPr>
        <w:pStyle w:val="TextBody"/>
        <w:bidi w:val="0"/>
        <w:spacing w:before="160" w:after="0"/>
        <w:jc w:val="left"/>
        <w:rPr>
          <w:rFonts w:ascii="Arial" w:hAnsi="Arial"/>
          <w:sz w:val="20"/>
        </w:rPr>
      </w:pPr>
      <w:r>
        <w:rPr>
          <w:rFonts w:ascii="Arial" w:hAnsi="Arial"/>
          <w:sz w:val="20"/>
        </w:rPr>
        <w:t xml:space="preserve">The SEC’s rules allow us to “incorporate by reference” information into this prospectus supplement, which means that we can disclose important information to you by referring you to another document filed separately with the SEC. The information incorporated by reference is deemed to be part of this prospectus supplement and the accompanying prospectus, and subsequent information that we file with the SEC will automatically update and supersede that information. Any statement contained in this prospectus supplement or a previously filed document incorporated by reference will be deemed to be modified or superseded for purposes of this prospectus supplement and the accompanying prospectus to the extent that a statement contained in this prospectus supplement, the accompanying prospectus, or a subsequently filed document incorporated by reference modifies or replaces that statement. </w:t>
      </w:r>
    </w:p>
    <w:p>
      <w:pPr>
        <w:pStyle w:val="TextBody"/>
        <w:bidi w:val="0"/>
        <w:spacing w:before="160" w:after="0"/>
        <w:jc w:val="left"/>
        <w:rPr>
          <w:rFonts w:ascii="Arial" w:hAnsi="Arial"/>
          <w:sz w:val="20"/>
        </w:rPr>
      </w:pPr>
      <w:r>
        <w:rPr>
          <w:rFonts w:ascii="Arial" w:hAnsi="Arial"/>
          <w:sz w:val="20"/>
        </w:rPr>
        <w:t xml:space="preserve">This prospectus supplement and the accompanying prospectus incorporate by reference the documents set forth below that have previously been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pPr>
            <w:r>
              <w:rPr>
                <w:rFonts w:ascii="Arial" w:hAnsi="Arial"/>
                <w:sz w:val="20"/>
              </w:rPr>
              <w:t xml:space="preserve">our Annual Report on </w:t>
            </w:r>
            <w:hyperlink r:id="rId3">
              <w:r>
                <w:rPr>
                  <w:rStyle w:val="InternetLink"/>
                  <w:rFonts w:ascii="Arial" w:hAnsi="Arial"/>
                  <w:sz w:val="20"/>
                </w:rPr>
                <w:t>Form 10-K</w:t>
              </w:r>
            </w:hyperlink>
            <w:r>
              <w:rPr>
                <w:rFonts w:ascii="Arial" w:hAnsi="Arial"/>
                <w:sz w:val="20"/>
              </w:rPr>
              <w:t xml:space="preserve"> for the year ended December 31, 2025, filed with the SEC on March 12,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pPr>
            <w:r>
              <w:rPr>
                <w:rFonts w:ascii="Arial" w:hAnsi="Arial"/>
                <w:sz w:val="20"/>
              </w:rPr>
              <w:t xml:space="preserve">the information specifically incorporated by reference into our Annual Report on Form 10-K from our Definitive Proxy Statement on </w:t>
            </w:r>
            <w:hyperlink r:id="rId4">
              <w:r>
                <w:rPr>
                  <w:rStyle w:val="InternetLink"/>
                  <w:rFonts w:ascii="Arial" w:hAnsi="Arial"/>
                  <w:sz w:val="20"/>
                </w:rPr>
                <w:t>Schedule 14A</w:t>
              </w:r>
            </w:hyperlink>
            <w:r>
              <w:rPr>
                <w:rFonts w:ascii="Arial" w:hAnsi="Arial"/>
                <w:sz w:val="20"/>
              </w:rPr>
              <w:t xml:space="preserve">, filed with the SEC on April 28,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pPr>
            <w:r>
              <w:rPr>
                <w:rFonts w:ascii="Arial" w:hAnsi="Arial"/>
                <w:sz w:val="20"/>
              </w:rPr>
              <w:t xml:space="preserve">our Quarterly Report on </w:t>
            </w:r>
            <w:hyperlink r:id="rId5">
              <w:r>
                <w:rPr>
                  <w:rStyle w:val="InternetLink"/>
                  <w:rFonts w:ascii="Arial" w:hAnsi="Arial"/>
                  <w:sz w:val="20"/>
                </w:rPr>
                <w:t>Form 10-Q</w:t>
              </w:r>
            </w:hyperlink>
            <w:r>
              <w:rPr>
                <w:rFonts w:ascii="Arial" w:hAnsi="Arial"/>
                <w:sz w:val="20"/>
              </w:rPr>
              <w:t xml:space="preserve"> for the quarter ended March 31, 2026, filed with the SEC on May 11,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pPr>
            <w:r>
              <w:rPr>
                <w:rFonts w:ascii="Arial" w:hAnsi="Arial"/>
                <w:sz w:val="20"/>
              </w:rPr>
              <w:t xml:space="preserve">our Current Reports on Form 8-K, filed with the SEC on </w:t>
            </w:r>
            <w:hyperlink r:id="rId6">
              <w:r>
                <w:rPr>
                  <w:rStyle w:val="InternetLink"/>
                  <w:rFonts w:ascii="Arial" w:hAnsi="Arial"/>
                  <w:sz w:val="20"/>
                </w:rPr>
                <w:t>January 12, 2026</w:t>
              </w:r>
            </w:hyperlink>
            <w:r>
              <w:rPr>
                <w:rFonts w:ascii="Arial" w:hAnsi="Arial"/>
                <w:sz w:val="20"/>
              </w:rPr>
              <w:t xml:space="preserve">, </w:t>
            </w:r>
            <w:hyperlink r:id="rId7">
              <w:r>
                <w:rPr>
                  <w:rStyle w:val="InternetLink"/>
                  <w:rFonts w:ascii="Arial" w:hAnsi="Arial"/>
                  <w:sz w:val="20"/>
                </w:rPr>
                <w:t>January  22, 2026</w:t>
              </w:r>
            </w:hyperlink>
            <w:r>
              <w:rPr>
                <w:rFonts w:ascii="Arial" w:hAnsi="Arial"/>
                <w:sz w:val="20"/>
              </w:rPr>
              <w:t xml:space="preserve">, </w:t>
            </w:r>
            <w:hyperlink r:id="rId8">
              <w:r>
                <w:rPr>
                  <w:rStyle w:val="InternetLink"/>
                  <w:rFonts w:ascii="Arial" w:hAnsi="Arial"/>
                  <w:sz w:val="20"/>
                </w:rPr>
                <w:t>January  29, 2026</w:t>
              </w:r>
            </w:hyperlink>
            <w:r>
              <w:rPr>
                <w:rFonts w:ascii="Arial" w:hAnsi="Arial"/>
                <w:sz w:val="20"/>
              </w:rPr>
              <w:t xml:space="preserve">, </w:t>
            </w:r>
            <w:hyperlink r:id="rId9">
              <w:r>
                <w:rPr>
                  <w:rStyle w:val="InternetLink"/>
                  <w:rFonts w:ascii="Arial" w:hAnsi="Arial"/>
                  <w:sz w:val="20"/>
                </w:rPr>
                <w:t>April  21, 2026</w:t>
              </w:r>
            </w:hyperlink>
            <w:r>
              <w:rPr>
                <w:rFonts w:ascii="Arial" w:hAnsi="Arial"/>
                <w:sz w:val="20"/>
              </w:rPr>
              <w:t xml:space="preserve">, </w:t>
            </w:r>
            <w:hyperlink r:id="rId10">
              <w:r>
                <w:rPr>
                  <w:rStyle w:val="InternetLink"/>
                  <w:rFonts w:ascii="Arial" w:hAnsi="Arial"/>
                  <w:sz w:val="20"/>
                </w:rPr>
                <w:t>April 27, 2026</w:t>
              </w:r>
            </w:hyperlink>
            <w:r>
              <w:rPr>
                <w:rFonts w:ascii="Arial" w:hAnsi="Arial"/>
                <w:sz w:val="20"/>
              </w:rPr>
              <w:t xml:space="preserve">, </w:t>
            </w:r>
            <w:hyperlink r:id="rId11">
              <w:r>
                <w:rPr>
                  <w:rStyle w:val="InternetLink"/>
                  <w:rFonts w:ascii="Arial" w:hAnsi="Arial"/>
                  <w:sz w:val="20"/>
                </w:rPr>
                <w:t>April 27, 2026</w:t>
              </w:r>
            </w:hyperlink>
            <w:r>
              <w:rPr>
                <w:rFonts w:ascii="Arial" w:hAnsi="Arial"/>
                <w:sz w:val="20"/>
              </w:rPr>
              <w:t xml:space="preserve">, </w:t>
            </w:r>
            <w:hyperlink r:id="rId12">
              <w:r>
                <w:rPr>
                  <w:rStyle w:val="InternetLink"/>
                  <w:rFonts w:ascii="Arial" w:hAnsi="Arial"/>
                  <w:sz w:val="20"/>
                </w:rPr>
                <w:t>July  1, 2026</w:t>
              </w:r>
            </w:hyperlink>
            <w:r>
              <w:rPr>
                <w:rFonts w:ascii="Arial" w:hAnsi="Arial"/>
                <w:sz w:val="20"/>
              </w:rPr>
              <w:t xml:space="preserve"> and </w:t>
            </w:r>
            <w:hyperlink r:id="rId13">
              <w:r>
                <w:rPr>
                  <w:rStyle w:val="InternetLink"/>
                  <w:rFonts w:ascii="Arial" w:hAnsi="Arial"/>
                  <w:sz w:val="20"/>
                </w:rPr>
                <w:t>July 13, 2026</w:t>
              </w:r>
            </w:hyperlink>
            <w:r>
              <w:rPr>
                <w:rFonts w:ascii="Arial" w:hAnsi="Arial"/>
                <w:sz w:val="20"/>
              </w:rPr>
              <w:t xml:space="preserve"> (in each case, to the extent information therein is filed and not furnished);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pPr>
            <w:r>
              <w:rPr>
                <w:rFonts w:ascii="Arial" w:hAnsi="Arial"/>
                <w:sz w:val="20"/>
              </w:rPr>
              <w:t xml:space="preserve">the description of our common stock contained in the registration statement on </w:t>
            </w:r>
            <w:hyperlink r:id="rId14">
              <w:r>
                <w:rPr>
                  <w:rStyle w:val="InternetLink"/>
                  <w:rFonts w:ascii="Arial" w:hAnsi="Arial"/>
                  <w:sz w:val="20"/>
                </w:rPr>
                <w:t>Form 8-A</w:t>
              </w:r>
            </w:hyperlink>
            <w:r>
              <w:rPr>
                <w:rFonts w:ascii="Arial" w:hAnsi="Arial"/>
                <w:sz w:val="20"/>
              </w:rPr>
              <w:t xml:space="preserve">, filed with the SEC on July 13, 2021, and any amendment or report filed with the SEC for the purpose of updating the description. </w:t>
            </w:r>
          </w:p>
        </w:tc>
      </w:tr>
    </w:tbl>
    <w:p>
      <w:pPr>
        <w:pStyle w:val="TextBody"/>
        <w:bidi w:val="0"/>
        <w:spacing w:before="160" w:after="0"/>
        <w:jc w:val="left"/>
        <w:rPr>
          <w:rFonts w:ascii="Arial" w:hAnsi="Arial"/>
          <w:sz w:val="20"/>
        </w:rPr>
      </w:pPr>
      <w:r>
        <w:rPr>
          <w:rFonts w:ascii="Arial" w:hAnsi="Arial"/>
          <w:sz w:val="20"/>
        </w:rPr>
        <w:t xml:space="preserve">All reports and other documents we subsequently file pursuant to Section 13(a), 13(c), 14 or 15(d) of the Exchange Act prior to the termination of this offering, excluding any information furnished to, rather than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filed with, the SEC, will also be incorporated by reference into this prospectus supplement and the accompanying prospectus and deemed to be part of this prospectus supplement and the accompanying prospectus from the date of the filing of such reports and documents. </w:t>
      </w:r>
    </w:p>
    <w:p>
      <w:pPr>
        <w:pStyle w:val="TextBody"/>
        <w:bidi w:val="0"/>
        <w:spacing w:before="160" w:after="0"/>
        <w:jc w:val="left"/>
        <w:rPr>
          <w:rFonts w:ascii="Arial" w:hAnsi="Arial"/>
          <w:sz w:val="20"/>
        </w:rPr>
      </w:pPr>
      <w:r>
        <w:rPr>
          <w:rFonts w:ascii="Arial" w:hAnsi="Arial"/>
          <w:sz w:val="20"/>
        </w:rPr>
        <w:t xml:space="preserve">You may request a free copy of any of the documents incorporated by reference in this prospectus supplement and the accompanying prospectus (other than exhibits, unless they are specifically incorporated by reference in the documents) by writing or telephoning us at the following address: </w:t>
      </w:r>
    </w:p>
    <w:p>
      <w:pPr>
        <w:pStyle w:val="TextBody"/>
        <w:bidi w:val="0"/>
        <w:spacing w:before="160" w:after="0"/>
        <w:jc w:val="center"/>
        <w:rPr>
          <w:rFonts w:ascii="Arial" w:hAnsi="Arial"/>
          <w:sz w:val="20"/>
        </w:rPr>
      </w:pPr>
      <w:r>
        <w:rPr>
          <w:rFonts w:ascii="Arial" w:hAnsi="Arial"/>
          <w:sz w:val="20"/>
        </w:rPr>
        <w:t xml:space="preserve">Erasca, Inc. </w:t>
      </w:r>
    </w:p>
    <w:p>
      <w:pPr>
        <w:pStyle w:val="TextBody"/>
        <w:bidi w:val="0"/>
        <w:spacing w:before="0" w:after="0"/>
        <w:jc w:val="center"/>
        <w:rPr>
          <w:rFonts w:ascii="Arial" w:hAnsi="Arial"/>
          <w:sz w:val="20"/>
        </w:rPr>
      </w:pPr>
      <w:r>
        <w:rPr>
          <w:rFonts w:ascii="Arial" w:hAnsi="Arial"/>
          <w:sz w:val="20"/>
        </w:rPr>
        <w:t xml:space="preserve">Attention: Corporate Secretary </w:t>
      </w:r>
    </w:p>
    <w:p>
      <w:pPr>
        <w:pStyle w:val="TextBody"/>
        <w:bidi w:val="0"/>
        <w:spacing w:before="0" w:after="0"/>
        <w:jc w:val="center"/>
        <w:rPr>
          <w:rFonts w:ascii="Arial" w:hAnsi="Arial"/>
          <w:sz w:val="20"/>
        </w:rPr>
      </w:pPr>
      <w:r>
        <w:rPr>
          <w:rFonts w:ascii="Arial" w:hAnsi="Arial"/>
          <w:sz w:val="20"/>
        </w:rPr>
        <w:t xml:space="preserve">3115 Merryfield Row, Suite 300 </w:t>
      </w:r>
    </w:p>
    <w:p>
      <w:pPr>
        <w:pStyle w:val="TextBody"/>
        <w:bidi w:val="0"/>
        <w:spacing w:before="0" w:after="0"/>
        <w:jc w:val="center"/>
        <w:rPr>
          <w:rFonts w:ascii="Arial" w:hAnsi="Arial"/>
          <w:sz w:val="20"/>
        </w:rPr>
      </w:pPr>
      <w:r>
        <w:rPr>
          <w:rFonts w:ascii="Arial" w:hAnsi="Arial"/>
          <w:sz w:val="20"/>
        </w:rPr>
        <w:t xml:space="preserve">San Diego, California 92121 </w:t>
      </w:r>
    </w:p>
    <w:p>
      <w:pPr>
        <w:pStyle w:val="TextBody"/>
        <w:bidi w:val="0"/>
        <w:spacing w:before="0" w:after="0"/>
        <w:jc w:val="center"/>
        <w:rPr>
          <w:rFonts w:ascii="Arial" w:hAnsi="Arial"/>
          <w:sz w:val="20"/>
        </w:rPr>
      </w:pPr>
      <w:r>
        <w:rPr>
          <w:rFonts w:ascii="Arial" w:hAnsi="Arial"/>
          <w:sz w:val="20"/>
        </w:rPr>
        <w:t xml:space="preserve">(858) 465-6511 </w:t>
      </w:r>
    </w:p>
    <w:p>
      <w:pPr>
        <w:pStyle w:val="TextBody"/>
        <w:bidi w:val="0"/>
        <w:spacing w:before="160" w:after="0"/>
        <w:jc w:val="left"/>
        <w:rPr>
          <w:rFonts w:ascii="Arial" w:hAnsi="Arial"/>
          <w:sz w:val="20"/>
        </w:rPr>
      </w:pPr>
      <w:r>
        <w:rPr>
          <w:rFonts w:ascii="Arial" w:hAnsi="Arial"/>
          <w:sz w:val="20"/>
        </w:rPr>
        <w:t xml:space="preserve">Exhibits to the filings will not be sent, however, unless those exhibits have specifically been incorporated by reference in this prospectus supplement or the accompanying prospectus.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2328545" cy="39306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5"/>
                    <a:stretch>
                      <a:fillRect/>
                    </a:stretch>
                  </pic:blipFill>
                  <pic:spPr bwMode="auto">
                    <a:xfrm>
                      <a:off x="0" y="0"/>
                      <a:ext cx="2328545" cy="39306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the securities identified above from time to time in one or more offerings. This prospectus provides you with a general description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together with the documents we incorporate by reference, before you invest in any of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SECURITIES INVOLVES RISKS. SEE THE “</w:t>
      </w:r>
      <w:hyperlink w:anchor="txa133579_4">
        <w:r>
          <w:rPr>
            <w:rStyle w:val="InternetLink"/>
            <w:rFonts w:ascii="Times New Roman" w:hAnsi="Times New Roman"/>
            <w:b/>
            <w:sz w:val="24"/>
          </w:rPr>
          <w:t>RISK FACTORS</w:t>
        </w:r>
      </w:hyperlink>
      <w:r>
        <w:rPr>
          <w:rFonts w:ascii="Times New Roman" w:hAnsi="Times New Roman"/>
          <w:b/>
          <w:sz w:val="24"/>
        </w:rPr>
        <w:t xml:space="preserve">” ON PAGE 5 OF THIS PROSPECTUS AND ANY SIMILAR SECTION CONTAINED IN THE APPLICABLE PROSPECTUS SUPPLEMENT CONCERNING FACTORS YOU SHOULD CONSIDER BEFORE INVESTING IN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Select Market under the symbol “ERAS.” On July 10, 2026, the last reported sale price of our common stock on the Nasdaq Global Select Market was $18.53 per share.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July 13,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oc1"/>
      <w:bookmarkEnd w:id="14"/>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xa133579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a133579_2">
              <w:r>
                <w:rPr>
                  <w:rStyle w:val="InternetLink"/>
                  <w:rFonts w:ascii="Times New Roman" w:hAnsi="Times New Roman"/>
                  <w:sz w:val="20"/>
                </w:rPr>
                <w:t>WHERE YOU CAN FIND MORE INFORMATION; INCORPORATION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a133579_3">
              <w:r>
                <w:rPr>
                  <w:rStyle w:val="InternetLink"/>
                  <w:rFonts w:ascii="Times New Roman" w:hAnsi="Times New Roman"/>
                  <w:sz w:val="20"/>
                </w:rPr>
                <w:t>THE COMPANY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a133579_4">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a133579_5">
              <w:r>
                <w:rPr>
                  <w:rStyle w:val="InternetLink"/>
                  <w:rFonts w:ascii="Times New Roman" w:hAnsi="Times New Roman"/>
                  <w:sz w:val="20"/>
                </w:rPr>
                <w:t>CAUTIONARY NOTE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a133579_6">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a133579_7">
              <w:r>
                <w:rPr>
                  <w:rStyle w:val="InternetLink"/>
                  <w:rFonts w:ascii="Times New Roman" w:hAnsi="Times New Roman"/>
                  <w:sz w:val="20"/>
                </w:rPr>
                <w:t>DESCRIPTION OF CAPITAL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a133579_8">
              <w:r>
                <w:rPr>
                  <w:rStyle w:val="InternetLink"/>
                  <w:rFonts w:ascii="Times New Roman" w:hAnsi="Times New Roman"/>
                  <w:sz w:val="20"/>
                </w:rPr>
                <w:t>DESCRIPTION OF DEBT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a133579_9">
              <w:r>
                <w:rPr>
                  <w:rStyle w:val="InternetLink"/>
                  <w:rFonts w:ascii="Times New Roman" w:hAnsi="Times New Roman"/>
                  <w:sz w:val="20"/>
                </w:rPr>
                <w:t>DESCRIPTION OF OTHER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a133579_10">
              <w:r>
                <w:rPr>
                  <w:rStyle w:val="InternetLink"/>
                  <w:rFonts w:ascii="Times New Roman" w:hAnsi="Times New Roman"/>
                  <w:sz w:val="20"/>
                </w:rPr>
                <w:t>GLOBAL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a133579_11">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a133579_12">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a133579_13">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xa133579_1"/>
      <w:bookmarkEnd w:id="15"/>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U.S. Securities and Exchange Commission (the SEC), as a “well-known seasoned issuer” as defined in Rule 405 under the Securities Act of 1933, as amended (the Securities Act), using a “shelf” registration process. By using a shelf registration statement, we may sell securities from time to time and in one or more offerings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supplements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 </w:t>
      </w:r>
    </w:p>
    <w:p>
      <w:pPr>
        <w:pStyle w:val="TextBody"/>
        <w:bidi w:val="0"/>
        <w:spacing w:before="240" w:after="0"/>
        <w:jc w:val="left"/>
        <w:rPr>
          <w:rFonts w:ascii="Times New Roman" w:hAnsi="Times New Roman"/>
          <w:sz w:val="20"/>
        </w:rPr>
      </w:pPr>
      <w:r>
        <w:rPr>
          <w:rFonts w:ascii="Times New Roman" w:hAnsi="Times New Roman"/>
          <w:sz w:val="20"/>
        </w:rPr>
        <w:t xml:space="preserve">When we refer to “Erasca,” “we,” “our,” “us” and the “Company” in this prospectus, we mean Erasca, Inc. and its subsidiaries, unless otherwise specified. When we refer to “you,” we mean the potential holders of the applicable series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We use our trademarks in this prospectus as well as trademarks, tradenames and service marks that are the property of other organizations. Solely for convenience, trademarks and tradenames referred to in this prospectus appear without the ® and  symbols, but those references are not intended to indicate, in any way, that we will not assert, to the fullest extent under applicable law, our rights or that the applicable owner will not assert its rights, to these trademarks and tradenames.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xa133579_2"/>
      <w:bookmarkEnd w:id="16"/>
      <w:r>
        <w:rPr>
          <w:rFonts w:ascii="Times New Roman" w:hAnsi="Times New Roman"/>
          <w:b/>
          <w:sz w:val="20"/>
        </w:rPr>
        <w:t xml:space="preserve">WHERE YOU CAN FIND MORE INFORMATION; INCORPORATION BY REFERENCE </w:t>
      </w:r>
    </w:p>
    <w:p>
      <w:pPr>
        <w:pStyle w:val="TextBody"/>
        <w:bidi w:val="0"/>
        <w:spacing w:before="240" w:after="0"/>
        <w:jc w:val="left"/>
        <w:rPr>
          <w:rFonts w:ascii="Times New Roman" w:hAnsi="Times New Roman"/>
          <w:b/>
          <w:sz w:val="20"/>
        </w:rPr>
      </w:pPr>
      <w:r>
        <w:rPr>
          <w:rFonts w:ascii="Times New Roman" w:hAnsi="Times New Roman"/>
          <w:b/>
          <w:sz w:val="20"/>
        </w:rPr>
        <w:t xml:space="preserve">Available Information </w:t>
      </w:r>
    </w:p>
    <w:p>
      <w:pPr>
        <w:pStyle w:val="TextBody"/>
        <w:bidi w:val="0"/>
        <w:spacing w:before="120" w:after="0"/>
        <w:jc w:val="left"/>
        <w:rPr>
          <w:rFonts w:ascii="Times New Roman" w:hAnsi="Times New Roman"/>
          <w:sz w:val="20"/>
        </w:rPr>
      </w:pPr>
      <w:r>
        <w:rPr>
          <w:rFonts w:ascii="Times New Roman" w:hAnsi="Times New Roman"/>
          <w:sz w:val="20"/>
        </w:rPr>
        <w:t xml:space="preserve">We file reports, proxy statements and other information with the SEC. The SEC maintains a website that contains reports, proxy and information statements and other information about issuers, including us, who file electronically with the SEC. The address of that website is http://www.sec.gov. </w:t>
      </w:r>
    </w:p>
    <w:p>
      <w:pPr>
        <w:pStyle w:val="TextBody"/>
        <w:bidi w:val="0"/>
        <w:spacing w:before="240" w:after="0"/>
        <w:jc w:val="left"/>
        <w:rPr>
          <w:rFonts w:ascii="Times New Roman" w:hAnsi="Times New Roman"/>
          <w:sz w:val="20"/>
        </w:rPr>
      </w:pPr>
      <w:r>
        <w:rPr>
          <w:rFonts w:ascii="Times New Roman" w:hAnsi="Times New Roman"/>
          <w:sz w:val="20"/>
        </w:rPr>
        <w:t xml:space="preserve">Our website address is www.erasca.com. The information on, or accessible through, our website, however, is not, and should not be deemed to be,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 </w:t>
      </w:r>
    </w:p>
    <w:p>
      <w:pPr>
        <w:pStyle w:val="TextBody"/>
        <w:bidi w:val="0"/>
        <w:spacing w:before="360" w:after="0"/>
        <w:jc w:val="left"/>
        <w:rPr>
          <w:rFonts w:ascii="Times New Roman" w:hAnsi="Times New Roman"/>
          <w:b/>
          <w:sz w:val="20"/>
        </w:rPr>
      </w:pPr>
      <w:r>
        <w:rPr>
          <w:rFonts w:ascii="Times New Roman" w:hAnsi="Times New Roman"/>
          <w:b/>
          <w:sz w:val="20"/>
        </w:rPr>
        <w:t xml:space="preserve">Incorporation by Reference </w:t>
      </w:r>
    </w:p>
    <w:p>
      <w:pPr>
        <w:pStyle w:val="TextBody"/>
        <w:bidi w:val="0"/>
        <w:spacing w:before="120" w:after="0"/>
        <w:jc w:val="left"/>
        <w:rPr>
          <w:rFonts w:ascii="Times New Roman" w:hAnsi="Times New Roman"/>
          <w:sz w:val="20"/>
        </w:rPr>
      </w:pPr>
      <w:r>
        <w:rPr>
          <w:rFonts w:ascii="Times New Roman" w:hAnsi="Times New Roman"/>
          <w:sz w:val="20"/>
        </w:rPr>
        <w:t xml:space="preserve">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accompanying prospectus supplement incorporate by reference the documents set forth below that have previously been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16">
              <w:r>
                <w:rPr>
                  <w:rStyle w:val="InternetLink"/>
                  <w:rFonts w:ascii="Times New Roman" w:hAnsi="Times New Roman"/>
                  <w:sz w:val="20"/>
                </w:rPr>
                <w:t>Form 10-K</w:t>
              </w:r>
            </w:hyperlink>
            <w:r>
              <w:rPr>
                <w:rFonts w:ascii="Times New Roman" w:hAnsi="Times New Roman"/>
                <w:sz w:val="20"/>
              </w:rPr>
              <w:t xml:space="preserve"> for the year ended December 31, 2025, filed with the SEC on March 12,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Form 10-K from our </w:t>
            </w:r>
            <w:hyperlink r:id="rId17">
              <w:r>
                <w:rPr>
                  <w:rStyle w:val="InternetLink"/>
                  <w:rFonts w:ascii="Times New Roman" w:hAnsi="Times New Roman"/>
                  <w:sz w:val="20"/>
                </w:rPr>
                <w:t>Definitive Proxy Statement</w:t>
              </w:r>
            </w:hyperlink>
            <w:r>
              <w:rPr>
                <w:rFonts w:ascii="Times New Roman" w:hAnsi="Times New Roman"/>
                <w:sz w:val="20"/>
              </w:rPr>
              <w:t xml:space="preserve"> on </w:t>
            </w:r>
            <w:hyperlink r:id="rId18">
              <w:r>
                <w:rPr>
                  <w:rStyle w:val="InternetLink"/>
                  <w:rFonts w:ascii="Times New Roman" w:hAnsi="Times New Roman"/>
                  <w:sz w:val="20"/>
                </w:rPr>
                <w:t>Schedule 14A</w:t>
              </w:r>
            </w:hyperlink>
            <w:r>
              <w:rPr>
                <w:rFonts w:ascii="Times New Roman" w:hAnsi="Times New Roman"/>
                <w:sz w:val="20"/>
              </w:rPr>
              <w:t xml:space="preserve">, filed with the SEC on April 28,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w:t>
            </w:r>
            <w:hyperlink r:id="rId19">
              <w:r>
                <w:rPr>
                  <w:rStyle w:val="InternetLink"/>
                  <w:rFonts w:ascii="Times New Roman" w:hAnsi="Times New Roman"/>
                  <w:sz w:val="20"/>
                </w:rPr>
                <w:t>Form 10-Q</w:t>
              </w:r>
            </w:hyperlink>
            <w:r>
              <w:rPr>
                <w:rFonts w:ascii="Times New Roman" w:hAnsi="Times New Roman"/>
                <w:sz w:val="20"/>
              </w:rPr>
              <w:t xml:space="preserve"> for the quarter ended March 31, 2026, filed with the SEC on May 11,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20">
              <w:r>
                <w:rPr>
                  <w:rStyle w:val="InternetLink"/>
                  <w:rFonts w:ascii="Times New Roman" w:hAnsi="Times New Roman"/>
                  <w:sz w:val="20"/>
                </w:rPr>
                <w:t>January 12, 2026</w:t>
              </w:r>
            </w:hyperlink>
            <w:r>
              <w:rPr>
                <w:rFonts w:ascii="Times New Roman" w:hAnsi="Times New Roman"/>
                <w:sz w:val="20"/>
              </w:rPr>
              <w:t xml:space="preserve">, </w:t>
            </w:r>
            <w:hyperlink r:id="rId21">
              <w:r>
                <w:rPr>
                  <w:rStyle w:val="InternetLink"/>
                  <w:rFonts w:ascii="Times New Roman" w:hAnsi="Times New Roman"/>
                  <w:sz w:val="20"/>
                </w:rPr>
                <w:t>January  22, 2026</w:t>
              </w:r>
            </w:hyperlink>
            <w:r>
              <w:rPr>
                <w:rFonts w:ascii="Times New Roman" w:hAnsi="Times New Roman"/>
                <w:sz w:val="20"/>
              </w:rPr>
              <w:t xml:space="preserve">, </w:t>
            </w:r>
            <w:hyperlink r:id="rId22">
              <w:r>
                <w:rPr>
                  <w:rStyle w:val="InternetLink"/>
                  <w:rFonts w:ascii="Times New Roman" w:hAnsi="Times New Roman"/>
                  <w:sz w:val="20"/>
                </w:rPr>
                <w:t>January  29, 2026,</w:t>
              </w:r>
            </w:hyperlink>
            <w:r>
              <w:rPr>
                <w:rFonts w:ascii="Times New Roman" w:hAnsi="Times New Roman"/>
                <w:sz w:val="20"/>
              </w:rPr>
              <w:t xml:space="preserve"> </w:t>
            </w:r>
            <w:hyperlink r:id="rId23">
              <w:r>
                <w:rPr>
                  <w:rStyle w:val="InternetLink"/>
                  <w:rFonts w:ascii="Times New Roman" w:hAnsi="Times New Roman"/>
                  <w:sz w:val="20"/>
                </w:rPr>
                <w:t>April  21, 2026</w:t>
              </w:r>
            </w:hyperlink>
            <w:r>
              <w:rPr>
                <w:rFonts w:ascii="Times New Roman" w:hAnsi="Times New Roman"/>
                <w:sz w:val="20"/>
              </w:rPr>
              <w:t xml:space="preserve">, </w:t>
            </w:r>
            <w:hyperlink r:id="rId24">
              <w:r>
                <w:rPr>
                  <w:rStyle w:val="InternetLink"/>
                  <w:rFonts w:ascii="Times New Roman" w:hAnsi="Times New Roman"/>
                  <w:sz w:val="20"/>
                </w:rPr>
                <w:t>April  27, 2026</w:t>
              </w:r>
            </w:hyperlink>
            <w:r>
              <w:rPr>
                <w:rFonts w:ascii="Times New Roman" w:hAnsi="Times New Roman"/>
                <w:sz w:val="20"/>
              </w:rPr>
              <w:t xml:space="preserve">, </w:t>
            </w:r>
            <w:hyperlink r:id="rId25">
              <w:r>
                <w:rPr>
                  <w:rStyle w:val="InternetLink"/>
                  <w:rFonts w:ascii="Times New Roman" w:hAnsi="Times New Roman"/>
                  <w:sz w:val="20"/>
                </w:rPr>
                <w:t>April 27, 2026</w:t>
              </w:r>
            </w:hyperlink>
            <w:r>
              <w:rPr>
                <w:rFonts w:ascii="Times New Roman" w:hAnsi="Times New Roman"/>
                <w:sz w:val="20"/>
              </w:rPr>
              <w:t xml:space="preserve"> and </w:t>
            </w:r>
            <w:hyperlink r:id="rId26">
              <w:r>
                <w:rPr>
                  <w:rStyle w:val="InternetLink"/>
                  <w:rFonts w:ascii="Times New Roman" w:hAnsi="Times New Roman"/>
                  <w:sz w:val="20"/>
                </w:rPr>
                <w:t>July 1,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27">
              <w:r>
                <w:rPr>
                  <w:rStyle w:val="InternetLink"/>
                  <w:rFonts w:ascii="Times New Roman" w:hAnsi="Times New Roman"/>
                  <w:sz w:val="20"/>
                </w:rPr>
                <w:t>Form 8-A</w:t>
              </w:r>
            </w:hyperlink>
            <w:r>
              <w:rPr>
                <w:rFonts w:ascii="Times New Roman" w:hAnsi="Times New Roman"/>
                <w:sz w:val="20"/>
              </w:rPr>
              <w:t xml:space="preserve">, filed with the SEC on July 13, 2021, and any amendment or report filed with the SEC for the purpose of updating the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reports and other documents we subsequently file pursuant to Section 13(a), 13(c), 14 or 15(d) of the Securities Exchange Act of 1934, as amended (the Exchange Act) prior to the termination of this offering, but excluding any information furnished to, rather than filed with, the SEC, will also be incorporated by reference into this prospectus and deemed to be part of this prospectus from the date of the filing of such reports and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 may request a free copy of any of the documents incorporated by reference in this prospectus (other than exhibits, unless they are specifically incorporated by reference in the documents) by writing or telephoning us at the following address: </w:t>
      </w:r>
    </w:p>
    <w:p>
      <w:pPr>
        <w:pStyle w:val="TextBody"/>
        <w:bidi w:val="0"/>
        <w:spacing w:before="120" w:after="0"/>
        <w:jc w:val="center"/>
        <w:rPr>
          <w:rFonts w:ascii="Times New Roman" w:hAnsi="Times New Roman"/>
          <w:sz w:val="20"/>
        </w:rPr>
      </w:pPr>
      <w:r>
        <w:rPr>
          <w:rFonts w:ascii="Times New Roman" w:hAnsi="Times New Roman"/>
          <w:sz w:val="20"/>
        </w:rPr>
        <w:t xml:space="preserve">Erasca, Inc. </w:t>
      </w:r>
    </w:p>
    <w:p>
      <w:pPr>
        <w:pStyle w:val="TextBody"/>
        <w:bidi w:val="0"/>
        <w:spacing w:before="0" w:after="0"/>
        <w:jc w:val="center"/>
        <w:rPr>
          <w:rFonts w:ascii="Times New Roman" w:hAnsi="Times New Roman"/>
          <w:sz w:val="20"/>
        </w:rPr>
      </w:pPr>
      <w:r>
        <w:rPr>
          <w:rFonts w:ascii="Times New Roman" w:hAnsi="Times New Roman"/>
          <w:sz w:val="20"/>
        </w:rPr>
        <w:t xml:space="preserve">Attention: Corporate Secretary </w:t>
      </w:r>
    </w:p>
    <w:p>
      <w:pPr>
        <w:pStyle w:val="TextBody"/>
        <w:bidi w:val="0"/>
        <w:spacing w:before="0" w:after="0"/>
        <w:jc w:val="center"/>
        <w:rPr>
          <w:rFonts w:ascii="Times New Roman" w:hAnsi="Times New Roman"/>
          <w:sz w:val="20"/>
        </w:rPr>
      </w:pPr>
      <w:r>
        <w:rPr>
          <w:rFonts w:ascii="Times New Roman" w:hAnsi="Times New Roman"/>
          <w:sz w:val="20"/>
        </w:rPr>
        <w:t xml:space="preserve">3115 Merryfield Row, Suite 300 </w:t>
      </w:r>
    </w:p>
    <w:p>
      <w:pPr>
        <w:pStyle w:val="TextBody"/>
        <w:bidi w:val="0"/>
        <w:spacing w:before="0" w:after="0"/>
        <w:jc w:val="center"/>
        <w:rPr>
          <w:rFonts w:ascii="Times New Roman" w:hAnsi="Times New Roman"/>
          <w:sz w:val="20"/>
        </w:rPr>
      </w:pPr>
      <w:r>
        <w:rPr>
          <w:rFonts w:ascii="Times New Roman" w:hAnsi="Times New Roman"/>
          <w:sz w:val="20"/>
        </w:rPr>
        <w:t xml:space="preserve">San Diego, California 92121 </w:t>
      </w:r>
    </w:p>
    <w:p>
      <w:pPr>
        <w:pStyle w:val="TextBody"/>
        <w:bidi w:val="0"/>
        <w:spacing w:before="0" w:after="0"/>
        <w:jc w:val="center"/>
        <w:rPr>
          <w:rFonts w:ascii="Times New Roman" w:hAnsi="Times New Roman"/>
          <w:sz w:val="20"/>
        </w:rPr>
      </w:pPr>
      <w:r>
        <w:rPr>
          <w:rFonts w:ascii="Times New Roman" w:hAnsi="Times New Roman"/>
          <w:sz w:val="20"/>
        </w:rPr>
        <w:t xml:space="preserve">(858) 465-6511 </w:t>
      </w:r>
    </w:p>
    <w:p>
      <w:pPr>
        <w:pStyle w:val="TextBody"/>
        <w:bidi w:val="0"/>
        <w:spacing w:before="240" w:after="0"/>
        <w:jc w:val="left"/>
        <w:rPr>
          <w:rFonts w:ascii="Times New Roman" w:hAnsi="Times New Roman"/>
          <w:sz w:val="20"/>
        </w:rPr>
      </w:pPr>
      <w:r>
        <w:rPr>
          <w:rFonts w:ascii="Times New Roman" w:hAnsi="Times New Roman"/>
          <w:sz w:val="20"/>
        </w:rPr>
        <w:t xml:space="preserve">Exhibits to the filings will not be sent, however, unless those exhibits have specifically been incorporated by reference in this prospectus or any accompanying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xa133579_3"/>
      <w:bookmarkEnd w:id="17"/>
      <w:r>
        <w:rPr>
          <w:rFonts w:ascii="Times New Roman" w:hAnsi="Times New Roman"/>
          <w:b/>
          <w:sz w:val="20"/>
        </w:rPr>
        <w:t xml:space="preserve">THE COMPANY </w:t>
      </w:r>
    </w:p>
    <w:p>
      <w:pPr>
        <w:pStyle w:val="TextBody"/>
        <w:bidi w:val="0"/>
        <w:spacing w:before="240" w:after="0"/>
        <w:jc w:val="left"/>
        <w:rPr>
          <w:rFonts w:ascii="Times New Roman" w:hAnsi="Times New Roman"/>
          <w:sz w:val="20"/>
        </w:rPr>
      </w:pPr>
      <w:r>
        <w:rPr>
          <w:rFonts w:ascii="Times New Roman" w:hAnsi="Times New Roman"/>
          <w:sz w:val="20"/>
        </w:rPr>
        <w:t xml:space="preserve">We are a clinical-stage precision oncology company singularly focused on discovering, developing, and commercializing therapies for patients with RAS/MAPK pathway-driven cancers. Molecular alterations in RAS, the most frequently mutated oncogene, and the MAPK pathway, one of the most frequently altered signaling pathways in cancer, account for more than five million new patients diagnosed with cancer globally each year. Our company was co-founded by leading pioneers in precision oncology and RAS targeting to create novel therapies and combination regimens designed to comprehensively shut down the RAS/MAPK pathway for the treatment of patients with cancer. Our focused RAS/MAPK pathway pipeline comprises modality-agnostic programs aligned with our three therapeutic strategies of: (1) targeting key upstream and downstream signaling nodes in the RAS/MAPK pathway; (2) targeting RAS directly; and (3) targeting escape routes that emerge in response to treatment. Our pipeline enables us to pursue a systematic, data-driven, portfolio-wide clinical development effort to identify therapeutic approaches with the goal of prolonging survival in numerous patient populations with high unmet medical needs. </w:t>
      </w:r>
    </w:p>
    <w:p>
      <w:pPr>
        <w:pStyle w:val="TextBody"/>
        <w:bidi w:val="0"/>
        <w:spacing w:before="240" w:after="0"/>
        <w:jc w:val="left"/>
        <w:rPr>
          <w:rFonts w:ascii="Times New Roman" w:hAnsi="Times New Roman"/>
          <w:sz w:val="20"/>
        </w:rPr>
      </w:pPr>
      <w:r>
        <w:rPr>
          <w:rFonts w:ascii="Times New Roman" w:hAnsi="Times New Roman"/>
          <w:sz w:val="20"/>
        </w:rPr>
        <w:t xml:space="preserve">Our modality-agnostic approach aims to allow us to selectively and potently target critical signaling nodes with the most appropriate modality, including small and large molecule therapeutics. Our purpose-built pipeline includes two clinical-stage programs (ERAS-0015, a pan-RAS molecular glue; and ERAS-4001, a pan-KRAS inhibitor), and ERAS-12, a discovery-stage program (an EGFR D2/D3 biparatopic antibody), for which we have identified a lead candidate. We believe our world-class team’s capabilities and experience, further guided by our scientific advisory board (SAB), which includes the world’s leading experts in the RAS/MAPK pathway, uniquely position us to achieve our bold mission of erasing cancer. </w:t>
      </w:r>
    </w:p>
    <w:p>
      <w:pPr>
        <w:pStyle w:val="TextBody"/>
        <w:bidi w:val="0"/>
        <w:spacing w:before="240" w:after="0"/>
        <w:jc w:val="left"/>
        <w:rPr>
          <w:rFonts w:ascii="Times New Roman" w:hAnsi="Times New Roman"/>
          <w:sz w:val="20"/>
        </w:rPr>
      </w:pPr>
      <w:r>
        <w:rPr>
          <w:rFonts w:ascii="Times New Roman" w:hAnsi="Times New Roman"/>
          <w:sz w:val="20"/>
        </w:rPr>
        <w:t xml:space="preserve">We were incorporated under the laws of the state of Delaware on July 2, 2018. Our principal executive offices are located at 3115 Merryfield Row, Suite 300, San Diego, California 92121, and our telephone number is (858) 465-6511.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xa133579_4"/>
      <w:bookmarkEnd w:id="18"/>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Investment in any securities offered pursuant to this prospectus and the applicable prospectus supplement involves risks. You should carefully consider the risk factors incorporated by reference to our most recent Annual Report on Form 10-K and any subsequent Quarterly Reports on Form 10-Q or Current Reports on Form 8-K we file after the date of this prospectus, and all other information contained in or incorporated by reference into this prospectus, as updated by our subsequent filings under the Exchange Act, and the risk factors and other information contained in the applicable prospectus supplement and any applicable free writing prospectus before acquiring any of such securities. The occurrence of any of these risks might cause you to lose all or part of your investment in the offered securities.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securities to decline, resulting in a loss of all or part of your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xa133579_5"/>
      <w:bookmarkEnd w:id="19"/>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documents incorporated by reference herein contain forward-looking statements within the meaning of Section 27A of the Securities Act, and Section 21E of the Exchange Act. All statements other than statements of historical facts contained in this prospectus and the documents incorporated by reference herein, including statements regarding our future results of operations and financial position, business strategy, research and development plans, the anticipated timing, costs, design and conduct of our ongoing and planned preclinical studies and clinical trials for our product candidates, the timing and likelihood of regulatory filings and approvals for our product candidates, our ability to commercialize our product candidates, if approved, the impact of global geopolitical and economic events and war on our business, the pricing and reimbursement of our product candidates, if approved, the potential to develop future product candidates, the potential benefits of current and future licenses, acquisitions and strategic arrangements with third parties, and our intent to enter into any future strategic arrangements, the timing and likelihood of success, plans and objectives of management for future operations, and future results of anticipated product development efforts,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This prospectus and the documents incorporated by reference herein also contain estimates and other statistical data made by independent parties and by us relating to market size and growth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 </w:t>
      </w:r>
    </w:p>
    <w:p>
      <w:pPr>
        <w:pStyle w:val="TextBody"/>
        <w:bidi w:val="0"/>
        <w:spacing w:before="240" w:after="0"/>
        <w:jc w:val="left"/>
        <w:rPr>
          <w:rFonts w:ascii="Times New Roman" w:hAnsi="Times New Roman"/>
          <w:sz w:val="20"/>
        </w:rPr>
      </w:pPr>
      <w:r>
        <w:rPr>
          <w:rFonts w:ascii="Times New Roman" w:hAnsi="Times New Roman"/>
          <w:sz w:val="20"/>
        </w:rPr>
        <w:t xml:space="preserve">In some cases, you can identify forward-looking statements by terms such as “may,” “will,” “would,” “could,” “should,” “expect,” “plan,” “anticipate,” “could,” “intend,” “target,” “project,” “contemplates,” “believes,” “estimates,” “predicts,” “potential” or “continue” or the negative of these terms or other similar expressions. The forward-looking statements in this prospectus and the documents incorporated by reference herein are only predictions. We have based these forward-looking statements largely on our current expectations and projections about future events and financial and other trends that we believe may affect our business, financial condition and results of operations. These forward-looking statements speak only as of the date of this prospectus and are subject to a number of known and unknown risks, uncertainties and assumptions, which we discuss in greater detail in the documents incorporated by reference herein, including under the heading “Risk Factors” and elsewhere in this prospectus. The events and circumstances reflected in our forward-looking statements may not be achieved or occur and actual results could differ materially from those expressed or implied by our forward-looking statements. Moreover, we operate in an evolving environment. New risk factors and uncertainties may emerge from time to time, and it is not possible for management to predict all risk factors and uncertainties. Given these risks and uncertainties, you should not place undue reliance on any forward-looking statement. Except as required by applicable law, we do not plan to publicly update or revise any forward-looking statements contained in this prospectus or the documents incorporated by reference herein, whether as a result of any new information, future events, changed circumstances or otherwise. For all forward-looking statements, we claim the protection of the safe harbor for forward-looking statements contained in the Private Securities Litigation Reform Act of 1995.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xa133579_6"/>
      <w:bookmarkEnd w:id="20"/>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from the sale of the securities as set forth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xa133579_7"/>
      <w:bookmarkEnd w:id="21"/>
      <w:r>
        <w:rPr>
          <w:rFonts w:ascii="Times New Roman" w:hAnsi="Times New Roman"/>
          <w:b/>
          <w:sz w:val="20"/>
        </w:rPr>
        <w:t xml:space="preserve">DESCRIPTION OF CAPITAL STOCK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description summarizes some of the terms of our capital stock. Because it is only a summary, it does not contain all the information that may be important to you and is subject to and qualified in its entirety by reference to our amended and restated certificate of incorporation and amended and restated bylaws, which are filed as exhibits to our most recent Annual Report on Form 10-K and are incorporated by reference herein. We encourage you to read our certificate of incorporation and our bylaws for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2026, our authorized capital stock consisted of 800,000,000 shares of common stock, $0.0001 par value per share, and 80,000,000 shares of preferred stock, $0.0001 par value per share.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Holders of our common stock are entitled to one vote for each share held on all matters submitted to a vote of stockholders, including the election of directors, and do not have cumulative voting rights. Accordingly, the holders of a majority of the outstanding shares of common stock entitled to vote in any election of directors can elect all of the directors standing for election, if they so choose, other than any directors that holders of any preferred stock we may issue may be entitled to elect. Subject to supermajority votes for some matters, other matters shall be decided by the affirmative vote of our stockholders having a majority in voting power of the votes cast by the stockholders present or represented and voting on such matter. Our amended and restated certificate of incorporation and amended and restated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our amended and restated certificate of incorporation. See below under the heading “Anti-Takeover Effects of Delaware Law and Our Certificate of Incorporation and Bylaws.” </w:t>
      </w:r>
    </w:p>
    <w:p>
      <w:pPr>
        <w:pStyle w:val="TextBody"/>
        <w:bidi w:val="0"/>
        <w:spacing w:before="240" w:after="0"/>
        <w:jc w:val="left"/>
        <w:rPr>
          <w:rFonts w:ascii="Times New Roman" w:hAnsi="Times New Roman"/>
          <w:sz w:val="20"/>
        </w:rPr>
      </w:pPr>
      <w:r>
        <w:rPr>
          <w:rFonts w:ascii="Times New Roman" w:hAnsi="Times New Roman"/>
          <w:sz w:val="20"/>
        </w:rPr>
        <w:t xml:space="preserve">Subject to preferences that may be applicable to any then outstanding preferred stock, holders of common stock are entitled to receive ratably those dividends, if any, as may be declared by the board of directors out of legally available funds.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our liquidation, dissolution or winding up, the holders of common stock will be entitled to share ratably in the assets legally available for distribution to stockholders after the payment of or provision for all of our debts and other liabilities, subject to the prior rights of any preferred stock then outstanding. </w:t>
      </w:r>
    </w:p>
    <w:p>
      <w:pPr>
        <w:pStyle w:val="TextBody"/>
        <w:bidi w:val="0"/>
        <w:spacing w:before="240" w:after="0"/>
        <w:jc w:val="left"/>
        <w:rPr>
          <w:rFonts w:ascii="Times New Roman" w:hAnsi="Times New Roman"/>
          <w:sz w:val="20"/>
        </w:rPr>
      </w:pPr>
      <w:r>
        <w:rPr>
          <w:rFonts w:ascii="Times New Roman" w:hAnsi="Times New Roman"/>
          <w:sz w:val="20"/>
        </w:rPr>
        <w:t xml:space="preserve">Holders of common stock have no preemptive or conversion rights or other subscription rights and there are no redemption or sinking funds provisions applicable to the common stock. The outstanding shares of common stock are duly authorized, validly issued, fully paid and nonassessable. The rights, preferences and privileges of holders of common stock are subject to, and may be adversely affected by, the rights of the holders of shares of any series of preferred stock that we may designate and issue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Computershare Trust Company, N.A. The transfer agent and registrar’s address is 150 Royall Street, Suite 101, Canton, Massachusetts 02021.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prospectus, we have no outstanding shares of preferred stock. Under the terms of our amended and restated certificate of incorporation, our board of directors has the authority, without further 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by our stockholders, to issue up to 80,000,000 shares of preferred stock in one or more series, to establish from time to time the number of shares to be included in each such series, to fix the dividend, voting and other rights, preferences and privileges of the shares of each wholly unissued series and any qualifications, limitations or restrictions thereon, and to increase or decrease the number of shares of any such series, but not below the number of shares of such series then outstanding.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our control and may adversely affect the market price of the common stock and the voting and other rights of the holders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Prior to the issuance of shares of each series, the board of directors is required by the General Corporation Law of the State of Delaware (the DGCL) and our amended and restated certificate of incorporation to adopt resolutions and file a certificate of designation with the Secretary of State of the State of Delaware. The certificate of designation fixes for each class or series the designations, powers, preferences, rights, qualifications, limitations and restrictions, including dividend rights, conversion rights, redemption privileges and liquidation preferences. </w:t>
      </w:r>
    </w:p>
    <w:p>
      <w:pPr>
        <w:pStyle w:val="TextBody"/>
        <w:bidi w:val="0"/>
        <w:spacing w:before="240" w:after="0"/>
        <w:jc w:val="left"/>
        <w:rPr>
          <w:rFonts w:ascii="Times New Roman" w:hAnsi="Times New Roman"/>
          <w:sz w:val="20"/>
        </w:rPr>
      </w:pPr>
      <w:r>
        <w:rPr>
          <w:rFonts w:ascii="Times New Roman" w:hAnsi="Times New Roman"/>
          <w:sz w:val="20"/>
        </w:rPr>
        <w:t xml:space="preserve">All shares of preferred stock offered by this prospectus will, when issued, be fully paid and nonassessable and will not have any preemptive or similar rights.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our control and may adversely affect the market price of the common stock and the voting and other rights of the holders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will describe in a prospectus supplement relating to the class or series of preferred stock being offered the following terms: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stated value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the preferred stock offered, the liquidation preference per share and the offering price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dividend rate(s), period(s) or payment date(s) or method(s) of calculation applicable to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dividends are cumulative or non-cumulative and, if cumulative, the date from which dividends on the preferred stock will accumulate;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procedures for any auction and remarketing, if any, for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a sinking fund, if any, for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 for redemption, if applicable,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listing of the preferred stock on any securities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if applicable, upon which the preferred stock will be convertible into common stock, including the conversion price or manner of calculation and conversion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rights, if any,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U.S. federal income tax considerations applicable to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relative ranking and preferences of the preferred stock as to dividend rights and rights upon the liquidation, dissolution or winding up of our affairs;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limitations on issuance of any class or series of preferred stock ranking senior to or on a parity with the class or series of preferred stock as to dividend rights and rights upon liquidation, dissolution or winding up of our affairs;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limitations or restrictions of the preferred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we specify otherwise in the applicable prospectus supplement, the preferred stock will rank, relating to dividends and upon our liquidation, dissolution or winding up: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senior to all classes or series of our common stock and to all of our equity securities ranking junior to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 parity with all of our equity securities the terms of which specifically provide that the equity securities rank on a parity with the preferred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junior to all of our equity securities the terms of which specifically provide that the equity securities rank senior to the preferred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term equity securities does not include convertible debt securities. </w:t>
      </w:r>
    </w:p>
    <w:p>
      <w:pPr>
        <w:pStyle w:val="TextBody"/>
        <w:bidi w:val="0"/>
        <w:spacing w:before="360" w:after="0"/>
        <w:jc w:val="left"/>
        <w:rPr>
          <w:rFonts w:ascii="Times New Roman" w:hAnsi="Times New Roman"/>
          <w:i/>
          <w:sz w:val="20"/>
        </w:rPr>
      </w:pPr>
      <w:r>
        <w:rPr>
          <w:rFonts w:ascii="Times New Roman" w:hAnsi="Times New Roman"/>
          <w:i/>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Amended and Restated Stockholders Agreement, dated April 15, 2020, by and among us and certain of our stockholders, certain of our stockholders are entitled to the following rights with respect to the registration of their shares for public resale under the Securities Act. The registration of shares of common stock as a result of the following rights being exercised would enable holders to trade these shares without restriction under the Securities Act when the applicable registration statement is declared effective. </w:t>
      </w:r>
    </w:p>
    <w:p>
      <w:pPr>
        <w:pStyle w:val="TextBody"/>
        <w:bidi w:val="0"/>
        <w:spacing w:before="360" w:after="0"/>
        <w:jc w:val="left"/>
        <w:rPr>
          <w:rFonts w:ascii="Times New Roman" w:hAnsi="Times New Roman"/>
          <w:i/>
          <w:sz w:val="20"/>
        </w:rPr>
      </w:pPr>
      <w:r>
        <w:rPr>
          <w:rFonts w:ascii="Times New Roman" w:hAnsi="Times New Roman"/>
          <w:i/>
          <w:sz w:val="20"/>
        </w:rPr>
        <w:t xml:space="preserve">Demand Registration Rights </w:t>
      </w:r>
    </w:p>
    <w:p>
      <w:pPr>
        <w:pStyle w:val="TextBody"/>
        <w:bidi w:val="0"/>
        <w:spacing w:before="120" w:after="0"/>
        <w:jc w:val="left"/>
        <w:rPr>
          <w:rFonts w:ascii="Times New Roman" w:hAnsi="Times New Roman"/>
          <w:sz w:val="20"/>
        </w:rPr>
      </w:pPr>
      <w:r>
        <w:rPr>
          <w:rFonts w:ascii="Times New Roman" w:hAnsi="Times New Roman"/>
          <w:i/>
          <w:sz w:val="20"/>
        </w:rPr>
        <w:t>Form S-1</w:t>
      </w:r>
      <w:r>
        <w:rPr>
          <w:rFonts w:ascii="Times New Roman" w:hAnsi="Times New Roman"/>
          <w:sz w:val="20"/>
        </w:rPr>
        <w:t xml:space="preserve">. If at any time the holders of at least a majority of the registrable securities request in writing that we effect a registration with respect to all or a part of the registrable securities then outstanding where the aggregate price to the public of the offering is $20.0 million or more, we may be required to provide notice to all holders of registrable securities and to use commercially reasonable efforts to effect such registration; provided, however, that we will not be required to effect such a registration if, among other things, within the preceding 12 months, we have already effected two registrations for the holders of registrable securities in response to these demand registration rights. </w:t>
      </w:r>
    </w:p>
    <w:p>
      <w:pPr>
        <w:pStyle w:val="TextBody"/>
        <w:bidi w:val="0"/>
        <w:spacing w:before="240" w:after="0"/>
        <w:jc w:val="left"/>
        <w:rPr>
          <w:rFonts w:ascii="Times New Roman" w:hAnsi="Times New Roman"/>
          <w:sz w:val="20"/>
        </w:rPr>
      </w:pPr>
      <w:r>
        <w:rPr>
          <w:rFonts w:ascii="Times New Roman" w:hAnsi="Times New Roman"/>
          <w:i/>
          <w:sz w:val="20"/>
        </w:rPr>
        <w:t>Form S-3</w:t>
      </w:r>
      <w:r>
        <w:rPr>
          <w:rFonts w:ascii="Times New Roman" w:hAnsi="Times New Roman"/>
          <w:sz w:val="20"/>
        </w:rPr>
        <w:t xml:space="preserve">. If at any time the holders of the registrable securities request in writing that we effect a registration with respect to all or a part of the registrable securities then outstanding where the price to the public of the offering is $5.0 million or more, we may be required to provide notice to all holders of registrable securities and to use commercially reasonable efforts to effect such registration; provided, however, that we will not be required to effect such a registration if, among other things, within the preceding 12 months, we have already effected two registrations on Form S-3 for the holders of registrable securities. </w:t>
      </w:r>
    </w:p>
    <w:p>
      <w:pPr>
        <w:pStyle w:val="TextBody"/>
        <w:bidi w:val="0"/>
        <w:spacing w:before="240" w:after="0"/>
        <w:jc w:val="left"/>
        <w:rPr>
          <w:rFonts w:ascii="Times New Roman" w:hAnsi="Times New Roman"/>
          <w:sz w:val="20"/>
        </w:rPr>
      </w:pPr>
      <w:r>
        <w:rPr>
          <w:rFonts w:ascii="Times New Roman" w:hAnsi="Times New Roman"/>
          <w:sz w:val="20"/>
        </w:rPr>
        <w:t xml:space="preserve">If the holders requesting registration intend to distribute their shares by means of an underwriting, the underwriter of such offering will have the right to limit the numbers of shares to be underwritten for reasons related to the marketing of the shares. </w:t>
      </w:r>
    </w:p>
    <w:p>
      <w:pPr>
        <w:pStyle w:val="TextBody"/>
        <w:bidi w:val="0"/>
        <w:spacing w:before="360" w:after="0"/>
        <w:jc w:val="left"/>
        <w:rPr>
          <w:rFonts w:ascii="Times New Roman" w:hAnsi="Times New Roman"/>
          <w:i/>
          <w:sz w:val="20"/>
        </w:rPr>
      </w:pPr>
      <w:r>
        <w:rPr>
          <w:rFonts w:ascii="Times New Roman" w:hAnsi="Times New Roman"/>
          <w:i/>
          <w:sz w:val="20"/>
        </w:rPr>
        <w:t xml:space="preserve">Piggyback 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If at any time we propose to register any shares of our common stock under the Securities Act, subject to certain exceptions, the holders of registrable securities will be entitled to notice of the registration and to include their shares of registrable securities in the registration. If our proposed registration involves an underwriting, the managing underwriter of such offering will have the right to limit the number of shares to be underwritten for reasons related to the marketing of the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Our stockholders agreement contains customary cross indemnification provisions, under which we are obligated to indemnify holders of registrable securities in the event of material misstatements or omissions in a registration statement attributable to us, and they are obligated to indemnify us for material misstatements or omissions attributable to them. </w:t>
      </w:r>
    </w:p>
    <w:p>
      <w:pPr>
        <w:pStyle w:val="TextBody"/>
        <w:bidi w:val="0"/>
        <w:spacing w:before="360" w:after="0"/>
        <w:jc w:val="left"/>
        <w:rPr>
          <w:rFonts w:ascii="Times New Roman" w:hAnsi="Times New Roman"/>
          <w:i/>
          <w:sz w:val="20"/>
        </w:rPr>
      </w:pPr>
      <w:r>
        <w:rPr>
          <w:rFonts w:ascii="Times New Roman" w:hAnsi="Times New Roman"/>
          <w:i/>
          <w:sz w:val="20"/>
        </w:rPr>
        <w:t xml:space="preserve">Expenses </w:t>
      </w:r>
    </w:p>
    <w:p>
      <w:pPr>
        <w:pStyle w:val="TextBody"/>
        <w:bidi w:val="0"/>
        <w:spacing w:before="120" w:after="0"/>
        <w:jc w:val="left"/>
        <w:rPr>
          <w:rFonts w:ascii="Times New Roman" w:hAnsi="Times New Roman"/>
          <w:sz w:val="20"/>
        </w:rPr>
      </w:pPr>
      <w:r>
        <w:rPr>
          <w:rFonts w:ascii="Times New Roman" w:hAnsi="Times New Roman"/>
          <w:sz w:val="20"/>
        </w:rPr>
        <w:t xml:space="preserve">Ordinarily, other than underwriting discounts and commissions, we will be required to pay all expenses incurred by us related to any registration effected pursuant to the exercise of these registration rights. These expenses may include all registration and filing fees, printing expenses, fees and disbursements of our counsel, reasonable fees and disbursements of a counsel for the selling securityholders, blue sky fees and expenses and the expenses of any special audits incident to the registration. </w:t>
      </w:r>
    </w:p>
    <w:p>
      <w:pPr>
        <w:pStyle w:val="TextBody"/>
        <w:bidi w:val="0"/>
        <w:spacing w:before="360" w:after="0"/>
        <w:jc w:val="left"/>
        <w:rPr>
          <w:rFonts w:ascii="Times New Roman" w:hAnsi="Times New Roman"/>
          <w:i/>
          <w:sz w:val="20"/>
        </w:rPr>
      </w:pPr>
      <w:r>
        <w:rPr>
          <w:rFonts w:ascii="Times New Roman" w:hAnsi="Times New Roman"/>
          <w:i/>
          <w:sz w:val="20"/>
        </w:rPr>
        <w:t xml:space="preserve">Termination of 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The registration rights terminate in August 2026.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Delaware Law and Our Certificate of Incorporation and Bylaws </w:t>
      </w:r>
    </w:p>
    <w:p>
      <w:pPr>
        <w:pStyle w:val="TextBody"/>
        <w:bidi w:val="0"/>
        <w:spacing w:before="120" w:after="0"/>
        <w:jc w:val="left"/>
        <w:rPr>
          <w:rFonts w:ascii="Times New Roman" w:hAnsi="Times New Roman"/>
          <w:sz w:val="20"/>
        </w:rPr>
      </w:pPr>
      <w:r>
        <w:rPr>
          <w:rFonts w:ascii="Times New Roman" w:hAnsi="Times New Roman"/>
          <w:sz w:val="20"/>
        </w:rPr>
        <w:t xml:space="preserve">Some provisions of Delaware law, our amended and restated certificate of incorporation and our amended and restated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 </w:t>
      </w:r>
    </w:p>
    <w:p>
      <w:pPr>
        <w:pStyle w:val="TextBody"/>
        <w:bidi w:val="0"/>
        <w:spacing w:before="360" w:after="0"/>
        <w:jc w:val="left"/>
        <w:rPr>
          <w:rFonts w:ascii="Times New Roman" w:hAnsi="Times New Roman"/>
          <w:i/>
          <w:sz w:val="20"/>
        </w:rPr>
      </w:pPr>
      <w:r>
        <w:rPr>
          <w:rFonts w:ascii="Times New Roman" w:hAnsi="Times New Roman"/>
          <w:i/>
          <w:sz w:val="20"/>
        </w:rPr>
        <w:t xml:space="preserve">Undesignated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ability of our board of directors, without action by the stockholders, to issue up to 80,000,000 shares of undesignated preferred stock with voting or other rights or preferences as designated by our board of directors could impede the success of any attempt to change control of us. These and other provisions may have the effect of deferring hostile takeovers or delaying changes in control or management of our company </w:t>
      </w:r>
    </w:p>
    <w:p>
      <w:pPr>
        <w:pStyle w:val="TextBody"/>
        <w:bidi w:val="0"/>
        <w:spacing w:before="360" w:after="0"/>
        <w:jc w:val="left"/>
        <w:rPr>
          <w:rFonts w:ascii="Times New Roman" w:hAnsi="Times New Roman"/>
          <w:i/>
          <w:sz w:val="20"/>
        </w:rPr>
      </w:pPr>
      <w:r>
        <w:rPr>
          <w:rFonts w:ascii="Times New Roman" w:hAnsi="Times New Roman"/>
          <w:i/>
          <w:sz w:val="20"/>
        </w:rPr>
        <w:t xml:space="preserve">Stockholder Meetings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provide that a special meeting of stockholders may be called only by our chairman of the board of directors, chief executive officer or president, or by a resolution adopted by a majority of our board of directors. </w:t>
      </w:r>
    </w:p>
    <w:p>
      <w:pPr>
        <w:pStyle w:val="TextBody"/>
        <w:bidi w:val="0"/>
        <w:spacing w:before="360" w:after="0"/>
        <w:jc w:val="left"/>
        <w:rPr>
          <w:rFonts w:ascii="Times New Roman" w:hAnsi="Times New Roman"/>
          <w:i/>
          <w:sz w:val="20"/>
        </w:rPr>
      </w:pPr>
      <w:r>
        <w:rPr>
          <w:rFonts w:ascii="Times New Roman" w:hAnsi="Times New Roman"/>
          <w:i/>
          <w:sz w:val="20"/>
        </w:rPr>
        <w:t xml:space="preserve">Requirements for Advance Notification of Stockholder Nominations and Proposals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Elimination of Stockholder Action by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and amended and restated bylaws eliminate the right of stockholders to act by written consent without a meeting. </w:t>
      </w:r>
    </w:p>
    <w:p>
      <w:pPr>
        <w:pStyle w:val="TextBody"/>
        <w:bidi w:val="0"/>
        <w:spacing w:before="360" w:after="0"/>
        <w:jc w:val="left"/>
        <w:rPr>
          <w:rFonts w:ascii="Times New Roman" w:hAnsi="Times New Roman"/>
          <w:i/>
          <w:sz w:val="20"/>
        </w:rPr>
      </w:pPr>
      <w:r>
        <w:rPr>
          <w:rFonts w:ascii="Times New Roman" w:hAnsi="Times New Roman"/>
          <w:i/>
          <w:sz w:val="20"/>
        </w:rPr>
        <w:t xml:space="preserve">Staggered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is divided into three classes. The directors in each class serve for a three-year term, with one class being elected each year by our stockholders. This system of electing directors may tend to discourage a third party from attempting to obtain control of us, because it generally makes it more difficult for stockholders to replace a majority of the directors. </w:t>
      </w:r>
    </w:p>
    <w:p>
      <w:pPr>
        <w:pStyle w:val="TextBody"/>
        <w:bidi w:val="0"/>
        <w:spacing w:before="360" w:after="0"/>
        <w:jc w:val="left"/>
        <w:rPr>
          <w:rFonts w:ascii="Times New Roman" w:hAnsi="Times New Roman"/>
          <w:i/>
          <w:sz w:val="20"/>
        </w:rPr>
      </w:pPr>
      <w:r>
        <w:rPr>
          <w:rFonts w:ascii="Times New Roman" w:hAnsi="Times New Roman"/>
          <w:i/>
          <w:sz w:val="20"/>
        </w:rPr>
        <w:t xml:space="preserve">Removal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no member of our board of directors may be removed from office except for cause and, in addition to any other vote required by law, upon the approval of not less than two thirds of the total voting power of all of our outstanding voting stock then entitled to vote in the election of directors. </w:t>
      </w:r>
    </w:p>
    <w:p>
      <w:pPr>
        <w:pStyle w:val="TextBody"/>
        <w:bidi w:val="0"/>
        <w:spacing w:before="360" w:after="0"/>
        <w:jc w:val="left"/>
        <w:rPr>
          <w:rFonts w:ascii="Times New Roman" w:hAnsi="Times New Roman"/>
          <w:i/>
          <w:sz w:val="20"/>
        </w:rPr>
      </w:pPr>
      <w:r>
        <w:rPr>
          <w:rFonts w:ascii="Times New Roman" w:hAnsi="Times New Roman"/>
          <w:i/>
          <w:sz w:val="20"/>
        </w:rPr>
        <w:t xml:space="preserve">Stockholders Not Entitled to Cumulative Voting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 </w:t>
      </w:r>
    </w:p>
    <w:p>
      <w:pPr>
        <w:pStyle w:val="TextBody"/>
        <w:bidi w:val="0"/>
        <w:spacing w:before="360" w:after="0"/>
        <w:jc w:val="left"/>
        <w:rPr>
          <w:rFonts w:ascii="Times New Roman" w:hAnsi="Times New Roman"/>
          <w:i/>
          <w:sz w:val="20"/>
        </w:rPr>
      </w:pPr>
      <w:r>
        <w:rPr>
          <w:rFonts w:ascii="Times New Roman" w:hAnsi="Times New Roman"/>
          <w:i/>
          <w:sz w:val="20"/>
        </w:rPr>
        <w:t xml:space="preserve">Delaware Anti-Takeover Statute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Section 203 of the DGCL,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w:t>
      </w:r>
    </w:p>
    <w:p>
      <w:pPr>
        <w:pStyle w:val="TextBody"/>
        <w:bidi w:val="0"/>
        <w:spacing w:before="360" w:after="0"/>
        <w:jc w:val="left"/>
        <w:rPr>
          <w:rFonts w:ascii="Times New Roman" w:hAnsi="Times New Roman"/>
          <w:i/>
          <w:sz w:val="20"/>
        </w:rPr>
      </w:pPr>
      <w:r>
        <w:rPr>
          <w:rFonts w:ascii="Times New Roman" w:hAnsi="Times New Roman"/>
          <w:i/>
          <w:sz w:val="20"/>
        </w:rPr>
        <w:t xml:space="preserve">Choice of Forum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unless we consent in writing to the selection of an alternative forum, the Court of Chancery of the State of Delaware will be the sole and exclusive forum for the following types of actions or proceedings under Delaware statutory or common law: (i) any derivative action or proceeding brought on our behalf; (ii) any action asserting a claim of breach of a fiduciary duty or other wrongdoing by any of our directors, officers, employees or agents to us or our stockholders, creditors or other constituents; (iii) any action asserting a claim against us arising pursuant to any provision of the General Corporation Law of the State of Delaware or our amended and restated certificate of incorporation or amended and restated bylaws; (iv) any action to interpret, apply, enforce or determine the validity of our certificate of incorporation or bylaws; or (v) any action asserting a claim governed by the internal affairs doctrine. The provision would not apply to suits brought to enforce a duty or liability created by the Exchange Act. Furthermore, our amended and restated certificate of incorporation will also provide that unless we consent in writing to the selection of an alternative forum, the federal district courts of the United States shall be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exclusive forum for the resolution of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In any case, stockholders will not be deemed to have waived our compliance with the federal securities laws and the rules and regulations thereunder. The enforceability of similar choice of forum provisions in other companies’ certificates of incorporation has been challenged in legal proceedings, and it is possible that a court could find these types of provisions to be inapplicable or unenforceable.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certificate of incorporation also provides that any person or entity purchasing or otherwise acquiring any interest in shares of our capital stock will be deemed to have notice of and to have consented to this choice of forum provision. </w:t>
      </w:r>
    </w:p>
    <w:p>
      <w:pPr>
        <w:pStyle w:val="TextBody"/>
        <w:bidi w:val="0"/>
        <w:spacing w:before="360" w:after="0"/>
        <w:jc w:val="left"/>
        <w:rPr>
          <w:rFonts w:ascii="Times New Roman" w:hAnsi="Times New Roman"/>
          <w:i/>
          <w:sz w:val="20"/>
        </w:rPr>
      </w:pPr>
      <w:r>
        <w:rPr>
          <w:rFonts w:ascii="Times New Roman" w:hAnsi="Times New Roman"/>
          <w:i/>
          <w:sz w:val="20"/>
        </w:rPr>
        <w:t xml:space="preserve">Amendment of Charter and Bylaw Provisions </w:t>
      </w:r>
    </w:p>
    <w:p>
      <w:pPr>
        <w:pStyle w:val="TextBody"/>
        <w:bidi w:val="0"/>
        <w:spacing w:before="120" w:after="0"/>
        <w:jc w:val="left"/>
        <w:rPr>
          <w:rFonts w:ascii="Times New Roman" w:hAnsi="Times New Roman"/>
          <w:sz w:val="20"/>
        </w:rPr>
      </w:pPr>
      <w:r>
        <w:rPr>
          <w:rFonts w:ascii="Times New Roman" w:hAnsi="Times New Roman"/>
          <w:sz w:val="20"/>
        </w:rPr>
        <w:t xml:space="preserve">The amendment of any of the above provisions, except for the provision making it possible for our board of directors to issue preferred stock, would require approval by holders of at least two thirds of the total voting power of all of our outstanding voting stock.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Delaware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of directors and management. It is possible that these provisions could make it more difficult to accomplish transactions that stockholders may otherwise deem to be in their best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xa133579_8"/>
      <w:bookmarkEnd w:id="22"/>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 </w:t>
      </w:r>
    </w:p>
    <w:p>
      <w:pPr>
        <w:pStyle w:val="TextBody"/>
        <w:bidi w:val="0"/>
        <w:spacing w:before="240" w:after="0"/>
        <w:jc w:val="left"/>
        <w:rPr>
          <w:rFonts w:ascii="Times New Roman" w:hAnsi="Times New Roman"/>
          <w:sz w:val="20"/>
        </w:rPr>
      </w:pPr>
      <w:r>
        <w:rPr>
          <w:rFonts w:ascii="Times New Roman" w:hAnsi="Times New Roman"/>
          <w:sz w:val="20"/>
        </w:rPr>
        <w:t xml:space="preserve">The debt securities will be issued under an indenture between us and a trustee named in the prospectus supplement.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section only, “Erasca,” “we,” “our” or “us” refer to Erasca, Inc., excluding our subsidiaries, unless expressly stated or the context otherwise requires.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terms of each series of debt securities will be established by or pursuant to a resolution of our board of directors and set forth or determined in the manner provided in a resolution of our board of directors, in an officer’s certificate or by a supplemental indenture. (Section 2.2) The particular terms of each series of debt securities will be described in a prospectus supplement relating to such series (including any pricing supplement or term sheet). </w:t>
      </w:r>
    </w:p>
    <w:p>
      <w:pPr>
        <w:pStyle w:val="TextBody"/>
        <w:bidi w:val="0"/>
        <w:spacing w:before="240" w:after="0"/>
        <w:jc w:val="left"/>
        <w:rPr>
          <w:rFonts w:ascii="Times New Roman" w:hAnsi="Times New Roman"/>
          <w:sz w:val="20"/>
        </w:rPr>
      </w:pPr>
      <w:r>
        <w:rPr>
          <w:rFonts w:ascii="Times New Roman" w:hAnsi="Times New Roman"/>
          <w:sz w:val="20"/>
        </w:rPr>
        <w:t xml:space="preserve">We can issue an unlimited amount of debt securities under the indenture that may be in one or more series with the same or various maturities, at par, at a premium, or at a discount. (Section 2.1) We will set forth in a prospectus supplement (including any pricing supplement or term sheet) relating to any series of debt securities being offered, the aggregate principal amount and the following terms of the debt securities, if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ranking of the debt securities (including the terms of any subordination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(expressed as a percentage of the principal amount) at which we will sell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on the aggregate principal amount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the principal of the securities of the series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 or periods within which, the price or prices at which and the terms and conditions upon which we may redeem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and the price or prices at which we will repurchase debt securities at the option of the holders of debt securities and other detailed terms and provisions of these repurchase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the debt securities will be issued, if other than denominations of $1,000 and any integral multiple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issued in the form of certificated debt securities or global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principal amount of the debt securities payable upon declaration of acceleration of the maturity date, if other than the principal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of denomination of the debt securities, which may be United States Dollars or any foreign currency, and if such currency of denomination is a composite currency, the agency or organization, if any, responsible for overseeing such composite currency;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of the currency, currencies or currency units in which payment of principal of, premium and interest on the debt securities will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relating to any security provided for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to, deletion of or change in the Events of Default described in this prospectus or in the indenture with respect to the debt securities and any change in the acceleration provisions described in this prospectus or in the indenture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to, deletion of or change in the covenants described in this prospectus or in the indenture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depositaries, interest rate calculation agents, exchange rate calculation agents or other agents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any of our direct or indirect subsidiaries will guarantee the debt securities of that series, including the terms of subordination, if any, of such guarantees. (Section 2.2)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and Exchange </w:t>
      </w:r>
    </w:p>
    <w:p>
      <w:pPr>
        <w:pStyle w:val="TextBody"/>
        <w:bidi w:val="0"/>
        <w:spacing w:before="120" w:after="0"/>
        <w:jc w:val="left"/>
        <w:rPr>
          <w:rFonts w:ascii="Times New Roman" w:hAnsi="Times New Roman"/>
          <w:sz w:val="20"/>
        </w:rPr>
      </w:pPr>
      <w:r>
        <w:rPr>
          <w:rFonts w:ascii="Times New Roman" w:hAnsi="Times New Roman"/>
          <w:sz w:val="20"/>
        </w:rPr>
        <w:t xml:space="preserve">Each debt security will be represented by either one or more global securities registered in the name of The Depository Trust Company (DTC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 </w:t>
      </w:r>
    </w:p>
    <w:p>
      <w:pPr>
        <w:pStyle w:val="TextBody"/>
        <w:bidi w:val="0"/>
        <w:spacing w:before="240" w:after="0"/>
        <w:jc w:val="left"/>
        <w:rPr>
          <w:rFonts w:ascii="Times New Roman" w:hAnsi="Times New Roman"/>
          <w:sz w:val="20"/>
        </w:rPr>
      </w:pPr>
      <w:r>
        <w:rPr>
          <w:rFonts w:ascii="Times New Roman" w:hAnsi="Times New Roman"/>
          <w:sz w:val="20"/>
        </w:rPr>
        <w:t xml:space="preserve">Certificated Debt Securities. You may transfer or exchange certificated debt securities at any office we maintain for this purpose in accordance with the terms of the indenture. (Section 2.4) No service charge will be made for any transfer or exchange of certificated debt securities, but we may require payment of a sum sufficient to cover any tax or other governmental charge payable in connection with a transfer or exchange. (Section 2.7) </w:t>
      </w:r>
    </w:p>
    <w:p>
      <w:pPr>
        <w:pStyle w:val="TextBody"/>
        <w:bidi w:val="0"/>
        <w:spacing w:before="240" w:after="0"/>
        <w:jc w:val="left"/>
        <w:rPr>
          <w:rFonts w:ascii="Times New Roman" w:hAnsi="Times New Roman"/>
          <w:sz w:val="20"/>
        </w:rPr>
      </w:pPr>
      <w:r>
        <w:rPr>
          <w:rFonts w:ascii="Times New Roman" w:hAnsi="Times New Roman"/>
          <w:sz w:val="20"/>
        </w:rPr>
        <w:t xml:space="preserve">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 Global Debt Securities and Book-Entry System. Each global debt security representing book-entry debt securities will be deposited with, or on behalf of, the Depositary, and registered in the name of the Depositary or a nominee of the Depositary. Please see “Global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w:t>
      </w:r>
    </w:p>
    <w:p>
      <w:pPr>
        <w:pStyle w:val="TextBody"/>
        <w:bidi w:val="0"/>
        <w:spacing w:before="120" w:after="0"/>
        <w:jc w:val="left"/>
        <w:rPr>
          <w:rFonts w:ascii="Times New Roman" w:hAnsi="Times New Roman"/>
          <w:sz w:val="20"/>
        </w:rPr>
      </w:pPr>
      <w:r>
        <w:rPr>
          <w:rFonts w:ascii="Times New Roman" w:hAnsi="Times New Roman"/>
          <w:sz w:val="20"/>
        </w:rPr>
        <w:t xml:space="preserve">We will set forth in the applicable prospectus supplement any restrictive covenants applicable to any issue of debt securities. (Article IV) </w:t>
      </w:r>
    </w:p>
    <w:p>
      <w:pPr>
        <w:pStyle w:val="TextBody"/>
        <w:bidi w:val="0"/>
        <w:spacing w:before="360" w:after="0"/>
        <w:jc w:val="left"/>
        <w:rPr>
          <w:rFonts w:ascii="Times New Roman" w:hAnsi="Times New Roman"/>
          <w:b/>
          <w:sz w:val="20"/>
        </w:rPr>
      </w:pPr>
      <w:r>
        <w:rPr>
          <w:rFonts w:ascii="Times New Roman" w:hAnsi="Times New Roman"/>
          <w:b/>
          <w:sz w:val="20"/>
        </w:rPr>
        <w:t xml:space="preserve">No Protection in the Event of a Change of Control </w:t>
      </w:r>
    </w:p>
    <w:p>
      <w:pPr>
        <w:pStyle w:val="TextBody"/>
        <w:bidi w:val="0"/>
        <w:spacing w:before="120" w:after="0"/>
        <w:jc w:val="left"/>
        <w:rPr>
          <w:rFonts w:ascii="Times New Roman" w:hAnsi="Times New Roman"/>
          <w:sz w:val="20"/>
        </w:rPr>
      </w:pPr>
      <w:r>
        <w:rPr>
          <w:rFonts w:ascii="Times New Roman" w:hAnsi="Times New Roman"/>
          <w:sz w:val="20"/>
        </w:rPr>
        <w:t xml:space="preserve">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and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We may not consolidate with or merge with or into, or convey, transfer or lease all or substantially all of our properties and assets to any person (a successor person)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the surviving corporation, or the successor person (if other than Erasca) is a corporation organized and validly existing under the laws of any U.S. domestic jurisdiction and expressly assumes our obligations on the debt securities and under the indenture,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the transaction, no Default or Event of Default shall have occurred and be continuing.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above, any of our subsidiaries may consolidate with, merge into or transfer all or part of its properties to us. (Section 5.1)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pPr>
      <w:r>
        <w:rPr/>
        <w:t>“</w:t>
      </w:r>
      <w:r>
        <w:rPr>
          <w:rFonts w:ascii="Times New Roman" w:hAnsi="Times New Roman"/>
          <w:sz w:val="20"/>
        </w:rPr>
        <w:t xml:space="preserve">Event of Default” means with respect to any series of debt securities,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principal of any security of that series at its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Erasca and the trustee receive written notice from the holders of not less than 25% in principal amount of the outstanding debt securities of that series as provided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voluntary or involuntary events of bankruptcy, insolvency or reorganization of Erasca;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provided with respect to debt securities of that series that is described in the applicable prospectus supplement. (Section 6.1)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Event of Default with respect to a particular series of debt securities (except as to certain events of bankruptcy, insolvency or reorganization) necessarily constitutes an Event of Default with respect to any other series of debt securities. (Section 6.1) The occurrence of certain Events of Default or an acceleration under the indenture may constitute an event of default under certain indebtedness of ours or our subsidiaries outstanding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(Section 6.1)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(Section 6.2) We refer you to the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supplement relating to any series of debt securities that are discount securities for the particular provisions relating to acceleration of a portion of the principal amount of such discount securities upon the occurrence of an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(Section 7.1(e))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6.12) </w:t>
      </w:r>
    </w:p>
    <w:p>
      <w:pPr>
        <w:pStyle w:val="TextBody"/>
        <w:bidi w:val="0"/>
        <w:spacing w:before="240" w:after="0"/>
        <w:jc w:val="left"/>
        <w:rPr>
          <w:rFonts w:ascii="Times New Roman" w:hAnsi="Times New Roman"/>
          <w:sz w:val="20"/>
        </w:rPr>
      </w:pPr>
      <w:r>
        <w:rPr>
          <w:rFonts w:ascii="Times New Roman" w:hAnsi="Times New Roman"/>
          <w:sz w:val="20"/>
        </w:rPr>
        <w:t xml:space="preserve">No holder of any debt security of any series will have any right to institute any proceeding, judicial or otherwise, with respect to the indenture or for the appointment of a receiver or trustee, or for any remedy under the indenture,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holder has previously given to the trustee written notice of a continuing Event of Default with respect to debt securities of that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(Section 6.7)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 (Section 6.8) </w:t>
      </w:r>
    </w:p>
    <w:p>
      <w:pPr>
        <w:pStyle w:val="TextBody"/>
        <w:bidi w:val="0"/>
        <w:spacing w:before="240" w:after="0"/>
        <w:jc w:val="left"/>
        <w:rPr>
          <w:rFonts w:ascii="Times New Roman" w:hAnsi="Times New Roman"/>
          <w:sz w:val="20"/>
        </w:rPr>
      </w:pPr>
      <w:r>
        <w:rPr>
          <w:rFonts w:ascii="Times New Roman" w:hAnsi="Times New Roman"/>
          <w:sz w:val="20"/>
        </w:rPr>
        <w:t xml:space="preserve">The indenture requires us, within 120 days after the end of our fiscal year, to furnish to the trustee a statement as to compliance with the indenture. (Section 4.3) If a Default or Event of Default occurs and is continuing with respect to the securities of any series and if it is known to a responsible officer of the trustee, the trustee shall mail to each 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(Section 7.5)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and Waiver </w:t>
      </w:r>
    </w:p>
    <w:p>
      <w:pPr>
        <w:pStyle w:val="TextBody"/>
        <w:bidi w:val="0"/>
        <w:spacing w:before="120" w:after="0"/>
        <w:jc w:val="left"/>
        <w:rPr>
          <w:rFonts w:ascii="Times New Roman" w:hAnsi="Times New Roman"/>
          <w:sz w:val="20"/>
        </w:rPr>
      </w:pPr>
      <w:r>
        <w:rPr>
          <w:rFonts w:ascii="Times New Roman" w:hAnsi="Times New Roman"/>
          <w:sz w:val="20"/>
        </w:rPr>
        <w:t xml:space="preserve">We and the trustee may modify, amend or supplement the indenture or the debt securities of any series without the consent of any holder of any debt security: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defect or inconsistency;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covenants in the indenture described above under the heading “Consolidation, Merger and Sale of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uncertificated securities in addition to or in place of certificated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guarantees with respect to debt securities of any series or secure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surrender any of our rights or powers under the indenture;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covenants or events of default for the benefit of the holders of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the applicable procedures of the applicable depositary;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change that does not adversely affect the rights of any holder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the issuance of and establish the form and terms and conditions of debt securities of any series as permitted by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effect the appointment of a successor trustee with respect to the debt securities of any series and to add to or change any of the provisions of the indenture to provide for or facilitate administration by more than one trustee;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requirements of the SEC in order to effect or maintain the qualification of the indenture under the Trust Indenture Act. (Section 9.1)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amount of debt securities whose holders must consent to an amendment, supplement or waiver;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rate of or extend the time for payment of interest (including default interest) on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of or premium on or change the fixed maturity of any debt security or reduce the amount of, or postpone the date fixed for, the payment of any sinking fund or analogous obligation with respect to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amount of discount securities payable upon acceleration of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the principal of or premium or interest on any debt security payable in currency other than that stated in the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redemption payment with respect to any debt security. (Section 9.3)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for certain specified provisions, the holders of at least a majority in principal amount of the outstanding debt securities of any series may on behalf of the holders of all debt securities of that series waive our compliance with provisions of the indenture. (Section 9.2)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(Section 6.13)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Defeasance of Debt Securities and Certain Covenants in Certain Circumstances </w:t>
      </w:r>
    </w:p>
    <w:p>
      <w:pPr>
        <w:pStyle w:val="TextBody"/>
        <w:bidi w:val="0"/>
        <w:spacing w:before="120" w:after="0"/>
        <w:jc w:val="left"/>
        <w:rPr>
          <w:rFonts w:ascii="Times New Roman" w:hAnsi="Times New Roman"/>
          <w:sz w:val="20"/>
        </w:rPr>
      </w:pPr>
      <w:r>
        <w:rPr>
          <w:rFonts w:ascii="Times New Roman" w:hAnsi="Times New Roman"/>
          <w:i/>
          <w:sz w:val="20"/>
        </w:rPr>
        <w:t>Legal Defeasance</w:t>
      </w:r>
      <w:r>
        <w:rPr>
          <w:rFonts w:ascii="Times New Roman" w:hAnsi="Times New Roman"/>
          <w:sz w:val="20"/>
        </w:rPr>
        <w:t xml:space="preserve">. The indenture provides that, unless otherwise provided by the terms of the 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discharge may occur only if, among other things, we have delivered to the trustee an opinion of counsel stating that we have received from, or there has been published by, the U.S. Internal Revenue Service a ruling or, since the date of execution of the indenture, there has been a change in the applicable U.S. federal income tax law, in either case to the effect that, and based thereon such opinion shall confirm that, the holders of the debt securities of that series will not recognize income, gain or loss for U.S. federal income tax purposes as a result of the deposit, defeasance and discharge and will be subject to U.S. federal income tax on the same amounts and in the same manner and at the same times as would have been the case if the deposit, defeasance and discharge had not occurred. (Section 8.3) </w:t>
      </w:r>
    </w:p>
    <w:p>
      <w:pPr>
        <w:pStyle w:val="TextBody"/>
        <w:bidi w:val="0"/>
        <w:spacing w:before="240" w:after="0"/>
        <w:jc w:val="left"/>
        <w:rPr>
          <w:rFonts w:ascii="Times New Roman" w:hAnsi="Times New Roman"/>
          <w:sz w:val="20"/>
        </w:rPr>
      </w:pPr>
      <w:r>
        <w:rPr>
          <w:rFonts w:ascii="Times New Roman" w:hAnsi="Times New Roman"/>
          <w:i/>
          <w:sz w:val="20"/>
        </w:rPr>
        <w:t>Defeasance of Certain Covenants</w:t>
      </w:r>
      <w:r>
        <w:rPr>
          <w:rFonts w:ascii="Times New Roman" w:hAnsi="Times New Roman"/>
          <w:sz w:val="20"/>
        </w:rPr>
        <w:t xml:space="preserve">. The indenture provides that, unless otherwise provided by the terms of the applicable series of debt securities, upon compliance with certain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omit to comply with the covenant described under the heading “Consolidation, Merger and Sale of Assets” and certain other covenants set forth in the indenture, as well as any additional covenants which may be set forth in the applicable prospectus supplement;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omission to comply with those covenants will not constitute a Default or an Event of Default with respect to the debt securities of that series (covenant defeasance).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conditions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delivering to the trustee an opinion of counsel to the effect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(Section 8.4)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 Personal Liability of Directors, Officers, Employees or Securityholders </w:t>
      </w:r>
    </w:p>
    <w:p>
      <w:pPr>
        <w:pStyle w:val="TextBody"/>
        <w:bidi w:val="0"/>
        <w:spacing w:before="120" w:after="0"/>
        <w:jc w:val="left"/>
        <w:rPr>
          <w:rFonts w:ascii="Times New Roman" w:hAnsi="Times New Roman"/>
          <w:sz w:val="20"/>
        </w:rPr>
      </w:pPr>
      <w:r>
        <w:rPr>
          <w:rFonts w:ascii="Times New Roman" w:hAnsi="Times New Roman"/>
          <w:sz w:val="20"/>
        </w:rPr>
        <w:t xml:space="preserve">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debt securities, including any claim or controversy arising out of or relating to the indenture or the securities, will be governed by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 </w:t>
      </w:r>
    </w:p>
    <w:p>
      <w:pPr>
        <w:pStyle w:val="TextBody"/>
        <w:bidi w:val="0"/>
        <w:spacing w:before="240" w:after="0"/>
        <w:jc w:val="left"/>
        <w:rPr>
          <w:rFonts w:ascii="Times New Roman" w:hAnsi="Times New Roman"/>
          <w:sz w:val="20"/>
        </w:rPr>
      </w:pPr>
      <w:r>
        <w:rPr>
          <w:rFonts w:ascii="Times New Roman" w:hAnsi="Times New Roman"/>
          <w:sz w:val="20"/>
        </w:rPr>
        <w:t xml:space="preserve">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(Section 10.10).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xa133579_9"/>
      <w:bookmarkEnd w:id="23"/>
      <w:r>
        <w:rPr>
          <w:rFonts w:ascii="Times New Roman" w:hAnsi="Times New Roman"/>
          <w:b/>
          <w:sz w:val="20"/>
        </w:rPr>
        <w:t xml:space="preserve">DESCRIPTION OF OTHER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set forth in the applicable prospectus supplement a description of any warrants or units issued by us that may be offered and sold pursuant to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xa133579_10"/>
      <w:bookmarkEnd w:id="24"/>
      <w:r>
        <w:rPr>
          <w:rFonts w:ascii="Times New Roman" w:hAnsi="Times New Roman"/>
          <w:b/>
          <w:sz w:val="20"/>
        </w:rPr>
        <w:t xml:space="preserve">GLOBAL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Book-Entry, Delivery and Form </w:t>
      </w:r>
    </w:p>
    <w:p>
      <w:pPr>
        <w:pStyle w:val="TextBody"/>
        <w:bidi w:val="0"/>
        <w:spacing w:before="120" w:after="0"/>
        <w:jc w:val="left"/>
        <w:rPr>
          <w:rFonts w:ascii="Times New Roman" w:hAnsi="Times New Roman"/>
          <w:sz w:val="20"/>
        </w:rPr>
      </w:pPr>
      <w:r>
        <w:rPr>
          <w:rFonts w:ascii="Times New Roman" w:hAnsi="Times New Roman"/>
          <w:sz w:val="20"/>
        </w:rPr>
        <w:t xml:space="preserve">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 </w:t>
      </w:r>
    </w:p>
    <w:p>
      <w:pPr>
        <w:pStyle w:val="TextBody"/>
        <w:bidi w:val="0"/>
        <w:spacing w:before="240" w:after="0"/>
        <w:jc w:val="left"/>
        <w:rPr>
          <w:rFonts w:ascii="Times New Roman" w:hAnsi="Times New Roman"/>
          <w:sz w:val="20"/>
        </w:rPr>
      </w:pPr>
      <w:r>
        <w:rPr>
          <w:rFonts w:ascii="Times New Roman" w:hAnsi="Times New Roman"/>
          <w:sz w:val="20"/>
        </w:rPr>
        <w:t xml:space="preserve">DTC has advised us that it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limited-purpose trust company organized under the New York Banking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“banking organization” within the meaning of the New York Banking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member of the Federal Reserve System;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“clearing corporation” within the meaning of the New York Uniform Commercial Code;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“clearing agency” registered pursuant to the provisions of Section 17A of the Exchange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 </w:t>
      </w:r>
    </w:p>
    <w:p>
      <w:pPr>
        <w:pStyle w:val="TextBody"/>
        <w:bidi w:val="0"/>
        <w:spacing w:before="240" w:after="0"/>
        <w:jc w:val="left"/>
        <w:rPr>
          <w:rFonts w:ascii="Times New Roman" w:hAnsi="Times New Roman"/>
          <w:sz w:val="20"/>
        </w:rPr>
      </w:pPr>
      <w:r>
        <w:rPr>
          <w:rFonts w:ascii="Times New Roman" w:hAnsi="Times New Roman"/>
          <w:sz w:val="20"/>
        </w:rPr>
        <w:t xml:space="preserve">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Redemption notices will be sent to DTC. If less than all of the securities of a particular series are being redeemed, DTC’s practice is to determine by lot the amount of the interest of each direct participant in the securities of such series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 </w:t>
      </w:r>
    </w:p>
    <w:p>
      <w:pPr>
        <w:pStyle w:val="TextBody"/>
        <w:bidi w:val="0"/>
        <w:spacing w:before="240" w:after="0"/>
        <w:jc w:val="left"/>
        <w:rPr>
          <w:rFonts w:ascii="Times New Roman" w:hAnsi="Times New Roman"/>
          <w:sz w:val="20"/>
        </w:rPr>
      </w:pPr>
      <w:r>
        <w:rPr>
          <w:rFonts w:ascii="Times New Roman" w:hAnsi="Times New Roman"/>
          <w:sz w:val="20"/>
        </w:rPr>
        <w:t xml:space="preserve">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 </w:t>
      </w:r>
    </w:p>
    <w:p>
      <w:pPr>
        <w:pStyle w:val="TextBody"/>
        <w:bidi w:val="0"/>
        <w:spacing w:before="240" w:after="0"/>
        <w:jc w:val="left"/>
        <w:rPr>
          <w:rFonts w:ascii="Times New Roman" w:hAnsi="Times New Roman"/>
          <w:sz w:val="20"/>
        </w:rPr>
      </w:pPr>
      <w:r>
        <w:rPr>
          <w:rFonts w:ascii="Times New Roman" w:hAnsi="Times New Roman"/>
          <w:sz w:val="20"/>
        </w:rPr>
        <w:t xml:space="preserve">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 </w:t>
      </w:r>
    </w:p>
    <w:p>
      <w:pPr>
        <w:pStyle w:val="TextBody"/>
        <w:bidi w:val="0"/>
        <w:spacing w:before="240" w:after="0"/>
        <w:jc w:val="left"/>
        <w:rPr>
          <w:rFonts w:ascii="Times New Roman" w:hAnsi="Times New Roman"/>
          <w:sz w:val="20"/>
        </w:rPr>
      </w:pPr>
      <w:r>
        <w:rPr>
          <w:rFonts w:ascii="Times New Roman" w:hAnsi="Times New Roman"/>
          <w:sz w:val="20"/>
        </w:rPr>
        <w:t xml:space="preserve">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laws of some jurisdictions may require that some purchasers of securities take physical delivery of securities in definitive form. Those laws may impair the ability to transfer or pledge beneficial interests in securities. </w:t>
      </w:r>
    </w:p>
    <w:p>
      <w:pPr>
        <w:pStyle w:val="TextBody"/>
        <w:bidi w:val="0"/>
        <w:spacing w:before="240" w:after="0"/>
        <w:jc w:val="left"/>
        <w:rPr>
          <w:rFonts w:ascii="Times New Roman" w:hAnsi="Times New Roman"/>
          <w:sz w:val="20"/>
        </w:rPr>
      </w:pPr>
      <w:r>
        <w:rPr>
          <w:rFonts w:ascii="Times New Roman" w:hAnsi="Times New Roman"/>
          <w:sz w:val="20"/>
        </w:rPr>
        <w:t xml:space="preserve">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noted above, beneficial owners of a particular series of securities generally will not receive certificates representing their ownership interests in those securities. However,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determine, in our sole discretion, not to have such securities represented by one or more global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Event of Default has occurred and is continuing with respect to such series of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Euroclear and Clearstream </w:t>
      </w:r>
    </w:p>
    <w:p>
      <w:pPr>
        <w:pStyle w:val="TextBody"/>
        <w:bidi w:val="0"/>
        <w:spacing w:before="120" w:after="0"/>
        <w:jc w:val="left"/>
        <w:rPr>
          <w:rFonts w:ascii="Times New Roman" w:hAnsi="Times New Roman"/>
          <w:sz w:val="20"/>
        </w:rPr>
      </w:pPr>
      <w:r>
        <w:rPr>
          <w:rFonts w:ascii="Times New Roman" w:hAnsi="Times New Roman"/>
          <w:sz w:val="20"/>
        </w:rPr>
        <w:t xml:space="preserve">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 </w:t>
      </w:r>
    </w:p>
    <w:p>
      <w:pPr>
        <w:pStyle w:val="TextBody"/>
        <w:bidi w:val="0"/>
        <w:spacing w:before="240" w:after="0"/>
        <w:jc w:val="left"/>
        <w:rPr>
          <w:rFonts w:ascii="Times New Roman" w:hAnsi="Times New Roman"/>
          <w:sz w:val="20"/>
        </w:rPr>
      </w:pPr>
      <w:r>
        <w:rPr>
          <w:rFonts w:ascii="Times New Roman" w:hAnsi="Times New Roman"/>
          <w:sz w:val="20"/>
        </w:rPr>
        <w:t xml:space="preserve">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 </w:t>
      </w:r>
    </w:p>
    <w:p>
      <w:pPr>
        <w:pStyle w:val="TextBody"/>
        <w:bidi w:val="0"/>
        <w:spacing w:before="240" w:after="0"/>
        <w:jc w:val="left"/>
        <w:rPr>
          <w:rFonts w:ascii="Times New Roman" w:hAnsi="Times New Roman"/>
          <w:sz w:val="20"/>
        </w:rPr>
      </w:pPr>
      <w:r>
        <w:rPr>
          <w:rFonts w:ascii="Times New Roman" w:hAnsi="Times New Roman"/>
          <w:sz w:val="20"/>
        </w:rPr>
        <w:t xml:space="preserve">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 </w:t>
      </w:r>
    </w:p>
    <w:p>
      <w:pPr>
        <w:pStyle w:val="TextBody"/>
        <w:bidi w:val="0"/>
        <w:spacing w:before="240" w:after="0"/>
        <w:jc w:val="left"/>
        <w:rPr>
          <w:rFonts w:ascii="Times New Roman" w:hAnsi="Times New Roman"/>
          <w:sz w:val="20"/>
        </w:rPr>
      </w:pPr>
      <w:r>
        <w:rPr>
          <w:rFonts w:ascii="Times New Roman" w:hAnsi="Times New Roman"/>
          <w:sz w:val="20"/>
        </w:rPr>
        <w:t xml:space="preserve">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xa133579_11"/>
      <w:bookmarkEnd w:id="25"/>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offered securities from time to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underwriters or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one or more purchasers;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 combination of any of these methods of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identify the specific plan of distribution, including any underwriters, dealers, agents or direct purchasers and their compensation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xa133579_12"/>
      <w:bookmarkEnd w:id="26"/>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Latham &amp; Watkins LLP, San Diego, California, will pass upon certain legal matters relating to the issuance and sale of the securities offered hereby on behalf of Erasca, Inc. Latham &amp; Watkins LLP and certain attorneys in the firm who have rendered, and will continue to render, legal services to us, own shares of our common stock representing in the aggregate less than one percent of the shares of our common stock outstanding. Additional legal matters may be passed upon for us or any underwriters, dealers or agents, by counsel that we will name in the applicable prospectus supplement. </w:t>
      </w:r>
    </w:p>
    <w:p>
      <w:pPr>
        <w:pStyle w:val="TextBody"/>
        <w:bidi w:val="0"/>
        <w:spacing w:before="480" w:after="0"/>
        <w:jc w:val="center"/>
        <w:rPr>
          <w:rFonts w:ascii="Times New Roman" w:hAnsi="Times New Roman"/>
          <w:b/>
          <w:sz w:val="20"/>
        </w:rPr>
      </w:pPr>
      <w:bookmarkStart w:id="27" w:name="txa133579_13"/>
      <w:bookmarkEnd w:id="27"/>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Erasca, Inc. as of December 31, 2025 and 2024, and for the years then ended, have been incorporated by reference herein and in the registration statement in reliance upon the report of KPMG LLP, independent registered public accounting firm, incorporated by reference herein, and upon the authority of said firm as experts in accounting and auditing.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960" w:after="0"/>
        <w:jc w:val="center"/>
        <w:rPr>
          <w:rFonts w:ascii="Arial" w:hAnsi="Arial"/>
          <w:b/>
          <w:i/>
          <w:sz w:val="36"/>
        </w:rPr>
      </w:pPr>
      <w:r>
        <w:rPr>
          <w:rFonts w:ascii="Arial" w:hAnsi="Arial"/>
          <w:b/>
          <w:i/>
          <w:sz w:val="36"/>
        </w:rPr>
        <w:t xml:space="preserve">$500,000,000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308860" cy="38608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8"/>
                    <a:stretch>
                      <a:fillRect/>
                    </a:stretch>
                  </pic:blipFill>
                  <pic:spPr bwMode="auto">
                    <a:xfrm>
                      <a:off x="0" y="0"/>
                      <a:ext cx="2308860" cy="386080"/>
                    </a:xfrm>
                    <a:prstGeom prst="rect">
                      <a:avLst/>
                    </a:prstGeom>
                  </pic:spPr>
                </pic:pic>
              </a:graphicData>
            </a:graphic>
          </wp:inline>
        </w:drawing>
      </w:r>
      <w:r>
        <w:rPr/>
        <w:t xml:space="preserve"> </w:t>
      </w:r>
    </w:p>
    <w:p>
      <w:pPr>
        <w:pStyle w:val="TextBody"/>
        <w:bidi w:val="0"/>
        <w:spacing w:before="720" w:after="0"/>
        <w:jc w:val="center"/>
        <w:rPr>
          <w:rFonts w:ascii="Arial" w:hAnsi="Arial"/>
          <w:b/>
          <w:i/>
          <w:sz w:val="36"/>
        </w:rPr>
      </w:pPr>
      <w:r>
        <w:rPr>
          <w:rFonts w:ascii="Arial" w:hAnsi="Arial"/>
          <w:b/>
          <w:i/>
          <w:sz w:val="36"/>
        </w:rPr>
        <w:t xml:space="preserve">Common stock </w:t>
      </w:r>
    </w:p>
    <w:p>
      <w:pPr>
        <w:pStyle w:val="TextBody"/>
        <w:bidi w:val="0"/>
        <w:spacing w:before="720" w:after="0"/>
        <w:jc w:val="center"/>
        <w:rPr>
          <w:rFonts w:ascii="Arial" w:hAnsi="Arial"/>
          <w:b/>
          <w:sz w:val="48"/>
        </w:rPr>
      </w:pPr>
      <w:r>
        <w:rPr>
          <w:rFonts w:ascii="Arial" w:hAnsi="Arial"/>
          <w:b/>
          <w:sz w:val="48"/>
        </w:rPr>
        <w:t xml:space="preserve">Prospectus supplement </w:t>
      </w:r>
    </w:p>
    <w:p>
      <w:pPr>
        <w:pStyle w:val="TextBody"/>
        <w:bidi w:val="0"/>
        <w:spacing w:before="0" w:after="0"/>
        <w:jc w:val="left"/>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41"/>
        <w:gridCol w:w="101"/>
        <w:gridCol w:w="3266"/>
        <w:gridCol w:w="102"/>
        <w:gridCol w:w="2449"/>
        <w:gridCol w:w="102"/>
        <w:gridCol w:w="2144"/>
      </w:tblGrid>
      <w:tr>
        <w:trPr/>
        <w:tc>
          <w:tcPr>
            <w:tcW w:w="2041"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b/>
                <w:sz w:val="28"/>
              </w:rPr>
            </w:pPr>
            <w:r>
              <w:rPr>
                <w:b/>
                <w:sz w:val="28"/>
              </w:rPr>
              <w:t>J.P. Morgan</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sz w:val="28"/>
              </w:rPr>
            </w:pPr>
            <w:r>
              <w:rPr>
                <w:b/>
                <w:sz w:val="28"/>
              </w:rPr>
              <w:t>Morgan Stanley</w:t>
            </w:r>
          </w:p>
        </w:tc>
        <w:tc>
          <w:tcPr>
            <w:tcW w:w="102" w:type="dxa"/>
            <w:tcBorders/>
            <w:vAlign w:val="bottom"/>
          </w:tcPr>
          <w:p>
            <w:pPr>
              <w:pStyle w:val="TableContents"/>
              <w:bidi w:val="0"/>
              <w:spacing w:before="0" w:after="283"/>
              <w:jc w:val="left"/>
              <w:rPr/>
            </w:pPr>
            <w:r>
              <w:rPr/>
              <w:t> </w:t>
            </w:r>
          </w:p>
        </w:tc>
        <w:tc>
          <w:tcPr>
            <w:tcW w:w="2449" w:type="dxa"/>
            <w:tcBorders/>
          </w:tcPr>
          <w:p>
            <w:pPr>
              <w:pStyle w:val="TableContents"/>
              <w:bidi w:val="0"/>
              <w:spacing w:before="0" w:after="283"/>
              <w:jc w:val="center"/>
              <w:rPr>
                <w:b/>
              </w:rPr>
            </w:pPr>
            <w:r>
              <w:rPr>
                <w:b/>
              </w:rPr>
              <w:t>Jefferies</w:t>
            </w:r>
          </w:p>
        </w:tc>
        <w:tc>
          <w:tcPr>
            <w:tcW w:w="102" w:type="dxa"/>
            <w:tcBorders/>
            <w:vAlign w:val="bottom"/>
          </w:tcPr>
          <w:p>
            <w:pPr>
              <w:pStyle w:val="TableContents"/>
              <w:bidi w:val="0"/>
              <w:spacing w:before="0" w:after="283"/>
              <w:jc w:val="left"/>
              <w:rPr/>
            </w:pPr>
            <w:r>
              <w:rPr/>
              <w:t> </w:t>
            </w:r>
          </w:p>
        </w:tc>
        <w:tc>
          <w:tcPr>
            <w:tcW w:w="2144" w:type="dxa"/>
            <w:tcBorders/>
          </w:tcPr>
          <w:p>
            <w:pPr>
              <w:pStyle w:val="TableContents"/>
              <w:bidi w:val="0"/>
              <w:spacing w:before="0" w:after="283"/>
              <w:jc w:val="right"/>
              <w:rPr>
                <w:b/>
                <w:sz w:val="28"/>
              </w:rPr>
            </w:pPr>
            <w:r>
              <w:rPr>
                <w:b/>
                <w:sz w:val="28"/>
              </w:rPr>
              <w:t>Evercore ISI</w:t>
            </w:r>
          </w:p>
        </w:tc>
      </w:tr>
    </w:tbl>
    <w:p>
      <w:pPr>
        <w:pStyle w:val="TextBody"/>
        <w:bidi w:val="0"/>
        <w:spacing w:before="1200" w:after="0"/>
        <w:jc w:val="left"/>
        <w:rPr/>
      </w:pPr>
      <w:r>
        <w:rPr/>
        <w:t xml:space="preserve">    </w:t>
      </w:r>
      <w:r>
        <w:rPr>
          <w:rFonts w:ascii="Arial" w:hAnsi="Arial"/>
          <w:sz w:val="20"/>
        </w:rPr>
        <w:t xml:space="preserve">, 2026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761918/000119312526104150/eras-20251231.htm" TargetMode="External"/><Relationship Id="rId4" Type="http://schemas.openxmlformats.org/officeDocument/2006/relationships/hyperlink" Target="http://www.sec.gov/Archives/edgar/data/../../../ix?doc=/Archives/edgar/data/0001761918/000119312526187361/d946333ddef14a.htm" TargetMode="External"/><Relationship Id="rId5" Type="http://schemas.openxmlformats.org/officeDocument/2006/relationships/hyperlink" Target="http://www.sec.gov/Archives/edgar/data/../../../ix?doc=/Archives/edgar/data/0001761918/000119312526216788/eras-20260331.htm" TargetMode="External"/><Relationship Id="rId6" Type="http://schemas.openxmlformats.org/officeDocument/2006/relationships/hyperlink" Target="http://www.sec.gov/Archives/edgar/data/../../../ix?doc=/Archives/edgar/data/1761918/000119312526009820/eras-20260112.htm" TargetMode="External"/><Relationship Id="rId7" Type="http://schemas.openxmlformats.org/officeDocument/2006/relationships/hyperlink" Target="http://www.sec.gov/Archives/edgar/data/../../../ix?doc=/Archives/edgar/data/1761918/000119312526019651/d51429d8k.htm" TargetMode="External"/><Relationship Id="rId8" Type="http://schemas.openxmlformats.org/officeDocument/2006/relationships/hyperlink" Target="http://www.sec.gov/Archives/edgar/data/../../../ix?doc=/Archives/edgar/data/1761918/000119312526029467/eras-20260129.htm" TargetMode="External"/><Relationship Id="rId9" Type="http://schemas.openxmlformats.org/officeDocument/2006/relationships/hyperlink" Target="http://www.sec.gov/Archives/edgar/data/../../../ix?doc=/Archives/edgar/data/1761918/000119312526165297/eras-20260421.htm" TargetMode="External"/><Relationship Id="rId10" Type="http://schemas.openxmlformats.org/officeDocument/2006/relationships/hyperlink" Target="http://www.sec.gov/Archives/edgar/data/../../../ix?doc=/Archives/edgar/data/0001761918/000119312526179214/eras-20260427.htm" TargetMode="External"/><Relationship Id="rId11" Type="http://schemas.openxmlformats.org/officeDocument/2006/relationships/hyperlink" Target="http://www.sec.gov/Archives/edgar/data/../../../ix?doc=/Archives/edgar/data/1761918/000119312526182137/d126999d8k.htm" TargetMode="External"/><Relationship Id="rId12" Type="http://schemas.openxmlformats.org/officeDocument/2006/relationships/hyperlink" Target="http://www.sec.gov/Archives/edgar/data/../../../ix?doc=/Archives/edgar/data/0001761918/000119312526290881/eras-20260626.htm" TargetMode="External"/><Relationship Id="rId13" Type="http://schemas.openxmlformats.org/officeDocument/2006/relationships/hyperlink" Target="http://www.sec.gov/Archives/edgar/data/../../../ix?doc=/Archives/edgar/data/1761918/000119312526302045/d54726d8k.htm" TargetMode="External"/><Relationship Id="rId14" Type="http://schemas.openxmlformats.org/officeDocument/2006/relationships/hyperlink" Target="http://www.sec.gov/Archives/edgar/data/1761918/000119312521214084/d203245d8a12b.htm" TargetMode="External"/><Relationship Id="rId15" Type="http://schemas.openxmlformats.org/officeDocument/2006/relationships/image" Target="media/image2.jpeg"/><Relationship Id="rId16" Type="http://schemas.openxmlformats.org/officeDocument/2006/relationships/hyperlink" Target="http://www.sec.gov/Archives/edgar/data/../../../ix?doc=/Archives/edgar/data/1761918/000119312526104150/eras-20251231.htm" TargetMode="External"/><Relationship Id="rId17" Type="http://schemas.openxmlformats.org/officeDocument/2006/relationships/hyperlink" Target="http://www.sec.gov/Archives/edgar/data/../../../ix?doc=/Archives/edgar/data/0001761918/000119312526187361/d946333ddef14a.htm" TargetMode="External"/><Relationship Id="rId18" Type="http://schemas.openxmlformats.org/officeDocument/2006/relationships/hyperlink" Target="http://www.sec.gov/Archives/edgar/data/../../../ix?doc=/Archives/edgar/data/1761918/000119312526187361/d946333ddef14a.htm" TargetMode="External"/><Relationship Id="rId19" Type="http://schemas.openxmlformats.org/officeDocument/2006/relationships/hyperlink" Target="http://www.sec.gov/Archives/edgar/data/../../../ix?doc=/Archives/edgar/data/1761918/000119312526216788/eras-20260331.htm" TargetMode="External"/><Relationship Id="rId20" Type="http://schemas.openxmlformats.org/officeDocument/2006/relationships/hyperlink" Target="http://www.sec.gov/Archives/edgar/data/../../../ix?doc=/Archives/edgar/data/1761918/000119312526009820/eras-20260112.htm" TargetMode="External"/><Relationship Id="rId21" Type="http://schemas.openxmlformats.org/officeDocument/2006/relationships/hyperlink" Target="http://www.sec.gov/Archives/edgar/data/../../../ix?doc=/Archives/edgar/data/1761918/000119312526019651/d51429d8k.htm" TargetMode="External"/><Relationship Id="rId22" Type="http://schemas.openxmlformats.org/officeDocument/2006/relationships/hyperlink" Target="http://www.sec.gov/Archives/edgar/data/../../../ix?doc=/Archives/edgar/data/1761918/000119312526029467/eras-20260129.htm" TargetMode="External"/><Relationship Id="rId23" Type="http://schemas.openxmlformats.org/officeDocument/2006/relationships/hyperlink" Target="http://www.sec.gov/Archives/edgar/data/../../../ix?doc=/Archives/edgar/data/1761918/000119312526165297/eras-20260421.htm" TargetMode="External"/><Relationship Id="rId24" Type="http://schemas.openxmlformats.org/officeDocument/2006/relationships/hyperlink" Target="http://www.sec.gov/Archives/edgar/data/../../../ix?doc=/Archives/edgar/data/1761918/000119312526179214/eras-20260427.htm" TargetMode="External"/><Relationship Id="rId25" Type="http://schemas.openxmlformats.org/officeDocument/2006/relationships/hyperlink" Target="http://www.sec.gov/Archives/edgar/data/../../../ix?doc=/Archives/edgar/data/1761918/000119312526182137/d126999d8k.htm" TargetMode="External"/><Relationship Id="rId26" Type="http://schemas.openxmlformats.org/officeDocument/2006/relationships/hyperlink" Target="http://www.sec.gov/Archives/edgar/data/../../../ix?doc=/Archives/edgar/data/1761918/000119312526290881/eras-20260626.htm" TargetMode="External"/><Relationship Id="rId27" Type="http://schemas.openxmlformats.org/officeDocument/2006/relationships/hyperlink" Target="http://www.sec.gov/Archives/edgar/data/1761918/000119312521214084/d203245d8a12b.htm" TargetMode="External"/><Relationship Id="rId28" Type="http://schemas.openxmlformats.org/officeDocument/2006/relationships/image" Target="media/image3.jpeg"/><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66</Pages>
  <Words>31800</Words>
  <Characters>167888</Characters>
  <CharactersWithSpaces>200338</CharactersWithSpaces>
  <Paragraphs>1863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