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111125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520" w:hanging="3639"/>
        <w:spacing w:after="0" w:line="320"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left="2840" w:right="1540" w:hanging="2819"/>
        <w:spacing w:after="0" w:line="312" w:lineRule="auto"/>
        <w:tabs>
          <w:tab w:leader="none" w:pos="47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 to ______________</w:t>
      </w:r>
    </w:p>
    <w:p>
      <w:pPr>
        <w:spacing w:after="0" w:line="1" w:lineRule="exact"/>
        <w:rPr>
          <w:rFonts w:ascii="MS PGothic" w:cs="MS PGothic" w:eastAsia="MS PGothic" w:hAnsi="MS PGothic"/>
          <w:sz w:val="18"/>
          <w:szCs w:val="18"/>
          <w:color w:val="auto"/>
          <w:highlight w:val="black"/>
        </w:rPr>
      </w:pPr>
    </w:p>
    <w:p>
      <w:pPr>
        <w:ind w:left="40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ERASCA,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p>
      <w:pPr>
        <w:spacing w:after="0" w:line="248"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Delaware</w:t>
      </w:r>
    </w:p>
    <w:p>
      <w:pPr>
        <w:ind w:left="1940"/>
        <w:spacing w:after="0" w:line="230" w:lineRule="auto"/>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4" w:lineRule="exact"/>
        <w:rPr>
          <w:sz w:val="24"/>
          <w:szCs w:val="24"/>
          <w:color w:val="auto"/>
        </w:rPr>
      </w:pPr>
    </w:p>
    <w:p>
      <w:pPr>
        <w:jc w:val="center"/>
        <w:ind w:right="1560"/>
        <w:spacing w:after="0"/>
        <w:rPr>
          <w:sz w:val="20"/>
          <w:szCs w:val="20"/>
          <w:color w:val="auto"/>
        </w:rPr>
      </w:pPr>
      <w:r>
        <w:rPr>
          <w:rFonts w:ascii="Arial" w:cs="Arial" w:eastAsia="Arial" w:hAnsi="Arial"/>
          <w:sz w:val="17"/>
          <w:szCs w:val="17"/>
          <w:b w:val="1"/>
          <w:bCs w:val="1"/>
          <w:color w:val="auto"/>
        </w:rPr>
        <w:t>3115 Merryfield Row, Suite 300</w:t>
      </w:r>
    </w:p>
    <w:p>
      <w:pPr>
        <w:spacing w:after="0" w:line="21"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San Diego, CA</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83-1217027</w:t>
      </w:r>
    </w:p>
    <w:p>
      <w:pPr>
        <w:spacing w:after="0" w:line="7"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214"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92121</w:t>
      </w:r>
    </w:p>
    <w:p>
      <w:pPr>
        <w:spacing w:after="0" w:line="8" w:lineRule="exact"/>
        <w:rPr>
          <w:sz w:val="24"/>
          <w:szCs w:val="24"/>
          <w:color w:val="auto"/>
        </w:rPr>
      </w:pPr>
    </w:p>
    <w:p>
      <w:pPr>
        <w:sectPr>
          <w:pgSz w:w="11900" w:h="16838" w:orient="portrait"/>
          <w:cols w:equalWidth="0" w:num="2">
            <w:col w:w="7180" w:space="720"/>
            <w:col w:w="3340"/>
          </w:cols>
          <w:pgMar w:left="320" w:top="1149" w:right="339" w:bottom="1440" w:gutter="0" w:footer="0" w:header="0"/>
          <w:type w:val="continuous"/>
        </w:sectPr>
      </w:pP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40"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(858) 465-6511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280" w:type="dxa"/>
            <w:vAlign w:val="bottom"/>
          </w:tcPr>
          <w:p>
            <w:pPr>
              <w:spacing w:after="0"/>
              <w:rPr>
                <w:sz w:val="20"/>
                <w:szCs w:val="20"/>
                <w:color w:val="auto"/>
              </w:rPr>
            </w:pPr>
            <w:r>
              <w:rPr>
                <w:rFonts w:ascii="Arial" w:cs="Arial" w:eastAsia="Arial" w:hAnsi="Arial"/>
                <w:sz w:val="16"/>
                <w:szCs w:val="16"/>
                <w:color w:val="auto"/>
              </w:rPr>
              <w:t>Common Stock, $0.0001 par value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ERAS</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68" w:lineRule="exact"/>
        <w:rPr>
          <w:sz w:val="24"/>
          <w:szCs w:val="24"/>
          <w:color w:val="auto"/>
        </w:rPr>
      </w:pPr>
    </w:p>
    <w:p>
      <w:pPr>
        <w:ind w:right="12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4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80"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spacing w:after="0"/>
              <w:rPr>
                <w:sz w:val="23"/>
                <w:szCs w:val="23"/>
                <w:color w:val="auto"/>
              </w:rPr>
            </w:pPr>
          </w:p>
        </w:tc>
        <w:tc>
          <w:tcPr>
            <w:tcW w:w="360" w:type="dxa"/>
            <w:vAlign w:val="bottom"/>
          </w:tcPr>
          <w:p>
            <w:pPr>
              <w:spacing w:after="0"/>
              <w:rPr>
                <w:sz w:val="23"/>
                <w:szCs w:val="23"/>
                <w:color w:val="auto"/>
              </w:rPr>
            </w:pPr>
          </w:p>
        </w:tc>
      </w:tr>
    </w:tbl>
    <w:p>
      <w:pPr>
        <w:spacing w:after="0" w:line="47" w:lineRule="exact"/>
        <w:rPr>
          <w:sz w:val="24"/>
          <w:szCs w:val="24"/>
          <w:color w:val="auto"/>
        </w:rPr>
      </w:pPr>
    </w:p>
    <w:p>
      <w:pPr>
        <w:ind w:right="60" w:firstLine="59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180"/>
        <w:spacing w:after="0" w:line="25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5, 2026, the registrant had 310,984,542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8"/>
            <w:vMerge w:val="restart"/>
          </w:tcPr>
          <w:p>
            <w:pPr>
              <w:spacing w:after="0"/>
              <w:rPr>
                <w:sz w:val="20"/>
                <w:szCs w:val="20"/>
                <w:color w:val="auto"/>
              </w:rPr>
            </w:pPr>
            <w:r>
              <w:rPr>
                <w:rFonts w:ascii="Arial" w:cs="Arial" w:eastAsia="Arial" w:hAnsi="Arial"/>
                <w:sz w:val="18"/>
                <w:szCs w:val="18"/>
                <w:color w:val="auto"/>
              </w:rPr>
              <w:t>FINANCIAL INFORMATION</w:t>
            </w: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7"/>
        </w:trPr>
        <w:tc>
          <w:tcPr>
            <w:tcW w:w="920" w:type="dxa"/>
            <w:vAlign w:val="bottom"/>
            <w:gridSpan w:val="2"/>
            <w:vMerge w:val="continue"/>
          </w:tcPr>
          <w:p>
            <w:pPr>
              <w:spacing w:after="0"/>
              <w:rPr>
                <w:sz w:val="15"/>
                <w:szCs w:val="15"/>
                <w:color w:val="auto"/>
              </w:rPr>
            </w:pPr>
          </w:p>
        </w:tc>
        <w:tc>
          <w:tcPr>
            <w:tcW w:w="9660" w:type="dxa"/>
            <w:vAlign w:val="bottom"/>
            <w:gridSpan w:val="18"/>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2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9660" w:type="dxa"/>
            <w:vAlign w:val="bottom"/>
            <w:gridSpan w:val="18"/>
          </w:tcPr>
          <w:p>
            <w:pPr>
              <w:spacing w:after="0" w:line="195" w:lineRule="exact"/>
              <w:rPr>
                <w:sz w:val="20"/>
                <w:szCs w:val="20"/>
                <w:color w:val="auto"/>
              </w:rPr>
            </w:pPr>
            <w:r>
              <w:rPr>
                <w:rFonts w:ascii="Arial" w:cs="Arial" w:eastAsia="Arial" w:hAnsi="Arial"/>
                <w:sz w:val="18"/>
                <w:szCs w:val="18"/>
                <w:color w:val="0563C1"/>
              </w:rPr>
              <w:t>Financial Statements (Unaudited)</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7000" w:type="dxa"/>
            <w:vAlign w:val="bottom"/>
            <w:gridSpan w:val="9"/>
            <w:vMerge w:val="restart"/>
          </w:tcPr>
          <w:p>
            <w:pPr>
              <w:ind w:left="100"/>
              <w:spacing w:after="0" w:line="202" w:lineRule="exact"/>
              <w:rPr>
                <w:sz w:val="20"/>
                <w:szCs w:val="20"/>
                <w:color w:val="auto"/>
              </w:rPr>
            </w:pPr>
            <w:r>
              <w:rPr>
                <w:rFonts w:ascii="Arial" w:cs="Arial" w:eastAsia="Arial" w:hAnsi="Arial"/>
                <w:sz w:val="18"/>
                <w:szCs w:val="18"/>
                <w:color w:val="0563C1"/>
              </w:rPr>
              <w:t>Sheets as of March 31, 2026 and December 31, 2025</w:t>
            </w: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60" w:type="dxa"/>
            <w:vAlign w:val="bottom"/>
            <w:gridSpan w:val="9"/>
          </w:tcPr>
          <w:p>
            <w:pPr>
              <w:spacing w:after="0" w:line="182" w:lineRule="exact"/>
              <w:rPr>
                <w:sz w:val="20"/>
                <w:szCs w:val="20"/>
                <w:color w:val="auto"/>
              </w:rPr>
            </w:pPr>
            <w:r>
              <w:rPr>
                <w:rFonts w:ascii="Arial" w:cs="Arial" w:eastAsia="Arial" w:hAnsi="Arial"/>
                <w:sz w:val="18"/>
                <w:szCs w:val="18"/>
                <w:color w:val="0563C1"/>
                <w:w w:val="96"/>
              </w:rPr>
              <w:t>Condensed Consolidated Balance</w:t>
            </w:r>
          </w:p>
        </w:tc>
        <w:tc>
          <w:tcPr>
            <w:tcW w:w="7000" w:type="dxa"/>
            <w:vAlign w:val="bottom"/>
            <w:gridSpan w:val="9"/>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920" w:type="dxa"/>
            <w:vAlign w:val="bottom"/>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20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60" w:type="dxa"/>
            <w:vAlign w:val="bottom"/>
            <w:gridSpan w:val="18"/>
          </w:tcPr>
          <w:p>
            <w:pPr>
              <w:spacing w:after="0" w:line="182" w:lineRule="exact"/>
              <w:rPr>
                <w:sz w:val="20"/>
                <w:szCs w:val="20"/>
                <w:color w:val="auto"/>
              </w:rPr>
            </w:pPr>
            <w:r>
              <w:rPr>
                <w:rFonts w:ascii="Arial" w:cs="Arial" w:eastAsia="Arial" w:hAnsi="Arial"/>
                <w:sz w:val="18"/>
                <w:szCs w:val="18"/>
                <w:color w:val="0563C1"/>
              </w:rPr>
              <w:t>Condensed Consolidated Statements of Operations and Comprehensive Loss for the three months ended March 31,</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Borders>
              <w:top w:val="single" w:sz="8" w:color="0563C1"/>
              <w:bottom w:val="single" w:sz="8" w:color="0563C1"/>
            </w:tcBorders>
            <w:gridSpan w:val="3"/>
          </w:tcPr>
          <w:p>
            <w:pPr>
              <w:spacing w:after="0" w:line="182" w:lineRule="exact"/>
              <w:rPr>
                <w:sz w:val="20"/>
                <w:szCs w:val="20"/>
                <w:color w:val="auto"/>
              </w:rPr>
            </w:pPr>
            <w:r>
              <w:rPr>
                <w:rFonts w:ascii="Arial" w:cs="Arial" w:eastAsia="Arial" w:hAnsi="Arial"/>
                <w:sz w:val="18"/>
                <w:szCs w:val="18"/>
                <w:color w:val="0563C1"/>
                <w:w w:val="98"/>
              </w:rPr>
              <w:t>2026 and 2025</w:t>
            </w:r>
          </w:p>
        </w:tc>
        <w:tc>
          <w:tcPr>
            <w:tcW w:w="8100" w:type="dxa"/>
            <w:vAlign w:val="bottom"/>
            <w:tcBorders>
              <w:top w:val="single" w:sz="8" w:color="0563C1"/>
            </w:tcBorders>
            <w:gridSpan w:val="14"/>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3"/>
          </w:tcPr>
          <w:p>
            <w:pPr>
              <w:spacing w:after="0" w:line="182" w:lineRule="exact"/>
              <w:rPr>
                <w:sz w:val="20"/>
                <w:szCs w:val="20"/>
                <w:color w:val="auto"/>
              </w:rPr>
            </w:pPr>
            <w:r>
              <w:rPr>
                <w:rFonts w:ascii="Arial" w:cs="Arial" w:eastAsia="Arial" w:hAnsi="Arial"/>
                <w:sz w:val="18"/>
                <w:szCs w:val="18"/>
                <w:color w:val="0563C1"/>
              </w:rPr>
              <w:t>Condensed</w:t>
            </w:r>
          </w:p>
        </w:tc>
        <w:tc>
          <w:tcPr>
            <w:tcW w:w="8460" w:type="dxa"/>
            <w:vAlign w:val="bottom"/>
            <w:gridSpan w:val="15"/>
          </w:tcPr>
          <w:p>
            <w:pPr>
              <w:spacing w:after="0" w:line="182" w:lineRule="exact"/>
              <w:rPr>
                <w:sz w:val="20"/>
                <w:szCs w:val="20"/>
                <w:color w:val="auto"/>
              </w:rPr>
            </w:pPr>
            <w:r>
              <w:rPr>
                <w:rFonts w:ascii="Arial" w:cs="Arial" w:eastAsia="Arial" w:hAnsi="Arial"/>
                <w:sz w:val="18"/>
                <w:szCs w:val="18"/>
                <w:color w:val="0563C1"/>
              </w:rPr>
              <w:t>Consolidated Statements of Stockholders’ Equity for the three months ended March 31, 2026 and 2025</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920" w:type="dxa"/>
            <w:vAlign w:val="bottom"/>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240" w:type="dxa"/>
            <w:vAlign w:val="bottom"/>
            <w:gridSpan w:val="2"/>
            <w:shd w:val="clear" w:color="auto" w:fill="0563C1"/>
          </w:tcPr>
          <w:p>
            <w:pPr>
              <w:spacing w:after="0" w:line="20" w:lineRule="exact"/>
              <w:rPr>
                <w:sz w:val="1"/>
                <w:szCs w:val="1"/>
                <w:color w:val="auto"/>
              </w:rPr>
            </w:pPr>
          </w:p>
        </w:tc>
        <w:tc>
          <w:tcPr>
            <w:tcW w:w="1400" w:type="dxa"/>
            <w:vAlign w:val="bottom"/>
            <w:shd w:val="clear" w:color="auto" w:fill="0563C1"/>
          </w:tcPr>
          <w:p>
            <w:pPr>
              <w:spacing w:after="0" w:line="20" w:lineRule="exact"/>
              <w:rPr>
                <w:sz w:val="1"/>
                <w:szCs w:val="1"/>
                <w:color w:val="auto"/>
              </w:rPr>
            </w:pPr>
          </w:p>
        </w:tc>
        <w:tc>
          <w:tcPr>
            <w:tcW w:w="680" w:type="dxa"/>
            <w:vAlign w:val="bottom"/>
            <w:shd w:val="clear" w:color="auto" w:fill="0563C1"/>
          </w:tcPr>
          <w:p>
            <w:pPr>
              <w:spacing w:after="0" w:line="20" w:lineRule="exact"/>
              <w:rPr>
                <w:sz w:val="1"/>
                <w:szCs w:val="1"/>
                <w:color w:val="auto"/>
              </w:rPr>
            </w:pPr>
          </w:p>
        </w:tc>
        <w:tc>
          <w:tcPr>
            <w:tcW w:w="500" w:type="dxa"/>
            <w:vAlign w:val="bottom"/>
            <w:gridSpan w:val="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160" w:type="dxa"/>
            <w:vAlign w:val="bottom"/>
            <w:gridSpan w:val="16"/>
          </w:tcPr>
          <w:p>
            <w:pPr>
              <w:spacing w:after="0" w:line="182" w:lineRule="exact"/>
              <w:rPr>
                <w:sz w:val="20"/>
                <w:szCs w:val="20"/>
                <w:color w:val="auto"/>
              </w:rPr>
            </w:pPr>
            <w:r>
              <w:rPr>
                <w:rFonts w:ascii="Arial" w:cs="Arial" w:eastAsia="Arial" w:hAnsi="Arial"/>
                <w:sz w:val="18"/>
                <w:szCs w:val="18"/>
                <w:color w:val="0563C1"/>
              </w:rPr>
              <w:t>Condensed Consolidated Statements of Cash Flows for the three months ended March 31, 2026 and 2025</w:t>
            </w:r>
          </w:p>
        </w:tc>
        <w:tc>
          <w:tcPr>
            <w:tcW w:w="5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920" w:type="dxa"/>
            <w:vAlign w:val="bottom"/>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240" w:type="dxa"/>
            <w:vAlign w:val="bottom"/>
            <w:gridSpan w:val="2"/>
            <w:shd w:val="clear" w:color="auto" w:fill="0563C1"/>
          </w:tcPr>
          <w:p>
            <w:pPr>
              <w:spacing w:after="0" w:line="20" w:lineRule="exact"/>
              <w:rPr>
                <w:sz w:val="1"/>
                <w:szCs w:val="1"/>
                <w:color w:val="auto"/>
              </w:rPr>
            </w:pPr>
          </w:p>
        </w:tc>
        <w:tc>
          <w:tcPr>
            <w:tcW w:w="1400" w:type="dxa"/>
            <w:vAlign w:val="bottom"/>
            <w:shd w:val="clear" w:color="auto" w:fill="0563C1"/>
          </w:tcPr>
          <w:p>
            <w:pPr>
              <w:spacing w:after="0" w:line="20" w:lineRule="exact"/>
              <w:rPr>
                <w:sz w:val="1"/>
                <w:szCs w:val="1"/>
                <w:color w:val="auto"/>
              </w:rPr>
            </w:pPr>
          </w:p>
        </w:tc>
        <w:tc>
          <w:tcPr>
            <w:tcW w:w="1180" w:type="dxa"/>
            <w:vAlign w:val="bottom"/>
            <w:gridSpan w:val="3"/>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80" w:type="dxa"/>
            <w:vAlign w:val="bottom"/>
            <w:gridSpan w:val="15"/>
          </w:tcPr>
          <w:p>
            <w:pPr>
              <w:spacing w:after="0" w:line="182" w:lineRule="exact"/>
              <w:rPr>
                <w:sz w:val="20"/>
                <w:szCs w:val="20"/>
                <w:color w:val="auto"/>
              </w:rPr>
            </w:pPr>
            <w:r>
              <w:rPr>
                <w:rFonts w:ascii="Arial" w:cs="Arial" w:eastAsia="Arial" w:hAnsi="Arial"/>
                <w:sz w:val="18"/>
                <w:szCs w:val="18"/>
                <w:color w:val="0563C1"/>
              </w:rPr>
              <w:t>Notes to Condensed Consolidated Financial Statements</w:t>
            </w:r>
          </w:p>
        </w:tc>
        <w:tc>
          <w:tcPr>
            <w:tcW w:w="1180" w:type="dxa"/>
            <w:vAlign w:val="bottom"/>
            <w:gridSpan w:val="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1920" w:type="dxa"/>
            <w:vAlign w:val="bottom"/>
            <w:gridSpan w:val="2"/>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9660" w:type="dxa"/>
            <w:vAlign w:val="bottom"/>
            <w:gridSpan w:val="18"/>
          </w:tcPr>
          <w:p>
            <w:pPr>
              <w:spacing w:after="0" w:line="182" w:lineRule="exact"/>
              <w:rPr>
                <w:sz w:val="20"/>
                <w:szCs w:val="20"/>
                <w:color w:val="auto"/>
              </w:rPr>
            </w:pPr>
            <w:r>
              <w:rPr>
                <w:rFonts w:ascii="Arial" w:cs="Arial" w:eastAsia="Arial" w:hAnsi="Arial"/>
                <w:sz w:val="18"/>
                <w:szCs w:val="18"/>
                <w:color w:val="0563C1"/>
              </w:rPr>
              <w:t>Management’s Discussion and Analysis of Financial Condition and Results of Operations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2160" w:type="dxa"/>
            <w:vAlign w:val="bottom"/>
            <w:gridSpan w:val="3"/>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2240" w:type="dxa"/>
            <w:vAlign w:val="bottom"/>
            <w:gridSpan w:val="2"/>
            <w:shd w:val="clear" w:color="auto" w:fill="0563C1"/>
          </w:tcPr>
          <w:p>
            <w:pPr>
              <w:spacing w:after="0" w:line="20" w:lineRule="exact"/>
              <w:rPr>
                <w:sz w:val="1"/>
                <w:szCs w:val="1"/>
                <w:color w:val="auto"/>
              </w:rPr>
            </w:pPr>
          </w:p>
        </w:tc>
        <w:tc>
          <w:tcPr>
            <w:tcW w:w="2580" w:type="dxa"/>
            <w:vAlign w:val="bottom"/>
            <w:gridSpan w:val="4"/>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7080" w:type="dxa"/>
            <w:vAlign w:val="bottom"/>
            <w:gridSpan w:val="14"/>
          </w:tcPr>
          <w:p>
            <w:pPr>
              <w:spacing w:after="0" w:line="182" w:lineRule="exact"/>
              <w:rPr>
                <w:sz w:val="20"/>
                <w:szCs w:val="20"/>
                <w:color w:val="auto"/>
              </w:rPr>
            </w:pPr>
            <w:r>
              <w:rPr>
                <w:rFonts w:ascii="Arial" w:cs="Arial" w:eastAsia="Arial" w:hAnsi="Arial"/>
                <w:sz w:val="18"/>
                <w:szCs w:val="18"/>
                <w:color w:val="0563C1"/>
              </w:rPr>
              <w:t>Quantitative and Qualitative Disclosures About Market Risk</w:t>
            </w:r>
          </w:p>
        </w:tc>
        <w:tc>
          <w:tcPr>
            <w:tcW w:w="2580" w:type="dxa"/>
            <w:vAlign w:val="bottom"/>
            <w:gridSpan w:val="4"/>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shd w:val="clear" w:color="auto" w:fill="0563C1"/>
          </w:tcPr>
          <w:p>
            <w:pPr>
              <w:spacing w:after="0" w:line="20" w:lineRule="exact"/>
              <w:rPr>
                <w:sz w:val="1"/>
                <w:szCs w:val="1"/>
                <w:color w:val="auto"/>
              </w:rPr>
            </w:pPr>
          </w:p>
        </w:tc>
        <w:tc>
          <w:tcPr>
            <w:tcW w:w="2160" w:type="dxa"/>
            <w:vAlign w:val="bottom"/>
            <w:gridSpan w:val="3"/>
            <w:shd w:val="clear" w:color="auto" w:fill="0563C1"/>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20" w:type="dxa"/>
            <w:vAlign w:val="bottom"/>
            <w:gridSpan w:val="6"/>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4700" w:type="dxa"/>
            <w:vAlign w:val="bottom"/>
            <w:gridSpan w:val="11"/>
          </w:tcPr>
          <w:p>
            <w:pPr>
              <w:spacing w:after="0" w:line="182" w:lineRule="exact"/>
              <w:rPr>
                <w:sz w:val="20"/>
                <w:szCs w:val="20"/>
                <w:color w:val="auto"/>
              </w:rPr>
            </w:pPr>
            <w:r>
              <w:rPr>
                <w:rFonts w:ascii="Arial" w:cs="Arial" w:eastAsia="Arial" w:hAnsi="Arial"/>
                <w:sz w:val="18"/>
                <w:szCs w:val="18"/>
                <w:color w:val="0563C1"/>
              </w:rPr>
              <w:t>Controls and Procedures</w:t>
            </w:r>
          </w:p>
        </w:tc>
        <w:tc>
          <w:tcPr>
            <w:tcW w:w="140" w:type="dxa"/>
            <w:vAlign w:val="bottom"/>
            <w:vMerge w:val="continue"/>
          </w:tcPr>
          <w:p>
            <w:pPr>
              <w:spacing w:after="0"/>
              <w:rPr>
                <w:sz w:val="15"/>
                <w:szCs w:val="15"/>
                <w:color w:val="auto"/>
              </w:rPr>
            </w:pPr>
          </w:p>
        </w:tc>
        <w:tc>
          <w:tcPr>
            <w:tcW w:w="4820" w:type="dxa"/>
            <w:vAlign w:val="bottom"/>
            <w:gridSpan w:val="6"/>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300" w:type="dxa"/>
            <w:vAlign w:val="bottom"/>
            <w:gridSpan w:val="4"/>
            <w:vMerge w:val="restart"/>
          </w:tcPr>
          <w:p>
            <w:pPr>
              <w:spacing w:after="0" w:line="20" w:lineRule="exact"/>
              <w:rPr>
                <w:sz w:val="1"/>
                <w:szCs w:val="1"/>
                <w:color w:val="auto"/>
              </w:rPr>
            </w:pPr>
          </w:p>
        </w:tc>
        <w:tc>
          <w:tcPr>
            <w:tcW w:w="4820" w:type="dxa"/>
            <w:vAlign w:val="bottom"/>
            <w:gridSpan w:val="6"/>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20" w:type="dxa"/>
            <w:vAlign w:val="bottom"/>
            <w:gridSpan w:val="2"/>
            <w:vMerge w:val="continue"/>
          </w:tcPr>
          <w:p>
            <w:pPr>
              <w:spacing w:after="0"/>
              <w:rPr>
                <w:sz w:val="16"/>
                <w:szCs w:val="16"/>
                <w:color w:val="auto"/>
              </w:rPr>
            </w:pPr>
          </w:p>
        </w:tc>
        <w:tc>
          <w:tcPr>
            <w:tcW w:w="1980" w:type="dxa"/>
            <w:vAlign w:val="bottom"/>
            <w:gridSpan w:val="7"/>
          </w:tcPr>
          <w:p>
            <w:pPr>
              <w:spacing w:after="0" w:line="191" w:lineRule="exact"/>
              <w:rPr>
                <w:sz w:val="20"/>
                <w:szCs w:val="20"/>
                <w:color w:val="auto"/>
              </w:rPr>
            </w:pPr>
            <w:r>
              <w:rPr>
                <w:rFonts w:ascii="Arial" w:cs="Arial" w:eastAsia="Arial" w:hAnsi="Arial"/>
                <w:sz w:val="18"/>
                <w:szCs w:val="18"/>
                <w:color w:val="auto"/>
              </w:rPr>
              <w:t>OTHER INFORMATION</w:t>
            </w:r>
          </w:p>
        </w:tc>
        <w:tc>
          <w:tcPr>
            <w:tcW w:w="560" w:type="dxa"/>
            <w:vAlign w:val="bottom"/>
            <w:vMerge w:val="continue"/>
          </w:tcPr>
          <w:p>
            <w:pPr>
              <w:spacing w:after="0"/>
              <w:rPr>
                <w:sz w:val="16"/>
                <w:szCs w:val="16"/>
                <w:color w:val="auto"/>
              </w:rPr>
            </w:pPr>
          </w:p>
        </w:tc>
        <w:tc>
          <w:tcPr>
            <w:tcW w:w="2300" w:type="dxa"/>
            <w:vAlign w:val="bottom"/>
            <w:gridSpan w:val="4"/>
            <w:vMerge w:val="continue"/>
          </w:tcPr>
          <w:p>
            <w:pPr>
              <w:spacing w:after="0"/>
              <w:rPr>
                <w:sz w:val="16"/>
                <w:szCs w:val="16"/>
                <w:color w:val="auto"/>
              </w:rPr>
            </w:pPr>
          </w:p>
        </w:tc>
        <w:tc>
          <w:tcPr>
            <w:tcW w:w="4820" w:type="dxa"/>
            <w:vAlign w:val="bottom"/>
            <w:gridSpan w:val="6"/>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20" w:type="dxa"/>
            <w:vAlign w:val="bottom"/>
            <w:gridSpan w:val="2"/>
          </w:tcPr>
          <w:p>
            <w:pPr>
              <w:spacing w:after="0" w:line="195" w:lineRule="exact"/>
              <w:rPr>
                <w:sz w:val="20"/>
                <w:szCs w:val="20"/>
                <w:color w:val="auto"/>
              </w:rPr>
            </w:pPr>
            <w:r>
              <w:rPr>
                <w:rFonts w:ascii="Arial" w:cs="Arial" w:eastAsia="Arial" w:hAnsi="Arial"/>
                <w:sz w:val="18"/>
                <w:szCs w:val="18"/>
                <w:color w:val="auto"/>
              </w:rPr>
              <w:t>Item 1.</w:t>
            </w:r>
          </w:p>
        </w:tc>
        <w:tc>
          <w:tcPr>
            <w:tcW w:w="9660" w:type="dxa"/>
            <w:vAlign w:val="bottom"/>
            <w:gridSpan w:val="18"/>
          </w:tcPr>
          <w:p>
            <w:pPr>
              <w:spacing w:after="0" w:line="195" w:lineRule="exact"/>
              <w:rPr>
                <w:sz w:val="20"/>
                <w:szCs w:val="20"/>
                <w:color w:val="auto"/>
              </w:rPr>
            </w:pPr>
            <w:r>
              <w:rPr>
                <w:rFonts w:ascii="Arial" w:cs="Arial" w:eastAsia="Arial" w:hAnsi="Arial"/>
                <w:sz w:val="18"/>
                <w:szCs w:val="18"/>
                <w:color w:val="0563C1"/>
              </w:rPr>
              <w:t>Legal Proceedings</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1A.</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20" w:type="dxa"/>
            <w:vAlign w:val="bottom"/>
            <w:gridSpan w:val="2"/>
            <w:vMerge w:val="restart"/>
          </w:tcPr>
          <w:p>
            <w:pPr>
              <w:spacing w:after="0" w:line="20" w:lineRule="exact"/>
              <w:rPr>
                <w:sz w:val="1"/>
                <w:szCs w:val="1"/>
                <w:color w:val="auto"/>
              </w:rPr>
            </w:pPr>
          </w:p>
        </w:tc>
        <w:tc>
          <w:tcPr>
            <w:tcW w:w="2300" w:type="dxa"/>
            <w:vAlign w:val="bottom"/>
            <w:gridSpan w:val="4"/>
            <w:vMerge w:val="restart"/>
          </w:tcPr>
          <w:p>
            <w:pPr>
              <w:spacing w:after="0" w:line="20" w:lineRule="exact"/>
              <w:rPr>
                <w:sz w:val="1"/>
                <w:szCs w:val="1"/>
                <w:color w:val="auto"/>
              </w:rPr>
            </w:pPr>
          </w:p>
        </w:tc>
        <w:tc>
          <w:tcPr>
            <w:tcW w:w="4820" w:type="dxa"/>
            <w:vAlign w:val="bottom"/>
            <w:gridSpan w:val="6"/>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1480" w:type="dxa"/>
            <w:vAlign w:val="bottom"/>
            <w:gridSpan w:val="5"/>
          </w:tcPr>
          <w:p>
            <w:pPr>
              <w:spacing w:after="0" w:line="182" w:lineRule="exact"/>
              <w:rPr>
                <w:sz w:val="20"/>
                <w:szCs w:val="20"/>
                <w:color w:val="auto"/>
              </w:rPr>
            </w:pPr>
            <w:r>
              <w:rPr>
                <w:rFonts w:ascii="Arial" w:cs="Arial" w:eastAsia="Arial" w:hAnsi="Arial"/>
                <w:sz w:val="18"/>
                <w:szCs w:val="18"/>
                <w:color w:val="0563C1"/>
              </w:rPr>
              <w:t>Risk Factors</w:t>
            </w:r>
          </w:p>
        </w:tc>
        <w:tc>
          <w:tcPr>
            <w:tcW w:w="4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300" w:type="dxa"/>
            <w:vAlign w:val="bottom"/>
            <w:gridSpan w:val="4"/>
            <w:vMerge w:val="continue"/>
          </w:tcPr>
          <w:p>
            <w:pPr>
              <w:spacing w:after="0"/>
              <w:rPr>
                <w:sz w:val="15"/>
                <w:szCs w:val="15"/>
                <w:color w:val="auto"/>
              </w:rPr>
            </w:pPr>
          </w:p>
        </w:tc>
        <w:tc>
          <w:tcPr>
            <w:tcW w:w="4820" w:type="dxa"/>
            <w:vAlign w:val="bottom"/>
            <w:gridSpan w:val="6"/>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8660" w:type="dxa"/>
            <w:vAlign w:val="bottom"/>
            <w:gridSpan w:val="16"/>
            <w:vMerge w:val="restart"/>
          </w:tcPr>
          <w:p>
            <w:pPr>
              <w:ind w:left="80"/>
              <w:spacing w:after="0" w:line="202" w:lineRule="exact"/>
              <w:rPr>
                <w:sz w:val="20"/>
                <w:szCs w:val="20"/>
                <w:color w:val="auto"/>
              </w:rPr>
            </w:pPr>
            <w:r>
              <w:rPr>
                <w:rFonts w:ascii="Arial" w:cs="Arial" w:eastAsia="Arial" w:hAnsi="Arial"/>
                <w:sz w:val="18"/>
                <w:szCs w:val="18"/>
                <w:color w:val="0563C1"/>
              </w:rPr>
              <w:t>Sales of Equity Securities and Use of Proceeds</w:t>
            </w: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1000" w:type="dxa"/>
            <w:vAlign w:val="bottom"/>
            <w:gridSpan w:val="2"/>
          </w:tcPr>
          <w:p>
            <w:pPr>
              <w:spacing w:after="0" w:line="182" w:lineRule="exact"/>
              <w:rPr>
                <w:sz w:val="20"/>
                <w:szCs w:val="20"/>
                <w:color w:val="auto"/>
              </w:rPr>
            </w:pPr>
            <w:r>
              <w:rPr>
                <w:rFonts w:ascii="Arial" w:cs="Arial" w:eastAsia="Arial" w:hAnsi="Arial"/>
                <w:sz w:val="18"/>
                <w:szCs w:val="18"/>
                <w:color w:val="0563C1"/>
                <w:w w:val="95"/>
              </w:rPr>
              <w:t>Unregistered</w:t>
            </w:r>
          </w:p>
        </w:tc>
        <w:tc>
          <w:tcPr>
            <w:tcW w:w="8660" w:type="dxa"/>
            <w:vAlign w:val="bottom"/>
            <w:gridSpan w:val="16"/>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780" w:type="dxa"/>
            <w:vAlign w:val="bottom"/>
            <w:gridSpan w:val="3"/>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20" w:type="dxa"/>
            <w:vAlign w:val="bottom"/>
            <w:gridSpan w:val="2"/>
            <w:shd w:val="clear" w:color="auto" w:fill="0563C1"/>
          </w:tcPr>
          <w:p>
            <w:pPr>
              <w:spacing w:after="0" w:line="20" w:lineRule="exact"/>
              <w:rPr>
                <w:sz w:val="1"/>
                <w:szCs w:val="1"/>
                <w:color w:val="auto"/>
              </w:rPr>
            </w:pPr>
          </w:p>
        </w:tc>
        <w:tc>
          <w:tcPr>
            <w:tcW w:w="2300" w:type="dxa"/>
            <w:vAlign w:val="bottom"/>
            <w:gridSpan w:val="4"/>
            <w:shd w:val="clear" w:color="auto" w:fill="0563C1"/>
          </w:tcPr>
          <w:p>
            <w:pPr>
              <w:spacing w:after="0" w:line="20" w:lineRule="exact"/>
              <w:rPr>
                <w:sz w:val="1"/>
                <w:szCs w:val="1"/>
                <w:color w:val="auto"/>
              </w:rPr>
            </w:pPr>
          </w:p>
        </w:tc>
        <w:tc>
          <w:tcPr>
            <w:tcW w:w="4820" w:type="dxa"/>
            <w:vAlign w:val="bottom"/>
            <w:gridSpan w:val="6"/>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4840" w:type="dxa"/>
            <w:vAlign w:val="bottom"/>
            <w:gridSpan w:val="12"/>
          </w:tcPr>
          <w:p>
            <w:pPr>
              <w:spacing w:after="0" w:line="182" w:lineRule="exact"/>
              <w:rPr>
                <w:sz w:val="20"/>
                <w:szCs w:val="20"/>
                <w:color w:val="auto"/>
              </w:rPr>
            </w:pPr>
            <w:r>
              <w:rPr>
                <w:rFonts w:ascii="Arial" w:cs="Arial" w:eastAsia="Arial" w:hAnsi="Arial"/>
                <w:sz w:val="18"/>
                <w:szCs w:val="18"/>
                <w:color w:val="0563C1"/>
              </w:rPr>
              <w:t>Defaults Upon Senior Securities</w:t>
            </w:r>
          </w:p>
        </w:tc>
        <w:tc>
          <w:tcPr>
            <w:tcW w:w="4820" w:type="dxa"/>
            <w:vAlign w:val="bottom"/>
            <w:gridSpan w:val="6"/>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780" w:type="dxa"/>
            <w:vAlign w:val="bottom"/>
            <w:gridSpan w:val="3"/>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620" w:type="dxa"/>
            <w:vAlign w:val="bottom"/>
            <w:gridSpan w:val="2"/>
            <w:shd w:val="clear" w:color="auto" w:fill="0563C1"/>
          </w:tcPr>
          <w:p>
            <w:pPr>
              <w:spacing w:after="0" w:line="20" w:lineRule="exact"/>
              <w:rPr>
                <w:sz w:val="1"/>
                <w:szCs w:val="1"/>
                <w:color w:val="auto"/>
              </w:rPr>
            </w:pPr>
          </w:p>
        </w:tc>
        <w:tc>
          <w:tcPr>
            <w:tcW w:w="7120" w:type="dxa"/>
            <w:vAlign w:val="bottom"/>
            <w:gridSpan w:val="10"/>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2540" w:type="dxa"/>
            <w:vAlign w:val="bottom"/>
            <w:gridSpan w:val="8"/>
          </w:tcPr>
          <w:p>
            <w:pPr>
              <w:spacing w:after="0" w:line="182" w:lineRule="exact"/>
              <w:rPr>
                <w:sz w:val="20"/>
                <w:szCs w:val="20"/>
                <w:color w:val="auto"/>
              </w:rPr>
            </w:pPr>
            <w:r>
              <w:rPr>
                <w:rFonts w:ascii="Arial" w:cs="Arial" w:eastAsia="Arial" w:hAnsi="Arial"/>
                <w:sz w:val="18"/>
                <w:szCs w:val="18"/>
                <w:color w:val="0563C1"/>
              </w:rPr>
              <w:t>Mine Safety Disclosures</w:t>
            </w:r>
          </w:p>
        </w:tc>
        <w:tc>
          <w:tcPr>
            <w:tcW w:w="7120" w:type="dxa"/>
            <w:vAlign w:val="bottom"/>
            <w:gridSpan w:val="10"/>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5.</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780" w:type="dxa"/>
            <w:vAlign w:val="bottom"/>
            <w:gridSpan w:val="3"/>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7740" w:type="dxa"/>
            <w:vAlign w:val="bottom"/>
            <w:gridSpan w:val="1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1920" w:type="dxa"/>
            <w:vAlign w:val="bottom"/>
            <w:gridSpan w:val="6"/>
          </w:tcPr>
          <w:p>
            <w:pPr>
              <w:spacing w:after="0" w:line="182" w:lineRule="exact"/>
              <w:rPr>
                <w:sz w:val="20"/>
                <w:szCs w:val="20"/>
                <w:color w:val="auto"/>
              </w:rPr>
            </w:pPr>
            <w:r>
              <w:rPr>
                <w:rFonts w:ascii="Arial" w:cs="Arial" w:eastAsia="Arial" w:hAnsi="Arial"/>
                <w:sz w:val="18"/>
                <w:szCs w:val="18"/>
                <w:color w:val="0563C1"/>
              </w:rPr>
              <w:t>Other Information</w:t>
            </w:r>
          </w:p>
        </w:tc>
        <w:tc>
          <w:tcPr>
            <w:tcW w:w="7740" w:type="dxa"/>
            <w:vAlign w:val="bottom"/>
            <w:gridSpan w:val="1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6.</w:t>
            </w:r>
          </w:p>
        </w:tc>
        <w:tc>
          <w:tcPr>
            <w:tcW w:w="620" w:type="dxa"/>
            <w:vAlign w:val="bottom"/>
            <w:tcBorders>
              <w:left w:val="single" w:sz="8" w:color="0000EE"/>
            </w:tcBorders>
            <w:shd w:val="clear" w:color="auto" w:fill="0563C1"/>
          </w:tcPr>
          <w:p>
            <w:pPr>
              <w:spacing w:after="0" w:line="20" w:lineRule="exact"/>
              <w:rPr>
                <w:sz w:val="1"/>
                <w:szCs w:val="1"/>
                <w:color w:val="auto"/>
              </w:rPr>
            </w:pPr>
          </w:p>
        </w:tc>
        <w:tc>
          <w:tcPr>
            <w:tcW w:w="780" w:type="dxa"/>
            <w:vAlign w:val="bottom"/>
            <w:gridSpan w:val="3"/>
            <w:shd w:val="clear" w:color="auto" w:fill="0563C1"/>
          </w:tcPr>
          <w:p>
            <w:pPr>
              <w:spacing w:after="0" w:line="20" w:lineRule="exact"/>
              <w:rPr>
                <w:sz w:val="1"/>
                <w:szCs w:val="1"/>
                <w:color w:val="auto"/>
              </w:rPr>
            </w:pPr>
          </w:p>
        </w:tc>
        <w:tc>
          <w:tcPr>
            <w:tcW w:w="8260" w:type="dxa"/>
            <w:vAlign w:val="bottom"/>
            <w:gridSpan w:val="14"/>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82"/>
        </w:trPr>
        <w:tc>
          <w:tcPr>
            <w:tcW w:w="920" w:type="dxa"/>
            <w:vAlign w:val="bottom"/>
            <w:gridSpan w:val="2"/>
            <w:vMerge w:val="continue"/>
          </w:tcPr>
          <w:p>
            <w:pPr>
              <w:spacing w:after="0"/>
              <w:rPr>
                <w:sz w:val="15"/>
                <w:szCs w:val="15"/>
                <w:color w:val="auto"/>
              </w:rPr>
            </w:pPr>
          </w:p>
        </w:tc>
        <w:tc>
          <w:tcPr>
            <w:tcW w:w="1400" w:type="dxa"/>
            <w:vAlign w:val="bottom"/>
            <w:gridSpan w:val="4"/>
          </w:tcPr>
          <w:p>
            <w:pPr>
              <w:spacing w:after="0" w:line="182" w:lineRule="exact"/>
              <w:rPr>
                <w:sz w:val="20"/>
                <w:szCs w:val="20"/>
                <w:color w:val="auto"/>
              </w:rPr>
            </w:pPr>
            <w:r>
              <w:rPr>
                <w:rFonts w:ascii="Arial" w:cs="Arial" w:eastAsia="Arial" w:hAnsi="Arial"/>
                <w:sz w:val="18"/>
                <w:szCs w:val="18"/>
                <w:color w:val="0563C1"/>
              </w:rPr>
              <w:t>Exhibits</w:t>
            </w:r>
          </w:p>
        </w:tc>
        <w:tc>
          <w:tcPr>
            <w:tcW w:w="8260" w:type="dxa"/>
            <w:vAlign w:val="bottom"/>
            <w:gridSpan w:val="14"/>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gridSpan w:val="2"/>
          </w:tcPr>
          <w:p>
            <w:pPr>
              <w:spacing w:after="0" w:line="182" w:lineRule="exact"/>
              <w:rPr>
                <w:sz w:val="20"/>
                <w:szCs w:val="20"/>
                <w:color w:val="auto"/>
              </w:rPr>
            </w:pPr>
            <w:r>
              <w:rPr>
                <w:rFonts w:ascii="Arial" w:cs="Arial" w:eastAsia="Arial" w:hAnsi="Arial"/>
                <w:sz w:val="18"/>
                <w:szCs w:val="18"/>
                <w:color w:val="0563C1"/>
              </w:rPr>
              <w:t>Signatures</w:t>
            </w:r>
          </w:p>
        </w:tc>
        <w:tc>
          <w:tcPr>
            <w:tcW w:w="620" w:type="dxa"/>
            <w:vAlign w:val="bottom"/>
            <w:tcBorders>
              <w:top w:val="single" w:sz="8" w:color="0563C1"/>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86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7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64"/>
        </w:trPr>
        <w:tc>
          <w:tcPr>
            <w:tcW w:w="7740" w:type="dxa"/>
            <w:vAlign w:val="bottom"/>
          </w:tcPr>
          <w:p>
            <w:pPr>
              <w:jc w:val="center"/>
              <w:ind w:left="3410"/>
              <w:spacing w:after="0"/>
              <w:rPr>
                <w:sz w:val="20"/>
                <w:szCs w:val="20"/>
                <w:color w:val="auto"/>
              </w:rPr>
            </w:pPr>
            <w:r>
              <w:rPr>
                <w:rFonts w:ascii="Arial" w:cs="Arial" w:eastAsia="Arial" w:hAnsi="Arial"/>
                <w:sz w:val="18"/>
                <w:szCs w:val="18"/>
                <w:b w:val="1"/>
                <w:bCs w:val="1"/>
                <w:color w:val="auto"/>
                <w:w w:val="99"/>
              </w:rPr>
              <w:t>Erasca, Inc.</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740" w:type="dxa"/>
            <w:vAlign w:val="bottom"/>
          </w:tcPr>
          <w:p>
            <w:pPr>
              <w:jc w:val="center"/>
              <w:ind w:left="3410"/>
              <w:spacing w:after="0" w:line="202" w:lineRule="exact"/>
              <w:rPr>
                <w:sz w:val="20"/>
                <w:szCs w:val="20"/>
                <w:color w:val="auto"/>
              </w:rPr>
            </w:pPr>
            <w:r>
              <w:rPr>
                <w:rFonts w:ascii="Arial" w:cs="Arial" w:eastAsia="Arial" w:hAnsi="Arial"/>
                <w:sz w:val="18"/>
                <w:szCs w:val="18"/>
                <w:b w:val="1"/>
                <w:bCs w:val="1"/>
                <w:color w:val="auto"/>
              </w:rPr>
              <w:t>Condensed Consolidated Balance Sheets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80" w:type="dxa"/>
            <w:vAlign w:val="bottom"/>
            <w:gridSpan w:val="2"/>
          </w:tcPr>
          <w:p>
            <w:pPr>
              <w:jc w:val="right"/>
              <w:ind w:right="50"/>
              <w:spacing w:after="0" w:line="202" w:lineRule="exact"/>
              <w:rPr>
                <w:sz w:val="20"/>
                <w:szCs w:val="20"/>
                <w:color w:val="auto"/>
              </w:rPr>
            </w:pPr>
            <w:r>
              <w:rPr>
                <w:rFonts w:ascii="Arial" w:cs="Arial" w:eastAsia="Arial" w:hAnsi="Arial"/>
                <w:sz w:val="18"/>
                <w:szCs w:val="18"/>
                <w:b w:val="1"/>
                <w:bCs w:val="1"/>
                <w:color w:val="auto"/>
              </w:rPr>
              <w:t>(In thousands, except share and par value amounts)</w:t>
            </w: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7"/>
        </w:trPr>
        <w:tc>
          <w:tcPr>
            <w:tcW w:w="7740" w:type="dxa"/>
            <w:vAlign w:val="bottom"/>
          </w:tcPr>
          <w:p>
            <w:pPr>
              <w:jc w:val="center"/>
              <w:ind w:left="3410"/>
              <w:spacing w:after="0"/>
              <w:rPr>
                <w:sz w:val="20"/>
                <w:szCs w:val="20"/>
                <w:color w:val="auto"/>
              </w:rPr>
            </w:pPr>
            <w:r>
              <w:rPr>
                <w:rFonts w:ascii="Arial" w:cs="Arial" w:eastAsia="Arial" w:hAnsi="Arial"/>
                <w:sz w:val="18"/>
                <w:szCs w:val="18"/>
                <w:b w:val="1"/>
                <w:bCs w:val="1"/>
                <w:color w:val="auto"/>
                <w:w w:val="99"/>
              </w:rPr>
              <w:t>(Unaudited)</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61"/>
        </w:trPr>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7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r>
      <w:tr>
        <w:trPr>
          <w:trHeight w:val="196"/>
        </w:trPr>
        <w:tc>
          <w:tcPr>
            <w:tcW w:w="77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47,256</w:t>
            </w:r>
          </w:p>
        </w:tc>
        <w:tc>
          <w:tcPr>
            <w:tcW w:w="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73,805</w:t>
            </w: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Short-term marketable securities</w:t>
            </w:r>
          </w:p>
        </w:tc>
        <w:tc>
          <w:tcPr>
            <w:tcW w:w="2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196,532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202,270</w:t>
            </w:r>
          </w:p>
        </w:tc>
      </w:tr>
      <w:tr>
        <w:trPr>
          <w:trHeight w:val="203"/>
        </w:trPr>
        <w:tc>
          <w:tcPr>
            <w:tcW w:w="77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9,996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10,164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253,784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286,239</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marketable securities</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164,719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65,721</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12,612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13,303</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28,265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29,030</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408</w:t>
            </w:r>
          </w:p>
        </w:tc>
      </w:tr>
      <w:tr>
        <w:trPr>
          <w:trHeight w:val="203"/>
        </w:trPr>
        <w:tc>
          <w:tcPr>
            <w:tcW w:w="7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1,446</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461,234</w:t>
            </w:r>
          </w:p>
        </w:tc>
        <w:tc>
          <w:tcPr>
            <w:tcW w:w="160" w:type="dxa"/>
            <w:vAlign w:val="bottom"/>
          </w:tcPr>
          <w:p>
            <w:pPr>
              <w:spacing w:after="0"/>
              <w:rPr>
                <w:sz w:val="17"/>
                <w:szCs w:val="17"/>
                <w:color w:val="auto"/>
              </w:rPr>
            </w:pPr>
          </w:p>
        </w:tc>
        <w:tc>
          <w:tcPr>
            <w:tcW w:w="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396,154</w:t>
            </w: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4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2,163</w:t>
            </w:r>
          </w:p>
        </w:tc>
        <w:tc>
          <w:tcPr>
            <w:tcW w:w="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981</w:t>
            </w: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19,250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22,464</w:t>
            </w:r>
          </w:p>
        </w:tc>
      </w:tr>
      <w:tr>
        <w:trPr>
          <w:trHeight w:val="202"/>
        </w:trPr>
        <w:tc>
          <w:tcPr>
            <w:tcW w:w="77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5,251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7"/>
                <w:szCs w:val="17"/>
                <w:color w:val="auto"/>
              </w:rPr>
            </w:pPr>
          </w:p>
        </w:tc>
        <w:tc>
          <w:tcPr>
            <w:tcW w:w="14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26,664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28,511</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40,702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42,073</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399</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67,706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70,983</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11)</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7740" w:type="dxa"/>
            <w:vAlign w:val="bottom"/>
          </w:tcPr>
          <w:p>
            <w:pPr>
              <w:spacing w:after="0" w:line="183" w:lineRule="exact"/>
              <w:rPr>
                <w:sz w:val="20"/>
                <w:szCs w:val="20"/>
                <w:color w:val="auto"/>
              </w:rPr>
            </w:pPr>
            <w:r>
              <w:rPr>
                <w:rFonts w:ascii="Arial" w:cs="Arial" w:eastAsia="Arial" w:hAnsi="Arial"/>
                <w:sz w:val="18"/>
                <w:szCs w:val="18"/>
                <w:color w:val="auto"/>
              </w:rPr>
              <w:t>Preferred stock, $0.0001 par value; 80,000,000 shares authorized at March 31, 2026 and</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December 31, 2025; no shares issued and outstanding at March 31, 2026 and December 31,</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740" w:type="dxa"/>
            <w:vAlign w:val="bottom"/>
          </w:tcPr>
          <w:p>
            <w:pPr>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84"/>
        </w:trPr>
        <w:tc>
          <w:tcPr>
            <w:tcW w:w="77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Common stock, $0.0001 par value; 800,000,000 shares authorized at March 31, 2026 and</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December 31, 2025; 310,806,888 and 284,159,076 shares issued and outstanding at March</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31, 2026 and December 31, 2025, respectively</w:t>
            </w: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w:t>
            </w:r>
          </w:p>
        </w:tc>
      </w:tr>
      <w:tr>
        <w:trPr>
          <w:trHeight w:val="203"/>
        </w:trPr>
        <w:tc>
          <w:tcPr>
            <w:tcW w:w="77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7"/>
                <w:szCs w:val="17"/>
                <w:color w:val="auto"/>
              </w:rPr>
            </w:pP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1,469,845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1,216,724</w:t>
            </w:r>
          </w:p>
        </w:tc>
      </w:tr>
      <w:tr>
        <w:trPr>
          <w:trHeight w:val="203"/>
        </w:trPr>
        <w:tc>
          <w:tcPr>
            <w:tcW w:w="7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2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(699)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628</w:t>
            </w:r>
          </w:p>
        </w:tc>
      </w:tr>
      <w:tr>
        <w:trPr>
          <w:trHeight w:val="202"/>
        </w:trPr>
        <w:tc>
          <w:tcPr>
            <w:tcW w:w="77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(1,075,649)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(892,209)</w:t>
            </w:r>
          </w:p>
        </w:tc>
      </w:tr>
      <w:tr>
        <w:trPr>
          <w:trHeight w:val="196"/>
        </w:trPr>
        <w:tc>
          <w:tcPr>
            <w:tcW w:w="77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393,528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325,171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461,234</w:t>
            </w:r>
          </w:p>
        </w:tc>
        <w:tc>
          <w:tcPr>
            <w:tcW w:w="160" w:type="dxa"/>
            <w:vAlign w:val="bottom"/>
          </w:tcPr>
          <w:p>
            <w:pPr>
              <w:spacing w:after="0"/>
              <w:rPr>
                <w:sz w:val="17"/>
                <w:szCs w:val="17"/>
                <w:color w:val="auto"/>
              </w:rPr>
            </w:pPr>
          </w:p>
        </w:tc>
        <w:tc>
          <w:tcPr>
            <w:tcW w:w="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396,154</w:t>
            </w: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-3830955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-3830955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-3051175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-2245360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Erasca,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2026</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4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27,265</w:t>
            </w:r>
          </w:p>
        </w:tc>
        <w:tc>
          <w:tcPr>
            <w:tcW w:w="180" w:type="dxa"/>
            <w:vAlign w:val="bottom"/>
          </w:tcPr>
          <w:p>
            <w:pPr>
              <w:spacing w:after="0"/>
              <w:rPr>
                <w:sz w:val="17"/>
                <w:szCs w:val="17"/>
                <w:color w:val="auto"/>
              </w:rPr>
            </w:pPr>
          </w:p>
        </w:tc>
        <w:tc>
          <w:tcPr>
            <w:tcW w:w="5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25,969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In-process research and development</w:t>
            </w:r>
          </w:p>
        </w:tc>
        <w:tc>
          <w:tcPr>
            <w:tcW w:w="4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150,000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2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10,646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187,911</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35,630</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460" w:type="dxa"/>
            <w:vAlign w:val="bottom"/>
          </w:tcPr>
          <w:p>
            <w:pPr>
              <w:spacing w:after="0"/>
              <w:rPr>
                <w:sz w:val="17"/>
                <w:szCs w:val="17"/>
                <w:color w:val="auto"/>
              </w:rPr>
            </w:pPr>
          </w:p>
        </w:tc>
        <w:tc>
          <w:tcPr>
            <w:tcW w:w="17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(187,911)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(35,630)</w:t>
            </w: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w:t>
            </w:r>
          </w:p>
        </w:tc>
        <w:tc>
          <w:tcPr>
            <w:tcW w:w="4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4,449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4,740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income (expense), net</w:t>
            </w:r>
          </w:p>
        </w:tc>
        <w:tc>
          <w:tcPr>
            <w:tcW w:w="4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67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other income (expense), net</w:t>
            </w:r>
          </w:p>
        </w:tc>
        <w:tc>
          <w:tcPr>
            <w:tcW w:w="4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4,471</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4,664</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loss</w:t>
            </w:r>
          </w:p>
        </w:tc>
        <w:tc>
          <w:tcPr>
            <w:tcW w:w="460" w:type="dxa"/>
            <w:vAlign w:val="bottom"/>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(183,440)</w:t>
            </w:r>
          </w:p>
        </w:tc>
        <w:tc>
          <w:tcPr>
            <w:tcW w:w="580" w:type="dxa"/>
            <w:vAlign w:val="bottom"/>
            <w:gridSpan w:val="2"/>
            <w:shd w:val="clear" w:color="auto" w:fill="CFF0FC"/>
          </w:tcPr>
          <w:p>
            <w:pPr>
              <w:jc w:val="right"/>
              <w:ind w:right="360"/>
              <w:spacing w:after="0" w:line="18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(30,966)</w:t>
            </w:r>
          </w:p>
        </w:tc>
        <w:tc>
          <w:tcPr>
            <w:tcW w:w="0" w:type="dxa"/>
            <w:vAlign w:val="bottom"/>
          </w:tcPr>
          <w:p>
            <w:pPr>
              <w:spacing w:after="0"/>
              <w:rPr>
                <w:sz w:val="1"/>
                <w:szCs w:val="1"/>
                <w:color w:val="auto"/>
              </w:rPr>
            </w:pPr>
          </w:p>
        </w:tc>
      </w:tr>
      <w:tr>
        <w:trPr>
          <w:trHeight w:val="20"/>
        </w:trPr>
        <w:tc>
          <w:tcPr>
            <w:tcW w:w="67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20" w:type="dxa"/>
            <w:vAlign w:val="bottom"/>
          </w:tcPr>
          <w:p>
            <w:pPr>
              <w:spacing w:after="0" w:line="182" w:lineRule="exact"/>
              <w:rPr>
                <w:sz w:val="20"/>
                <w:szCs w:val="20"/>
                <w:color w:val="auto"/>
              </w:rPr>
            </w:pPr>
            <w:r>
              <w:rPr>
                <w:rFonts w:ascii="Arial" w:cs="Arial" w:eastAsia="Arial" w:hAnsi="Arial"/>
                <w:sz w:val="18"/>
                <w:szCs w:val="18"/>
                <w:color w:val="auto"/>
              </w:rPr>
              <w:t>Net loss per share, basic and diluted</w:t>
            </w:r>
          </w:p>
        </w:tc>
        <w:tc>
          <w:tcPr>
            <w:tcW w:w="460" w:type="dxa"/>
            <w:vAlign w:val="bottom"/>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(0.60)</w:t>
            </w:r>
          </w:p>
        </w:tc>
        <w:tc>
          <w:tcPr>
            <w:tcW w:w="580" w:type="dxa"/>
            <w:vAlign w:val="bottom"/>
            <w:gridSpan w:val="2"/>
          </w:tcPr>
          <w:p>
            <w:pPr>
              <w:jc w:val="right"/>
              <w:ind w:right="360"/>
              <w:spacing w:after="0" w:line="182" w:lineRule="exact"/>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720" w:type="dxa"/>
            <w:vAlign w:val="bottom"/>
            <w:shd w:val="clear" w:color="auto" w:fill="CFF0FC"/>
          </w:tcPr>
          <w:p>
            <w:pPr>
              <w:spacing w:after="0" w:line="164" w:lineRule="exact"/>
              <w:rPr>
                <w:sz w:val="20"/>
                <w:szCs w:val="20"/>
                <w:color w:val="auto"/>
              </w:rPr>
            </w:pPr>
            <w:r>
              <w:rPr>
                <w:rFonts w:ascii="Arial" w:cs="Arial" w:eastAsia="Arial" w:hAnsi="Arial"/>
                <w:sz w:val="18"/>
                <w:szCs w:val="18"/>
                <w:color w:val="auto"/>
              </w:rPr>
              <w:t>Weighted-average shares of common stock used in computing net loss per</w:t>
            </w:r>
          </w:p>
        </w:tc>
        <w:tc>
          <w:tcPr>
            <w:tcW w:w="460" w:type="dxa"/>
            <w:vAlign w:val="bottom"/>
            <w:shd w:val="clear" w:color="auto" w:fill="CFF0FC"/>
          </w:tcPr>
          <w:p>
            <w:pPr>
              <w:spacing w:after="0"/>
              <w:rPr>
                <w:sz w:val="14"/>
                <w:szCs w:val="14"/>
                <w:color w:val="auto"/>
              </w:rPr>
            </w:pPr>
          </w:p>
        </w:tc>
        <w:tc>
          <w:tcPr>
            <w:tcW w:w="1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304,317,460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283,260,289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720" w:type="dxa"/>
            <w:vAlign w:val="bottom"/>
            <w:tcBorders>
              <w:bottom w:val="single" w:sz="8" w:color="CFF0FC"/>
            </w:tcBorders>
            <w:shd w:val="clear" w:color="auto" w:fill="CFF0FC"/>
          </w:tcPr>
          <w:p>
            <w:pPr>
              <w:spacing w:after="0" w:line="161" w:lineRule="exact"/>
              <w:rPr>
                <w:sz w:val="20"/>
                <w:szCs w:val="20"/>
                <w:color w:val="auto"/>
              </w:rPr>
            </w:pPr>
            <w:r>
              <w:rPr>
                <w:rFonts w:ascii="Arial" w:cs="Arial" w:eastAsia="Arial" w:hAnsi="Arial"/>
                <w:sz w:val="18"/>
                <w:szCs w:val="18"/>
                <w:color w:val="auto"/>
              </w:rPr>
              <w:t>share, basic and diluted</w:t>
            </w:r>
          </w:p>
        </w:tc>
        <w:tc>
          <w:tcPr>
            <w:tcW w:w="4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720" w:type="dxa"/>
            <w:vAlign w:val="bottom"/>
          </w:tcPr>
          <w:p>
            <w:pPr>
              <w:spacing w:after="0" w:line="183" w:lineRule="exact"/>
              <w:rPr>
                <w:sz w:val="20"/>
                <w:szCs w:val="20"/>
                <w:color w:val="auto"/>
              </w:rPr>
            </w:pPr>
            <w:r>
              <w:rPr>
                <w:rFonts w:ascii="Arial" w:cs="Arial" w:eastAsia="Arial" w:hAnsi="Arial"/>
                <w:sz w:val="18"/>
                <w:szCs w:val="18"/>
                <w:color w:val="auto"/>
              </w:rPr>
              <w:t>Other comprehensive income (loss):</w:t>
            </w:r>
          </w:p>
        </w:tc>
        <w:tc>
          <w:tcPr>
            <w:tcW w:w="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Unrealized (loss) gain on marketable securities, net</w:t>
            </w:r>
          </w:p>
        </w:tc>
        <w:tc>
          <w:tcPr>
            <w:tcW w:w="4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(1,327)</w:t>
            </w: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Pr>
          <w:p>
            <w:pPr>
              <w:spacing w:after="0" w:line="182" w:lineRule="exact"/>
              <w:rPr>
                <w:sz w:val="20"/>
                <w:szCs w:val="20"/>
                <w:color w:val="auto"/>
              </w:rPr>
            </w:pPr>
            <w:r>
              <w:rPr>
                <w:rFonts w:ascii="Arial" w:cs="Arial" w:eastAsia="Arial" w:hAnsi="Arial"/>
                <w:sz w:val="18"/>
                <w:szCs w:val="18"/>
                <w:color w:val="auto"/>
              </w:rPr>
              <w:t>Comprehensive loss</w:t>
            </w:r>
          </w:p>
        </w:tc>
        <w:tc>
          <w:tcPr>
            <w:tcW w:w="460" w:type="dxa"/>
            <w:vAlign w:val="bottom"/>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(184,767)</w:t>
            </w:r>
          </w:p>
        </w:tc>
        <w:tc>
          <w:tcPr>
            <w:tcW w:w="580" w:type="dxa"/>
            <w:vAlign w:val="bottom"/>
            <w:gridSpan w:val="2"/>
          </w:tcPr>
          <w:p>
            <w:pPr>
              <w:jc w:val="right"/>
              <w:ind w:right="360"/>
              <w:spacing w:after="0" w:line="182" w:lineRule="exact"/>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(30,743)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-1654175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-1654175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-1130935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-1130935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-856615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-839470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-856615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-839470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-445135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-427990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-445135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-427990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-162560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Erasca,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2080" w:type="dxa"/>
            <w:vAlign w:val="bottom"/>
            <w:gridSpan w:val="5"/>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13"/>
                <w:szCs w:val="13"/>
                <w:color w:val="auto"/>
              </w:rPr>
            </w:pPr>
          </w:p>
        </w:tc>
        <w:tc>
          <w:tcPr>
            <w:tcW w:w="2080" w:type="dxa"/>
            <w:vAlign w:val="bottom"/>
            <w:tcBorders>
              <w:bottom w:val="single" w:sz="8" w:color="auto"/>
            </w:tcBorders>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88"/>
              <w:spacing w:after="0" w:line="158"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3"/>
                <w:szCs w:val="13"/>
                <w:color w:val="auto"/>
              </w:rPr>
            </w:pPr>
          </w:p>
        </w:tc>
        <w:tc>
          <w:tcPr>
            <w:tcW w:w="148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rPr>
              <w:t>Comprehensive</w:t>
            </w:r>
          </w:p>
        </w:tc>
        <w:tc>
          <w:tcPr>
            <w:tcW w:w="126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0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88"/>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48"/>
              <w:spacing w:after="0" w:line="155" w:lineRule="exact"/>
              <w:rPr>
                <w:sz w:val="20"/>
                <w:szCs w:val="20"/>
                <w:color w:val="auto"/>
              </w:rPr>
            </w:pPr>
            <w:r>
              <w:rPr>
                <w:rFonts w:ascii="Arial" w:cs="Arial" w:eastAsia="Arial" w:hAnsi="Arial"/>
                <w:sz w:val="14"/>
                <w:szCs w:val="14"/>
                <w:b w:val="1"/>
                <w:bCs w:val="1"/>
                <w:color w:val="auto"/>
              </w:rPr>
              <w:t>Income (Loss)</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08"/>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2025</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284,159,076</w:t>
            </w:r>
          </w:p>
        </w:tc>
        <w:tc>
          <w:tcPr>
            <w:tcW w:w="3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w:t>
            </w:r>
          </w:p>
        </w:tc>
        <w:tc>
          <w:tcPr>
            <w:tcW w:w="3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1,216,724</w:t>
            </w:r>
          </w:p>
        </w:tc>
        <w:tc>
          <w:tcPr>
            <w:tcW w:w="3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628</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(892,209)</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325,171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40" w:type="dxa"/>
            <w:vAlign w:val="bottom"/>
          </w:tcPr>
          <w:p>
            <w:pPr>
              <w:ind w:left="80"/>
              <w:spacing w:after="0" w:line="153" w:lineRule="exact"/>
              <w:rPr>
                <w:sz w:val="20"/>
                <w:szCs w:val="20"/>
                <w:color w:val="auto"/>
              </w:rPr>
            </w:pPr>
            <w:r>
              <w:rPr>
                <w:rFonts w:ascii="Arial" w:cs="Arial" w:eastAsia="Arial" w:hAnsi="Arial"/>
                <w:sz w:val="14"/>
                <w:szCs w:val="14"/>
                <w:color w:val="auto"/>
              </w:rPr>
              <w:t>Issuance of common stock in underwritten offering,</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540" w:type="dxa"/>
            <w:vAlign w:val="bottom"/>
          </w:tcPr>
          <w:p>
            <w:pPr>
              <w:ind w:left="80"/>
              <w:spacing w:after="0"/>
              <w:rPr>
                <w:sz w:val="20"/>
                <w:szCs w:val="20"/>
                <w:color w:val="auto"/>
              </w:rPr>
            </w:pPr>
            <w:r>
              <w:rPr>
                <w:rFonts w:ascii="Arial" w:cs="Arial" w:eastAsia="Arial" w:hAnsi="Arial"/>
                <w:sz w:val="14"/>
                <w:szCs w:val="14"/>
                <w:color w:val="auto"/>
              </w:rPr>
              <w:t>net</w:t>
            </w:r>
          </w:p>
        </w:tc>
        <w:tc>
          <w:tcPr>
            <w:tcW w:w="1040" w:type="dxa"/>
            <w:vAlign w:val="bottom"/>
          </w:tcPr>
          <w:p>
            <w:pPr>
              <w:jc w:val="right"/>
              <w:spacing w:after="0"/>
              <w:rPr>
                <w:sz w:val="20"/>
                <w:szCs w:val="20"/>
                <w:color w:val="auto"/>
              </w:rPr>
            </w:pPr>
            <w:r>
              <w:rPr>
                <w:rFonts w:ascii="Arial" w:cs="Arial" w:eastAsia="Arial" w:hAnsi="Arial"/>
                <w:sz w:val="14"/>
                <w:szCs w:val="14"/>
                <w:color w:val="auto"/>
              </w:rPr>
              <w:t>25,875,000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242,703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242,706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80"/>
              <w:spacing w:after="0"/>
              <w:rPr>
                <w:sz w:val="20"/>
                <w:szCs w:val="20"/>
                <w:color w:val="auto"/>
              </w:rPr>
            </w:pPr>
            <w:r>
              <w:rPr>
                <w:rFonts w:ascii="Arial" w:cs="Arial" w:eastAsia="Arial" w:hAnsi="Arial"/>
                <w:sz w:val="14"/>
                <w:szCs w:val="14"/>
                <w:color w:val="auto"/>
              </w:rPr>
              <w:t>Exercise of stock options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772,812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ind w:left="8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8,460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8,460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80"/>
              <w:spacing w:after="0"/>
              <w:rPr>
                <w:sz w:val="20"/>
                <w:szCs w:val="20"/>
                <w:color w:val="auto"/>
              </w:rPr>
            </w:pPr>
            <w:r>
              <w:rPr>
                <w:rFonts w:ascii="Arial" w:cs="Arial" w:eastAsia="Arial" w:hAnsi="Arial"/>
                <w:sz w:val="14"/>
                <w:szCs w:val="14"/>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(183,440)</w:t>
            </w: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(183,440)</w:t>
            </w:r>
          </w:p>
        </w:tc>
        <w:tc>
          <w:tcPr>
            <w:tcW w:w="0" w:type="dxa"/>
            <w:vAlign w:val="bottom"/>
          </w:tcPr>
          <w:p>
            <w:pPr>
              <w:spacing w:after="0"/>
              <w:rPr>
                <w:sz w:val="1"/>
                <w:szCs w:val="1"/>
                <w:color w:val="auto"/>
              </w:rPr>
            </w:pPr>
          </w:p>
        </w:tc>
      </w:tr>
      <w:tr>
        <w:trPr>
          <w:trHeight w:val="162"/>
        </w:trPr>
        <w:tc>
          <w:tcPr>
            <w:tcW w:w="3540" w:type="dxa"/>
            <w:vAlign w:val="bottom"/>
          </w:tcPr>
          <w:p>
            <w:pPr>
              <w:ind w:left="80"/>
              <w:spacing w:after="0"/>
              <w:rPr>
                <w:sz w:val="20"/>
                <w:szCs w:val="20"/>
                <w:color w:val="auto"/>
              </w:rPr>
            </w:pPr>
            <w:r>
              <w:rPr>
                <w:rFonts w:ascii="Arial" w:cs="Arial" w:eastAsia="Arial" w:hAnsi="Arial"/>
                <w:sz w:val="14"/>
                <w:szCs w:val="14"/>
                <w:color w:val="auto"/>
              </w:rPr>
              <w:t>Unrealized loss on marketable securities, net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(1,327)</w:t>
            </w:r>
          </w:p>
        </w:tc>
        <w:tc>
          <w:tcPr>
            <w:tcW w:w="1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(1,327)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2026</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310,806,888</w:t>
            </w:r>
          </w:p>
        </w:tc>
        <w:tc>
          <w:tcPr>
            <w:tcW w:w="260" w:type="dxa"/>
            <w:vAlign w:val="bottom"/>
            <w:gridSpan w:val="2"/>
            <w:shd w:val="clear" w:color="auto" w:fill="CFF0FC"/>
          </w:tcPr>
          <w:p>
            <w:pPr>
              <w:spacing w:after="0"/>
              <w:rPr>
                <w:sz w:val="17"/>
                <w:szCs w:val="17"/>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31</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1,469,845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(699)</w:t>
            </w: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(1,075,649)</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393,528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354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2080" w:type="dxa"/>
            <w:vAlign w:val="bottom"/>
            <w:gridSpan w:val="5"/>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68"/>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540" w:type="dxa"/>
            <w:vAlign w:val="bottom"/>
          </w:tcPr>
          <w:p>
            <w:pPr>
              <w:spacing w:after="0"/>
              <w:rPr>
                <w:sz w:val="13"/>
                <w:szCs w:val="13"/>
                <w:color w:val="auto"/>
              </w:rPr>
            </w:pPr>
          </w:p>
        </w:tc>
        <w:tc>
          <w:tcPr>
            <w:tcW w:w="2080" w:type="dxa"/>
            <w:vAlign w:val="bottom"/>
            <w:tcBorders>
              <w:bottom w:val="single" w:sz="8" w:color="auto"/>
            </w:tcBorders>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88"/>
              <w:spacing w:after="0" w:line="158"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3"/>
                <w:szCs w:val="13"/>
                <w:color w:val="auto"/>
              </w:rPr>
            </w:pPr>
          </w:p>
        </w:tc>
        <w:tc>
          <w:tcPr>
            <w:tcW w:w="148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rPr>
              <w:t>Comprehensive</w:t>
            </w:r>
          </w:p>
        </w:tc>
        <w:tc>
          <w:tcPr>
            <w:tcW w:w="126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3540" w:type="dxa"/>
            <w:vAlign w:val="bottom"/>
          </w:tcPr>
          <w:p>
            <w:pPr>
              <w:spacing w:after="0"/>
              <w:rPr>
                <w:sz w:val="13"/>
                <w:szCs w:val="13"/>
                <w:color w:val="auto"/>
              </w:rPr>
            </w:pPr>
          </w:p>
        </w:tc>
        <w:tc>
          <w:tcPr>
            <w:tcW w:w="10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88"/>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48"/>
              <w:spacing w:after="0" w:line="155" w:lineRule="exact"/>
              <w:rPr>
                <w:sz w:val="20"/>
                <w:szCs w:val="20"/>
                <w:color w:val="auto"/>
              </w:rPr>
            </w:pPr>
            <w:r>
              <w:rPr>
                <w:rFonts w:ascii="Arial" w:cs="Arial" w:eastAsia="Arial" w:hAnsi="Arial"/>
                <w:sz w:val="14"/>
                <w:szCs w:val="14"/>
                <w:b w:val="1"/>
                <w:bCs w:val="1"/>
                <w:color w:val="auto"/>
              </w:rPr>
              <w:t>Income (Loss)</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08"/>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2024</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283,218,344</w:t>
            </w:r>
          </w:p>
        </w:tc>
        <w:tc>
          <w:tcPr>
            <w:tcW w:w="3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w:t>
            </w:r>
          </w:p>
        </w:tc>
        <w:tc>
          <w:tcPr>
            <w:tcW w:w="3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1,190,729</w:t>
            </w:r>
          </w:p>
        </w:tc>
        <w:tc>
          <w:tcPr>
            <w:tcW w:w="3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405</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(767,663)</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423,499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Pr>
          <w:p>
            <w:pPr>
              <w:ind w:left="80"/>
              <w:spacing w:after="0"/>
              <w:rPr>
                <w:sz w:val="20"/>
                <w:szCs w:val="20"/>
                <w:color w:val="auto"/>
              </w:rPr>
            </w:pPr>
            <w:r>
              <w:rPr>
                <w:rFonts w:ascii="Arial" w:cs="Arial" w:eastAsia="Arial" w:hAnsi="Arial"/>
                <w:sz w:val="14"/>
                <w:szCs w:val="14"/>
                <w:color w:val="auto"/>
              </w:rPr>
              <w:t>Exercise of stock options</w:t>
            </w:r>
          </w:p>
        </w:tc>
        <w:tc>
          <w:tcPr>
            <w:tcW w:w="1040" w:type="dxa"/>
            <w:vAlign w:val="bottom"/>
          </w:tcPr>
          <w:p>
            <w:pPr>
              <w:jc w:val="right"/>
              <w:spacing w:after="0"/>
              <w:rPr>
                <w:sz w:val="20"/>
                <w:szCs w:val="20"/>
                <w:color w:val="auto"/>
              </w:rPr>
            </w:pPr>
            <w:r>
              <w:rPr>
                <w:rFonts w:ascii="Arial" w:cs="Arial" w:eastAsia="Arial" w:hAnsi="Arial"/>
                <w:sz w:val="14"/>
                <w:szCs w:val="14"/>
                <w:color w:val="auto"/>
              </w:rPr>
              <w:t>47,372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shd w:val="clear" w:color="auto" w:fill="CFF0FC"/>
          </w:tcPr>
          <w:p>
            <w:pPr>
              <w:ind w:left="8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ind w:left="8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(30,966)</w:t>
            </w:r>
          </w:p>
        </w:tc>
        <w:tc>
          <w:tcPr>
            <w:tcW w:w="12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(30,966)</w:t>
            </w:r>
          </w:p>
        </w:tc>
        <w:tc>
          <w:tcPr>
            <w:tcW w:w="0" w:type="dxa"/>
            <w:vAlign w:val="bottom"/>
          </w:tcPr>
          <w:p>
            <w:pPr>
              <w:spacing w:after="0"/>
              <w:rPr>
                <w:sz w:val="1"/>
                <w:szCs w:val="1"/>
                <w:color w:val="auto"/>
              </w:rPr>
            </w:pPr>
          </w:p>
        </w:tc>
      </w:tr>
      <w:tr>
        <w:trPr>
          <w:trHeight w:val="162"/>
        </w:trPr>
        <w:tc>
          <w:tcPr>
            <w:tcW w:w="35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color w:val="auto"/>
              </w:rPr>
              <w:t>Unrealized gain on marketable securities, net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223</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line="155" w:lineRule="exact"/>
              <w:rPr>
                <w:sz w:val="20"/>
                <w:szCs w:val="20"/>
                <w:color w:val="auto"/>
              </w:rPr>
            </w:pPr>
            <w:r>
              <w:rPr>
                <w:rFonts w:ascii="Arial" w:cs="Arial" w:eastAsia="Arial" w:hAnsi="Arial"/>
                <w:sz w:val="14"/>
                <w:szCs w:val="14"/>
                <w:color w:val="auto"/>
              </w:rPr>
              <w:t>Balance at March 31, 2025</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283,265,716</w:t>
            </w:r>
          </w:p>
        </w:tc>
        <w:tc>
          <w:tcPr>
            <w:tcW w:w="3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28</w:t>
            </w:r>
          </w:p>
        </w:tc>
        <w:tc>
          <w:tcPr>
            <w:tcW w:w="3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1,197,475</w:t>
            </w:r>
          </w:p>
        </w:tc>
        <w:tc>
          <w:tcPr>
            <w:tcW w:w="3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628</w:t>
            </w:r>
          </w:p>
        </w:tc>
        <w:tc>
          <w:tcPr>
            <w:tcW w:w="220" w:type="dxa"/>
            <w:vAlign w:val="bottom"/>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(798,629)</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399,502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-1362710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-1345565</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-1362710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-1345565</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-1362710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-1345565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-1362710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-1345565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-1362710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-1345565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-1362710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-1345565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-136525</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-136525</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-136525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-136525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-136525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Erasca,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7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2026</w:t>
            </w: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7"/>
                <w:szCs w:val="17"/>
                <w:color w:val="auto"/>
              </w:rPr>
            </w:pP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(183,440)</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(30,966)</w:t>
            </w: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723</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822</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8,460</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6,713</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In-process research and development expenses</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150,000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Accretion on marketable securities, net</w:t>
            </w: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(746)</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(1,986)</w:t>
            </w: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Realized gain from sales of marketable securities, net</w:t>
            </w:r>
          </w:p>
        </w:tc>
        <w:tc>
          <w:tcPr>
            <w:tcW w:w="240" w:type="dxa"/>
            <w:vAlign w:val="bottom"/>
          </w:tcPr>
          <w:p>
            <w:pPr>
              <w:spacing w:after="0"/>
              <w:rPr>
                <w:sz w:val="17"/>
                <w:szCs w:val="17"/>
                <w:color w:val="auto"/>
              </w:rPr>
            </w:pPr>
          </w:p>
        </w:tc>
        <w:tc>
          <w:tcPr>
            <w:tcW w:w="1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(47)</w:t>
            </w:r>
          </w:p>
        </w:tc>
        <w:tc>
          <w:tcPr>
            <w:tcW w:w="34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600"/>
              <w:spacing w:after="0" w:line="202" w:lineRule="exact"/>
              <w:rPr>
                <w:sz w:val="20"/>
                <w:szCs w:val="20"/>
                <w:color w:val="auto"/>
              </w:rPr>
            </w:pPr>
            <w:r>
              <w:rPr>
                <w:rFonts w:ascii="Arial" w:cs="Arial" w:eastAsia="Arial" w:hAnsi="Arial"/>
                <w:sz w:val="18"/>
                <w:szCs w:val="18"/>
                <w:color w:val="auto"/>
              </w:rPr>
              <w:t>Prepaid expenses and other current and long-term assets</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175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459</w:t>
            </w:r>
          </w:p>
        </w:tc>
        <w:tc>
          <w:tcPr>
            <w:tcW w:w="100" w:type="dxa"/>
            <w:vAlign w:val="bottom"/>
          </w:tcPr>
          <w:p>
            <w:pPr>
              <w:spacing w:after="0"/>
              <w:rPr>
                <w:sz w:val="17"/>
                <w:szCs w:val="17"/>
                <w:color w:val="auto"/>
              </w:rPr>
            </w:pPr>
          </w:p>
        </w:tc>
      </w:tr>
      <w:tr>
        <w:trPr>
          <w:trHeight w:val="203"/>
        </w:trPr>
        <w:tc>
          <w:tcPr>
            <w:tcW w:w="772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1,182</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1,794</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ind w:left="600"/>
              <w:spacing w:after="0" w:line="202" w:lineRule="exact"/>
              <w:rPr>
                <w:sz w:val="20"/>
                <w:szCs w:val="20"/>
                <w:color w:val="auto"/>
              </w:rPr>
            </w:pPr>
            <w:r>
              <w:rPr>
                <w:rFonts w:ascii="Arial" w:cs="Arial" w:eastAsia="Arial" w:hAnsi="Arial"/>
                <w:sz w:val="18"/>
                <w:szCs w:val="18"/>
                <w:color w:val="auto"/>
              </w:rPr>
              <w:t>Accrued expenses and other current and long-term liabilities</w:t>
            </w:r>
          </w:p>
        </w:tc>
        <w:tc>
          <w:tcPr>
            <w:tcW w:w="240" w:type="dxa"/>
            <w:vAlign w:val="bottom"/>
          </w:tcPr>
          <w:p>
            <w:pPr>
              <w:spacing w:after="0"/>
              <w:rPr>
                <w:sz w:val="17"/>
                <w:szCs w:val="17"/>
                <w:color w:val="auto"/>
              </w:rPr>
            </w:pPr>
          </w:p>
        </w:tc>
        <w:tc>
          <w:tcPr>
            <w:tcW w:w="1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(3,269)</w:t>
            </w:r>
          </w:p>
        </w:tc>
        <w:tc>
          <w:tcPr>
            <w:tcW w:w="34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(8,006)</w:t>
            </w:r>
          </w:p>
        </w:tc>
      </w:tr>
      <w:tr>
        <w:trPr>
          <w:trHeight w:val="203"/>
        </w:trPr>
        <w:tc>
          <w:tcPr>
            <w:tcW w:w="7720" w:type="dxa"/>
            <w:vAlign w:val="bottom"/>
            <w:shd w:val="clear" w:color="auto" w:fill="CFF0FC"/>
          </w:tcPr>
          <w:p>
            <w:pPr>
              <w:ind w:left="600"/>
              <w:spacing w:after="0" w:line="202" w:lineRule="exact"/>
              <w:rPr>
                <w:sz w:val="20"/>
                <w:szCs w:val="20"/>
                <w:color w:val="auto"/>
              </w:rPr>
            </w:pPr>
            <w:r>
              <w:rPr>
                <w:rFonts w:ascii="Arial" w:cs="Arial" w:eastAsia="Arial" w:hAnsi="Arial"/>
                <w:sz w:val="18"/>
                <w:szCs w:val="18"/>
                <w:color w:val="auto"/>
              </w:rPr>
              <w:t>Operating lease assets and liabilities, net</w:t>
            </w: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(421)</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(385)</w:t>
            </w:r>
          </w:p>
        </w:tc>
      </w:tr>
      <w:tr>
        <w:trPr>
          <w:trHeight w:val="20"/>
        </w:trPr>
        <w:tc>
          <w:tcPr>
            <w:tcW w:w="7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7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(27,383)</w:t>
            </w:r>
          </w:p>
        </w:tc>
        <w:tc>
          <w:tcPr>
            <w:tcW w:w="34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(31,555)</w:t>
            </w:r>
          </w:p>
        </w:tc>
      </w:tr>
      <w:tr>
        <w:trPr>
          <w:trHeight w:val="166"/>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Purchases of marketable securities</w:t>
            </w:r>
          </w:p>
        </w:tc>
        <w:tc>
          <w:tcPr>
            <w:tcW w:w="240" w:type="dxa"/>
            <w:vAlign w:val="bottom"/>
          </w:tcPr>
          <w:p>
            <w:pPr>
              <w:spacing w:after="0"/>
              <w:rPr>
                <w:sz w:val="17"/>
                <w:szCs w:val="17"/>
                <w:color w:val="auto"/>
              </w:rPr>
            </w:pPr>
          </w:p>
        </w:tc>
        <w:tc>
          <w:tcPr>
            <w:tcW w:w="1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(253,170)</w:t>
            </w:r>
          </w:p>
        </w:tc>
        <w:tc>
          <w:tcPr>
            <w:tcW w:w="34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(10,652)</w:t>
            </w: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Maturities of marketable securities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58,550</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45,000</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Sales of marketable securities</w:t>
            </w:r>
          </w:p>
        </w:tc>
        <w:tc>
          <w:tcPr>
            <w:tcW w:w="2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100,826</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In-process research and development</w:t>
            </w: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(150,000)</w:t>
            </w: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7"/>
                <w:szCs w:val="17"/>
                <w:color w:val="auto"/>
              </w:rPr>
            </w:pPr>
          </w:p>
        </w:tc>
        <w:tc>
          <w:tcPr>
            <w:tcW w:w="1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(36)</w:t>
            </w:r>
          </w:p>
        </w:tc>
        <w:tc>
          <w:tcPr>
            <w:tcW w:w="340" w:type="dxa"/>
            <w:vAlign w:val="bottom"/>
          </w:tcPr>
          <w:p>
            <w:pPr>
              <w:spacing w:after="0"/>
              <w:rPr>
                <w:sz w:val="17"/>
                <w:szCs w:val="17"/>
                <w:color w:val="auto"/>
              </w:rPr>
            </w:pPr>
          </w:p>
        </w:tc>
        <w:tc>
          <w:tcPr>
            <w:tcW w:w="1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(83)</w:t>
            </w: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provided by investing activities</w:t>
            </w: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(243,830)</w:t>
            </w: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34,265</w:t>
            </w:r>
          </w:p>
        </w:tc>
        <w:tc>
          <w:tcPr>
            <w:tcW w:w="100" w:type="dxa"/>
            <w:vAlign w:val="bottom"/>
            <w:shd w:val="clear" w:color="auto" w:fill="CFF0FC"/>
          </w:tcPr>
          <w:p>
            <w:pPr>
              <w:spacing w:after="0"/>
              <w:rPr>
                <w:sz w:val="17"/>
                <w:szCs w:val="17"/>
                <w:color w:val="auto"/>
              </w:rPr>
            </w:pPr>
          </w:p>
        </w:tc>
      </w:tr>
      <w:tr>
        <w:trPr>
          <w:trHeight w:val="405"/>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Proceeds from issuance of common stock in underwritten offering</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258,750</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Issuance costs associated with underwritten offering</w:t>
            </w:r>
          </w:p>
        </w:tc>
        <w:tc>
          <w:tcPr>
            <w:tcW w:w="240" w:type="dxa"/>
            <w:vAlign w:val="bottom"/>
          </w:tcPr>
          <w:p>
            <w:pPr>
              <w:spacing w:after="0"/>
              <w:rPr>
                <w:sz w:val="17"/>
                <w:szCs w:val="17"/>
                <w:color w:val="auto"/>
              </w:rPr>
            </w:pPr>
          </w:p>
        </w:tc>
        <w:tc>
          <w:tcPr>
            <w:tcW w:w="1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(16,044)</w:t>
            </w:r>
          </w:p>
        </w:tc>
        <w:tc>
          <w:tcPr>
            <w:tcW w:w="34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Proceeds from the exercise of stock options</w:t>
            </w: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1,958</w:t>
            </w:r>
          </w:p>
        </w:tc>
        <w:tc>
          <w:tcPr>
            <w:tcW w:w="26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7"/>
                <w:szCs w:val="17"/>
                <w:color w:val="auto"/>
              </w:rPr>
            </w:pPr>
          </w:p>
        </w:tc>
      </w:tr>
      <w:tr>
        <w:trPr>
          <w:trHeight w:val="232"/>
        </w:trPr>
        <w:tc>
          <w:tcPr>
            <w:tcW w:w="77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244,664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r>
      <w:tr>
        <w:trPr>
          <w:trHeight w:val="166"/>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(decrease) increase in cash, cash equivalents, and restricted cash</w:t>
            </w: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(26,549)</w:t>
            </w: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2,743</w:t>
            </w:r>
          </w:p>
        </w:tc>
        <w:tc>
          <w:tcPr>
            <w:tcW w:w="10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the period</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74,213</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68,147</w:t>
            </w:r>
          </w:p>
        </w:tc>
        <w:tc>
          <w:tcPr>
            <w:tcW w:w="100" w:type="dxa"/>
            <w:vAlign w:val="bottom"/>
          </w:tcPr>
          <w:p>
            <w:pPr>
              <w:spacing w:after="0"/>
              <w:rPr>
                <w:sz w:val="17"/>
                <w:szCs w:val="17"/>
                <w:color w:val="auto"/>
              </w:rPr>
            </w:pPr>
          </w:p>
        </w:tc>
      </w:tr>
      <w:tr>
        <w:trPr>
          <w:trHeight w:val="236"/>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Cash, cash equivalents, and restricted cash at end of the period</w:t>
            </w:r>
          </w:p>
        </w:tc>
        <w:tc>
          <w:tcPr>
            <w:tcW w:w="2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47,664</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70,890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-2502535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Erasca,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Erasca, Inc. (Erasca or the Company) is a clinical-stage precision oncology company singularly focused on discovering, developing, and commercializing therapies for patients with RAS/MAPK pathway-driven cancers. The Company has assembled a RAS/MAPK pathway-focused pipeline comprising modality-agnostic programs aligned with its three therapeutic strategies of: (1) targeting key upstream and downstream signaling nodes in the RAS/MAPK pathway; (2) targeting RAS directly; and (3) targeting escape routes that emerge in response to treatment. The Company was incorporated under the laws of the State of Delaware on July 2, 2018, as Erasca, Inc., and is headquartered in San Diego, California. In September 2020, the Company established a wholly-owned Australian subsidiary, Erasca Australia Pty Ltd (Erasca Australia), in order to conduct clinical activities in Australia for its development candidates. In November 2020, the Company entered into an agreement and plan of merger with Asana BioSciences, LLC (Asana) and ASN Product Development, Inc. (ASN) (the Asana Merger Agreement), pursuant to which ASN became the Company's wholly-owned subsidiary. In March 2021, the Company established a wholly-owned subsidiary, Erasca Ventures, LLC (Erasca Ventures), to make equity investments in early-stage biotechnology companies that are aligned with the Company’s mission and strategy.</w:t>
      </w:r>
    </w:p>
    <w:p>
      <w:pPr>
        <w:spacing w:after="0" w:line="17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Since inception, the Company has devoted substantially all of its efforts and resources to organizing and staffing the Company, business planning, raising capital, identifying, acquiring, and in-licensing the Company’s product candidates, establishing its intellectual property portfolio, conducting research, preclinical studies, and clinical trials, establishing arrangements with third parties for the manufacture of its product candidates and related raw materials, and providing general and administrative support for these operations. As of March 31, 2026, the Company had $408.5 million in cash, cash equivalents, and marketable securities. As of March 31, 2026, the Company had an accumulated deficit of $1.1 billion. The Company has incurred significant operating losses and negative cash flows from operations. From its inception through March 31, 2026, the Company’s financial support has primarily been provided from the sale of its convertible preferred stock and the sale of its common stock in its initial public offering (IPO), underwritten offerings, a private placement of common stock, and "at the market" offerings.</w:t>
      </w:r>
    </w:p>
    <w:p>
      <w:pPr>
        <w:spacing w:after="0" w:line="17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expects to use its cash, cash equivalents, and marketable securities to fund research and development, working capital, and other general corporate purposes. The Company does not expect to generate any revenues from product sales unless and until the Company successfully completes development and obtains regulatory approval for any of its product candidates, which will not be for at least the next several years, if ever. Accordingly, until such time as the Company can generate significant revenue from sales of its product candidates, if ever, the Company expects to finance its cash needs through equity offerings, debt financings, or other capital sources, including potential collaborations, licenses, or other similar arrangements. However, the Company may not be able to secure additional financing or enter into such other arrangements in a timely manner or on favorable terms, if at all. The Company’s failure to raise capital or enter into such other arrangements when needed would have a negative impact on the Company’s financial condition and could force the Company to delay, limit, reduce, or terminate its research and development programs or other operations, or grant rights to develop and market product candidates that the Company would otherwise prefer to develop and market itself. The Company believes its cash, cash equivalents, and marketable securities as of March 31, 2026 will be sufficient for the Company to fund operations for at least one year from the issuance date of these condensed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(US GAAP) for interim financial information and pursuant to Form 10-Q and Article 10 of Regulation S-X of the Securities and Exchange Commission (SEC). Accordingly, they do not include all of the information and notes required by US GAAP for complete financial statements. Any reference in these notes to applicable guidance is meant to refer to US GAAP as found in the Accounting Standards Codification (ASC) and Accounting Standards Updates (ASU) promulgated by the Financial Accounting Standards Board (FASB). The Company’s condensed consolidated financial statements include the accounts of the Company and its wholly-owned subsidiaries, Erasca Australia, ASN, and Erasca Ventures. All intercompany balances and transactions have been eliminated.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preparation of the Company’s condensed consolidated financial statements in conformity with US GAAP requires the Company to make estimates and assumptions that impact the reported amounts of assets, liabilities, expenses, and the disclosure of contingent assets and liabilities in the condensed consolidated financial statements and accompanying notes. Accounting estimates and management judgments reflected in the condensed consolidated financial statements include, but are not limited to, the accrual of research and development expenses, stock-based compensation expense, the fair value of long-lived assets, the fair value of equity investments, and the incremental borrowing rate for determining the operating lease asset and liability. Management evaluates its estimates on an ongoing basis. Although estimates are based on the Company’s historical experience, knowledge of current events, and actions it may undertake in the future, actual results may ultimately materially differ from these estimates and assumptions.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accompanying condensed consolidated balance sheet as of March 31, 2026, the condensed consolidated statements of operations and comprehensive loss for the three months ended March 31, 2026 and 2025, the condensed consolidated statements of stockholders’ equity for the three months ended March 31, 2026 and 2025, and the condensed consolidated statements of cash flows for the three months ended March 31, 2026 and 2025 are unaudited. The unaudited condensed consolidated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condensed consolidated financial position as of March 31, 2026 and the condensed consolidated results of its operations and cash flows for the three months ended March 31, 2026 and 2025. The condensed consolidated financial data and other information disclosed in these notes related to the three months ended March 31, 2026 and 2025 are unaudited. The condensed consolidated results for the three months ended March 31, 2026 are not necessarily indicative of results to be expected for the year ending December 31, 2026, any other interim periods, or any future year or period. These unaudited condensed consolidated financial statements should be read in conjunction with the Company's audited consolidated financial statements included in its Annual Report on Form 10-K for the year ended December 31, 2025 filed with the SEC on March 12, 2026.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off-balance sheet risk</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Financial instruments which potentially subject the Company to significant concentration of credit risk consist of cash and cash equivalents and marketable securities.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Company’s investment policy includes guidelines for the quality of the related institutions and financial instruments and defines allowable investments that the Company may invest in, which the Company believes minimizes the exposure to concentration of credit risk.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98"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Cash and cash equivalents include cash in readily available checking and savings accounts, money market funds, and commercial paper. The Company considers all highly liquid investments with an original maturity of three months or less from the date of purchase to be cash equivalents.</w:t>
      </w:r>
    </w:p>
    <w:p>
      <w:pPr>
        <w:spacing w:after="0" w:line="155"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The Company had deposited cash of $408,000 as of March 31, 2026 and December 31, 2025 to secure a letter of credit in connection with the lease of the Company’s facilities (see Note 10). The Company has classified the restricted cash as a noncurrent asset on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8" w:name="page9"/>
    <w:bookmarkEnd w:id="8"/>
    <w:p>
      <w:pPr>
        <w:ind w:right="320"/>
        <w:spacing w:after="0" w:line="271"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amounts shown in the condensed consolidated statements of cash flows (in thousands):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4"/>
              <w:spacing w:after="0" w:line="183" w:lineRule="exact"/>
              <w:rPr>
                <w:sz w:val="20"/>
                <w:szCs w:val="20"/>
                <w:color w:val="auto"/>
              </w:rPr>
            </w:pPr>
            <w:r>
              <w:rPr>
                <w:rFonts w:ascii="Arial" w:cs="Arial" w:eastAsia="Arial" w:hAnsi="Arial"/>
                <w:sz w:val="16"/>
                <w:szCs w:val="16"/>
                <w:b w:val="1"/>
                <w:bCs w:val="1"/>
                <w:color w:val="auto"/>
              </w:rPr>
              <w:t>2026</w:t>
            </w: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2"/>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23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47,256</w:t>
            </w:r>
          </w:p>
        </w:tc>
        <w:tc>
          <w:tcPr>
            <w:tcW w:w="64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70,482</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2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408</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408</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23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47,664</w:t>
            </w:r>
          </w:p>
        </w:tc>
        <w:tc>
          <w:tcPr>
            <w:tcW w:w="64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70,890</w:t>
            </w:r>
          </w:p>
        </w:tc>
        <w:tc>
          <w:tcPr>
            <w:tcW w:w="100" w:type="dxa"/>
            <w:vAlign w:val="bottom"/>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 and investments</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classifies all marketable securities as available-for-sale, as the sale of such securities may be required prior to maturity. Management determines the appropriate classification of its marketable securities at the time of purchase. Marketable securities with original maturities beyond three months at the date of purchase and which mature at, or less than 12 months from, the balance sheet date are classified as short-term marketable securities. Available-for-sale securities are carried at fair value, with the unrealized gains and losses reported as accumulated other comprehensive income (loss) until realized. The amortized cost of available-for-sale debt securities is adjusted for amortization of premiums and accretion of discounts to maturity. Such amortization and accretion are included in interest income. The Company regularly reviews all of its marketable securities for declines in fair value. The review includes the consideration of the cause of the impairment, including the creditworthiness of the security issuers, the number of securities in an unrealized loss position, the severity of the unrealized loss(es), whether the Company has the intent to sell the securities, and whether it is more likely than not that the Company will be required to sell the securities before the recovery of their amortized cost basis. If the decline in fair value is due to credit-related factors, a loss is recognized in net income; whereas, if the decline in fair value is not due to credit-related factors, the loss is recorded in other comprehensive income (loss). Realized gains and losses on available-for-sale securities are included in other income (expense), net. The cost of securities sold is based on the specific identification method. Interest and dividends on securities classified as available-for-sale are included in interest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related to the Company's available-for-sale securities is presented within prepaid expenses and other current assets on the Company's condensed consolidated balance sheets. For purposes of identifying and measuring credit-related impairments, the Company’s policy is to exclude applicable accrued interest from both the fair value and the amortized cost basis of available-for-sale securities and to not measure an allowance for credit loss for accrued interest. The Company has elected to write-off any uncollectible accrued interest as a reversal of interest income in a timely manner, which the Company considers to be in the period in which it determines the accrued interest will not be collected by the Company. To date, the Company has not written off any accrued interest associated with its available-for-sale securities.</w:t>
      </w:r>
    </w:p>
    <w:p>
      <w:pPr>
        <w:spacing w:after="0" w:line="17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Through its wholly-owned subsidiary, Erasca Ventures, the Company has also invested in equity securities of companies whose securities are not publicly traded and whose fair value is not readily available. These investments are recorded using cost minus impairment, plus or minus changes in their estimated fair values resulting from observable price changes in orderly transactions for the identical or a similar investment of the same issuer. Investments in equity securities without readily determinable fair values are assessed for potential impairment on a quarterly basis based on qualitative factors. These investments are included in other assets in the Company's condensed consolidated balance sheets.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98"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Certain assets and liabilities are carried at fair value under US GAAP.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Financial assets and liabilities carried at fair value are classified and disclosed in one of the following three levels of the fair value hierarchy, of which the first two are considered observable and the last is considered unobservable:</w:t>
      </w:r>
    </w:p>
    <w:p>
      <w:pPr>
        <w:spacing w:after="0" w:line="163"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Level 1—Unadjusted quoted prices in active markets that are accessible at the measurement date for identical, unrestricted assets or liabilities.</w:t>
      </w:r>
    </w:p>
    <w:p>
      <w:pPr>
        <w:spacing w:after="0" w:line="140"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9" w:name="page10"/>
    <w:bookmarkEnd w:id="9"/>
    <w:p>
      <w:pPr>
        <w:ind w:right="360"/>
        <w:spacing w:after="0" w:line="271" w:lineRule="auto"/>
        <w:rPr>
          <w:sz w:val="20"/>
          <w:szCs w:val="20"/>
          <w:color w:val="auto"/>
        </w:rPr>
      </w:pPr>
      <w:r>
        <w:rPr>
          <w:rFonts w:ascii="Arial" w:cs="Arial" w:eastAsia="Arial" w:hAnsi="Arial"/>
          <w:sz w:val="18"/>
          <w:szCs w:val="18"/>
          <w:color w:val="auto"/>
        </w:rPr>
        <w:t>Level 3—Prices or valuation techniques that require inputs that are both significant to the fair value measurement and unobservable (i.e., supported by little or no market activity).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new accounting pronouncements are issued by the FASB or other standard setting bodies that the Company adopts as of the specified effective date. The Company qualifies as an “emerging growth company” as defined in the Jumpstart Our Business Startups Act of 2012 (JOBS Act)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17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 November 2024, the FASB issued ASU No. 2024-03, Income Statement - Reporting Comprehensive Income - Expense Disaggregation Disclosures (Subtopic 220-40): Disaggregation of Income Statement Expenses, which is intended to improve the disclosures of expenses by providing more detailed information about the types of expenses in commonly presented expense captions. The standard is effective for annual reporting periods beginning after December 15, 2026, and interim reporting periods beginning after December 15, 2027. Early adoption is permitted. The standard can be applied either prospectively or retrospectively. The Company is currently evaluating the impact of the standard on the presentation of its consolidated financial statements and related disclosures.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and their respective input levels based on the fair value hierarchy (in thousands):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gridSpan w:val="8"/>
          </w:tcPr>
          <w:p>
            <w:pPr>
              <w:jc w:val="center"/>
              <w:ind w:right="260"/>
              <w:spacing w:after="0"/>
              <w:rPr>
                <w:sz w:val="20"/>
                <w:szCs w:val="20"/>
                <w:color w:val="auto"/>
              </w:rPr>
            </w:pPr>
            <w:r>
              <w:rPr>
                <w:rFonts w:ascii="Arial" w:cs="Arial" w:eastAsia="Arial" w:hAnsi="Arial"/>
                <w:sz w:val="16"/>
                <w:szCs w:val="16"/>
                <w:b w:val="1"/>
                <w:bCs w:val="1"/>
                <w:color w:val="auto"/>
              </w:rPr>
              <w:t>Fair value measurements as of March 31, 2026 using</w:t>
            </w:r>
          </w:p>
        </w:tc>
      </w:tr>
      <w:tr>
        <w:trPr>
          <w:trHeight w:val="168"/>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top w:val="single" w:sz="8" w:color="auto"/>
            </w:tcBorders>
            <w:gridSpan w:val="2"/>
          </w:tcPr>
          <w:p>
            <w:pPr>
              <w:jc w:val="center"/>
              <w:spacing w:after="0" w:line="168" w:lineRule="exact"/>
              <w:rPr>
                <w:sz w:val="20"/>
                <w:szCs w:val="20"/>
                <w:color w:val="auto"/>
              </w:rPr>
            </w:pPr>
            <w:r>
              <w:rPr>
                <w:rFonts w:ascii="Arial" w:cs="Arial" w:eastAsia="Arial" w:hAnsi="Arial"/>
                <w:sz w:val="16"/>
                <w:szCs w:val="16"/>
                <w:b w:val="1"/>
                <w:bCs w:val="1"/>
                <w:color w:val="auto"/>
              </w:rPr>
              <w:t>Quoted prices</w:t>
            </w: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52"/>
              <w:spacing w:after="0"/>
              <w:rPr>
                <w:sz w:val="20"/>
                <w:szCs w:val="20"/>
                <w:color w:val="auto"/>
              </w:rPr>
            </w:pPr>
            <w:r>
              <w:rPr>
                <w:rFonts w:ascii="Arial" w:cs="Arial" w:eastAsia="Arial" w:hAnsi="Arial"/>
                <w:sz w:val="16"/>
                <w:szCs w:val="16"/>
                <w:b w:val="1"/>
                <w:bCs w:val="1"/>
                <w:color w:val="auto"/>
                <w:w w:val="98"/>
              </w:rPr>
              <w:t>in</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72"/>
              <w:spacing w:after="0"/>
              <w:rPr>
                <w:sz w:val="20"/>
                <w:szCs w:val="20"/>
                <w:color w:val="auto"/>
              </w:rPr>
            </w:pPr>
            <w:r>
              <w:rPr>
                <w:rFonts w:ascii="Arial" w:cs="Arial" w:eastAsia="Arial" w:hAnsi="Arial"/>
                <w:sz w:val="16"/>
                <w:szCs w:val="16"/>
                <w:b w:val="1"/>
                <w:bCs w:val="1"/>
                <w:color w:val="auto"/>
              </w:rPr>
              <w:t>Significant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active markets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Arial" w:cs="Arial" w:eastAsia="Arial" w:hAnsi="Arial"/>
                <w:sz w:val="16"/>
                <w:szCs w:val="16"/>
                <w:b w:val="1"/>
                <w:bCs w:val="1"/>
                <w:color w:val="auto"/>
                <w:w w:val="99"/>
              </w:rPr>
              <w:t>other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unobservable</w:t>
            </w:r>
          </w:p>
        </w:tc>
      </w:tr>
      <w:tr>
        <w:trPr>
          <w:trHeight w:val="189"/>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92"/>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72"/>
              <w:spacing w:after="0"/>
              <w:rPr>
                <w:sz w:val="20"/>
                <w:szCs w:val="20"/>
                <w:color w:val="auto"/>
              </w:rPr>
            </w:pPr>
            <w:r>
              <w:rPr>
                <w:rFonts w:ascii="Arial" w:cs="Arial" w:eastAsia="Arial" w:hAnsi="Arial"/>
                <w:sz w:val="16"/>
                <w:szCs w:val="16"/>
                <w:b w:val="1"/>
                <w:bCs w:val="1"/>
                <w:color w:val="auto"/>
              </w:rPr>
              <w:t>for identical</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72"/>
              <w:spacing w:after="0"/>
              <w:rPr>
                <w:sz w:val="20"/>
                <w:szCs w:val="20"/>
                <w:color w:val="auto"/>
              </w:rPr>
            </w:pPr>
            <w:r>
              <w:rPr>
                <w:rFonts w:ascii="Arial" w:cs="Arial" w:eastAsia="Arial" w:hAnsi="Arial"/>
                <w:sz w:val="16"/>
                <w:szCs w:val="16"/>
                <w:b w:val="1"/>
                <w:bCs w:val="1"/>
                <w:color w:val="auto"/>
              </w:rPr>
              <w:t>observable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inputs</w:t>
            </w:r>
          </w:p>
        </w:tc>
      </w:tr>
      <w:tr>
        <w:trPr>
          <w:trHeight w:val="203"/>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92"/>
              <w:spacing w:after="0"/>
              <w:rPr>
                <w:sz w:val="20"/>
                <w:szCs w:val="20"/>
                <w:color w:val="auto"/>
              </w:rPr>
            </w:pPr>
            <w:r>
              <w:rPr>
                <w:rFonts w:ascii="Arial" w:cs="Arial" w:eastAsia="Arial" w:hAnsi="Arial"/>
                <w:sz w:val="16"/>
                <w:szCs w:val="16"/>
                <w:b w:val="1"/>
                <w:bCs w:val="1"/>
                <w:color w:val="auto"/>
              </w:rPr>
              <w:t>2026</w:t>
            </w:r>
          </w:p>
        </w:tc>
        <w:tc>
          <w:tcPr>
            <w:tcW w:w="2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assets (level 1)</w:t>
            </w:r>
          </w:p>
        </w:tc>
        <w:tc>
          <w:tcPr>
            <w:tcW w:w="2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inputs (level 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(level 3)</w:t>
            </w:r>
          </w:p>
        </w:tc>
      </w:tr>
      <w:tr>
        <w:trPr>
          <w:trHeight w:val="196"/>
        </w:trPr>
        <w:tc>
          <w:tcPr>
            <w:tcW w:w="20" w:type="dxa"/>
            <w:vAlign w:val="bottom"/>
          </w:tcPr>
          <w:p>
            <w:pPr>
              <w:spacing w:after="0"/>
              <w:rPr>
                <w:sz w:val="17"/>
                <w:szCs w:val="17"/>
                <w:color w:val="auto"/>
              </w:rPr>
            </w:pPr>
          </w:p>
        </w:tc>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00" w:type="dxa"/>
            <w:vAlign w:val="bottom"/>
          </w:tcPr>
          <w:p>
            <w:pPr>
              <w:ind w:left="120"/>
              <w:spacing w:after="0" w:line="202" w:lineRule="exact"/>
              <w:rPr>
                <w:sz w:val="20"/>
                <w:szCs w:val="20"/>
                <w:color w:val="auto"/>
              </w:rPr>
            </w:pPr>
            <w:r>
              <w:rPr>
                <w:rFonts w:ascii="Arial" w:cs="Arial" w:eastAsia="Arial" w:hAnsi="Arial"/>
                <w:sz w:val="17"/>
                <w:szCs w:val="17"/>
                <w:color w:val="auto"/>
              </w:rPr>
              <w:t>Money market funds</w:t>
            </w:r>
            <w:r>
              <w:rPr>
                <w:rFonts w:ascii="Arial" w:cs="Arial" w:eastAsia="Arial" w:hAnsi="Arial"/>
                <w:sz w:val="23"/>
                <w:szCs w:val="23"/>
                <w:color w:val="auto"/>
                <w:vertAlign w:val="superscript"/>
              </w:rPr>
              <w:t>(1)</w:t>
            </w:r>
          </w:p>
        </w:tc>
        <w:tc>
          <w:tcPr>
            <w:tcW w:w="18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32,221</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32,221</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10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Commercial paper</w:t>
            </w:r>
            <w:r>
              <w:rPr>
                <w:rFonts w:ascii="Arial" w:cs="Arial" w:eastAsia="Arial" w:hAnsi="Arial"/>
                <w:sz w:val="23"/>
                <w:szCs w:val="23"/>
                <w:color w:val="auto"/>
                <w:vertAlign w:val="superscript"/>
              </w:rPr>
              <w:t>(1)</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11,967</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11,967</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9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tcPr>
          <w:p>
            <w:pPr>
              <w:ind w:left="120"/>
              <w:spacing w:after="0" w:line="202"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67,170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67,170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US government agency securities</w:t>
            </w:r>
            <w:r>
              <w:rPr>
                <w:rFonts w:ascii="Arial" w:cs="Arial" w:eastAsia="Arial" w:hAnsi="Arial"/>
                <w:sz w:val="23"/>
                <w:szCs w:val="23"/>
                <w:color w:val="auto"/>
                <w:vertAlign w:val="superscript"/>
              </w:rPr>
              <w:t>(2)</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48,306</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48,306</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9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tcPr>
          <w:p>
            <w:pPr>
              <w:ind w:left="120"/>
              <w:spacing w:after="0" w:line="202" w:lineRule="exact"/>
              <w:rPr>
                <w:sz w:val="20"/>
                <w:szCs w:val="20"/>
                <w:color w:val="auto"/>
              </w:rPr>
            </w:pPr>
            <w:r>
              <w:rPr>
                <w:rFonts w:ascii="Arial" w:cs="Arial" w:eastAsia="Arial" w:hAnsi="Arial"/>
                <w:sz w:val="17"/>
                <w:szCs w:val="17"/>
                <w:color w:val="auto"/>
              </w:rPr>
              <w:t>Corporate debt securities</w:t>
            </w:r>
            <w:r>
              <w:rPr>
                <w:rFonts w:ascii="Arial" w:cs="Arial" w:eastAsia="Arial" w:hAnsi="Arial"/>
                <w:sz w:val="23"/>
                <w:szCs w:val="23"/>
                <w:color w:val="auto"/>
                <w:vertAlign w:val="superscript"/>
              </w:rPr>
              <w:t>(2)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12,531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12,531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Commercial paper</w:t>
            </w:r>
            <w:r>
              <w:rPr>
                <w:rFonts w:ascii="Arial" w:cs="Arial" w:eastAsia="Arial" w:hAnsi="Arial"/>
                <w:sz w:val="23"/>
                <w:szCs w:val="23"/>
                <w:color w:val="auto"/>
                <w:vertAlign w:val="superscript"/>
              </w:rPr>
              <w:t>(2)</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68,525</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68,525</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9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tcPr>
          <w:p>
            <w:pPr>
              <w:ind w:left="120"/>
              <w:spacing w:after="0" w:line="202"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131,157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131,157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9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10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US government agency securities</w:t>
            </w:r>
            <w:r>
              <w:rPr>
                <w:rFonts w:ascii="Arial" w:cs="Arial" w:eastAsia="Arial" w:hAnsi="Arial"/>
                <w:sz w:val="23"/>
                <w:szCs w:val="23"/>
                <w:color w:val="auto"/>
                <w:vertAlign w:val="superscript"/>
              </w:rPr>
              <w:t>(3)</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33,562</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33,562</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ind w:left="980"/>
              <w:spacing w:after="0" w:line="202" w:lineRule="exact"/>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5100" w:type="dxa"/>
            <w:vAlign w:val="bottom"/>
          </w:tcPr>
          <w:p>
            <w:pPr>
              <w:spacing w:after="0" w:line="196" w:lineRule="exact"/>
              <w:rPr>
                <w:sz w:val="20"/>
                <w:szCs w:val="20"/>
                <w:color w:val="auto"/>
              </w:rPr>
            </w:pPr>
            <w:r>
              <w:rPr>
                <w:rFonts w:ascii="Arial" w:cs="Arial" w:eastAsia="Arial" w:hAnsi="Arial"/>
                <w:sz w:val="18"/>
                <w:szCs w:val="18"/>
                <w:color w:val="auto"/>
              </w:rPr>
              <w:t>Total fair value of assets</w:t>
            </w: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405,439</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230,548</w:t>
            </w:r>
          </w:p>
        </w:tc>
        <w:tc>
          <w:tcPr>
            <w:tcW w:w="2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174,891</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ind w:left="980"/>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460" w:hanging="33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as cash and cash equivalents on the condensed consolidated balance sheets.</w:t>
      </w:r>
    </w:p>
    <w:p>
      <w:pPr>
        <w:spacing w:after="0" w:line="15" w:lineRule="exact"/>
        <w:rPr>
          <w:rFonts w:ascii="Arial" w:cs="Arial" w:eastAsia="Arial" w:hAnsi="Arial"/>
          <w:sz w:val="14"/>
          <w:szCs w:val="14"/>
          <w:color w:val="auto"/>
        </w:rPr>
      </w:pPr>
    </w:p>
    <w:p>
      <w:pPr>
        <w:ind w:left="460" w:hanging="33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as short-term marketable securities on the condensed consolidated balance sheets.</w:t>
      </w:r>
    </w:p>
    <w:p>
      <w:pPr>
        <w:spacing w:after="0" w:line="1" w:lineRule="exact"/>
        <w:rPr>
          <w:rFonts w:ascii="Arial" w:cs="Arial" w:eastAsia="Arial" w:hAnsi="Arial"/>
          <w:sz w:val="14"/>
          <w:szCs w:val="14"/>
          <w:color w:val="auto"/>
        </w:rPr>
      </w:pPr>
    </w:p>
    <w:p>
      <w:pPr>
        <w:ind w:left="460" w:hanging="33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Included as long-term marketable securities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00" w:type="dxa"/>
            <w:vAlign w:val="bottom"/>
            <w:gridSpan w:val="9"/>
          </w:tcPr>
          <w:p>
            <w:pPr>
              <w:ind w:left="20"/>
              <w:spacing w:after="0"/>
              <w:rPr>
                <w:sz w:val="20"/>
                <w:szCs w:val="20"/>
                <w:color w:val="auto"/>
              </w:rPr>
            </w:pPr>
            <w:r>
              <w:rPr>
                <w:rFonts w:ascii="Arial" w:cs="Arial" w:eastAsia="Arial" w:hAnsi="Arial"/>
                <w:sz w:val="16"/>
                <w:szCs w:val="16"/>
                <w:b w:val="1"/>
                <w:bCs w:val="1"/>
                <w:color w:val="auto"/>
              </w:rPr>
              <w:t>Fair value measurements as of December 31, 2025 using</w:t>
            </w:r>
          </w:p>
        </w:tc>
      </w:tr>
      <w:tr>
        <w:trPr>
          <w:trHeight w:val="168"/>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top w:val="single" w:sz="8" w:color="auto"/>
            </w:tcBorders>
            <w:gridSpan w:val="2"/>
          </w:tcPr>
          <w:p>
            <w:pPr>
              <w:spacing w:after="0" w:line="168" w:lineRule="exact"/>
              <w:rPr>
                <w:sz w:val="20"/>
                <w:szCs w:val="20"/>
                <w:color w:val="auto"/>
              </w:rPr>
            </w:pPr>
            <w:r>
              <w:rPr>
                <w:rFonts w:ascii="Arial" w:cs="Arial" w:eastAsia="Arial" w:hAnsi="Arial"/>
                <w:sz w:val="16"/>
                <w:szCs w:val="16"/>
                <w:b w:val="1"/>
                <w:bCs w:val="1"/>
                <w:color w:val="auto"/>
                <w:w w:val="99"/>
              </w:rPr>
              <w:t>Quoted prices in</w:t>
            </w: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center"/>
              <w:ind w:right="72"/>
              <w:spacing w:after="0" w:line="168" w:lineRule="exact"/>
              <w:rPr>
                <w:sz w:val="20"/>
                <w:szCs w:val="20"/>
                <w:color w:val="auto"/>
              </w:rPr>
            </w:pPr>
            <w:r>
              <w:rPr>
                <w:rFonts w:ascii="Arial" w:cs="Arial" w:eastAsia="Arial" w:hAnsi="Arial"/>
                <w:sz w:val="16"/>
                <w:szCs w:val="16"/>
                <w:b w:val="1"/>
                <w:bCs w:val="1"/>
                <w:color w:val="auto"/>
              </w:rPr>
              <w:t>Significant</w:t>
            </w: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33"/>
              <w:spacing w:after="0" w:line="168" w:lineRule="exact"/>
              <w:rPr>
                <w:sz w:val="20"/>
                <w:szCs w:val="20"/>
                <w:color w:val="auto"/>
              </w:rPr>
            </w:pPr>
            <w:r>
              <w:rPr>
                <w:rFonts w:ascii="Arial" w:cs="Arial" w:eastAsia="Arial" w:hAnsi="Arial"/>
                <w:sz w:val="16"/>
                <w:szCs w:val="16"/>
                <w:b w:val="1"/>
                <w:bCs w:val="1"/>
                <w:color w:val="auto"/>
              </w:rPr>
              <w:t>Significant</w:t>
            </w:r>
          </w:p>
        </w:tc>
        <w:tc>
          <w:tcPr>
            <w:tcW w:w="100" w:type="dxa"/>
            <w:vAlign w:val="bottom"/>
          </w:tcPr>
          <w:p>
            <w:pPr>
              <w:spacing w:after="0"/>
              <w:rPr>
                <w:sz w:val="14"/>
                <w:szCs w:val="14"/>
                <w:color w:val="auto"/>
              </w:rPr>
            </w:pPr>
          </w:p>
        </w:tc>
      </w:tr>
      <w:tr>
        <w:trPr>
          <w:trHeight w:val="189"/>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active markets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Arial" w:cs="Arial" w:eastAsia="Arial" w:hAnsi="Arial"/>
                <w:sz w:val="16"/>
                <w:szCs w:val="16"/>
                <w:b w:val="1"/>
                <w:bCs w:val="1"/>
                <w:color w:val="auto"/>
                <w:w w:val="99"/>
              </w:rPr>
              <w:t>other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unobservable</w:t>
            </w:r>
          </w:p>
        </w:tc>
      </w:tr>
      <w:tr>
        <w:trPr>
          <w:trHeight w:val="189"/>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140" w:type="dxa"/>
            <w:vAlign w:val="bottom"/>
          </w:tcPr>
          <w:p>
            <w:pPr>
              <w:jc w:val="center"/>
              <w:ind w:right="51"/>
              <w:spacing w:after="0"/>
              <w:rPr>
                <w:sz w:val="20"/>
                <w:szCs w:val="20"/>
                <w:color w:val="auto"/>
              </w:rPr>
            </w:pPr>
            <w:r>
              <w:rPr>
                <w:rFonts w:ascii="Arial" w:cs="Arial" w:eastAsia="Arial" w:hAnsi="Arial"/>
                <w:sz w:val="16"/>
                <w:szCs w:val="16"/>
                <w:b w:val="1"/>
                <w:bCs w:val="1"/>
                <w:color w:val="auto"/>
              </w:rPr>
              <w:t>for identical</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2"/>
              <w:spacing w:after="0"/>
              <w:rPr>
                <w:sz w:val="20"/>
                <w:szCs w:val="20"/>
                <w:color w:val="auto"/>
              </w:rPr>
            </w:pPr>
            <w:r>
              <w:rPr>
                <w:rFonts w:ascii="Arial" w:cs="Arial" w:eastAsia="Arial" w:hAnsi="Arial"/>
                <w:sz w:val="16"/>
                <w:szCs w:val="16"/>
                <w:b w:val="1"/>
                <w:bCs w:val="1"/>
                <w:color w:val="auto"/>
              </w:rPr>
              <w:t>observable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inputs</w:t>
            </w:r>
          </w:p>
        </w:tc>
      </w:t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92"/>
              <w:spacing w:after="0"/>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assets (level 1)</w:t>
            </w:r>
          </w:p>
        </w:tc>
        <w:tc>
          <w:tcPr>
            <w:tcW w:w="26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inputs (level 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3)</w:t>
            </w: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7"/>
                <w:szCs w:val="17"/>
                <w:color w:val="auto"/>
              </w:rPr>
              <w:t>Money market funds</w:t>
            </w:r>
            <w:r>
              <w:rPr>
                <w:rFonts w:ascii="Arial" w:cs="Arial" w:eastAsia="Arial" w:hAnsi="Arial"/>
                <w:sz w:val="23"/>
                <w:szCs w:val="23"/>
                <w:color w:val="auto"/>
                <w:vertAlign w:val="superscript"/>
              </w:rPr>
              <w:t>(1)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62,229</w:t>
            </w:r>
          </w:p>
        </w:tc>
        <w:tc>
          <w:tcPr>
            <w:tcW w:w="26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62,229</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Commercial paper</w:t>
            </w:r>
            <w:r>
              <w:rPr>
                <w:rFonts w:ascii="Arial" w:cs="Arial" w:eastAsia="Arial" w:hAnsi="Arial"/>
                <w:sz w:val="23"/>
                <w:szCs w:val="23"/>
                <w:color w:val="auto"/>
                <w:vertAlign w:val="superscript"/>
              </w:rPr>
              <w:t>(1)</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4,986</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4,986</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(2)</w:t>
            </w: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99,914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99,914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US government agency securities</w:t>
            </w:r>
            <w:r>
              <w:rPr>
                <w:rFonts w:ascii="Arial" w:cs="Arial" w:eastAsia="Arial" w:hAnsi="Arial"/>
                <w:sz w:val="23"/>
                <w:szCs w:val="23"/>
                <w:color w:val="auto"/>
                <w:vertAlign w:val="superscript"/>
              </w:rPr>
              <w:t>(2)</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74,563</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74,563</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7"/>
                <w:szCs w:val="17"/>
                <w:color w:val="auto"/>
              </w:rPr>
              <w:t>Commercial paper</w:t>
            </w:r>
            <w:r>
              <w:rPr>
                <w:rFonts w:ascii="Arial" w:cs="Arial" w:eastAsia="Arial" w:hAnsi="Arial"/>
                <w:sz w:val="23"/>
                <w:szCs w:val="23"/>
                <w:color w:val="auto"/>
                <w:vertAlign w:val="superscript"/>
              </w:rPr>
              <w:t>(2)</w:t>
            </w: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27,793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27,793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shd w:val="clear" w:color="auto" w:fill="CFF0FC"/>
          </w:tcPr>
          <w:p>
            <w:pPr>
              <w:ind w:left="140"/>
              <w:spacing w:after="0" w:line="202" w:lineRule="exact"/>
              <w:rPr>
                <w:sz w:val="20"/>
                <w:szCs w:val="20"/>
                <w:color w:val="auto"/>
              </w:rPr>
            </w:pPr>
            <w:r>
              <w:rPr>
                <w:rFonts w:ascii="Arial" w:cs="Arial" w:eastAsia="Arial" w:hAnsi="Arial"/>
                <w:sz w:val="17"/>
                <w:szCs w:val="17"/>
                <w:color w:val="auto"/>
              </w:rPr>
              <w:t>US treasury securities</w:t>
            </w:r>
            <w:r>
              <w:rPr>
                <w:rFonts w:ascii="Arial" w:cs="Arial" w:eastAsia="Arial" w:hAnsi="Arial"/>
                <w:sz w:val="23"/>
                <w:szCs w:val="23"/>
                <w:color w:val="auto"/>
                <w:vertAlign w:val="superscript"/>
              </w:rPr>
              <w:t>(3)</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47,780</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47,780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100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7"/>
                <w:szCs w:val="17"/>
                <w:color w:val="auto"/>
              </w:rPr>
              <w:t>US government agency securities</w:t>
            </w:r>
            <w:r>
              <w:rPr>
                <w:rFonts w:ascii="Arial" w:cs="Arial" w:eastAsia="Arial" w:hAnsi="Arial"/>
                <w:sz w:val="23"/>
                <w:szCs w:val="23"/>
                <w:color w:val="auto"/>
                <w:vertAlign w:val="superscript"/>
              </w:rPr>
              <w:t>(3)</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17,941</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17,941</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100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r>
      <w:tr>
        <w:trPr>
          <w:trHeight w:val="21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fair value of assets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335,206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209,923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125,283</w:t>
            </w:r>
          </w:p>
        </w:tc>
        <w:tc>
          <w:tcPr>
            <w:tcW w:w="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ind w:left="1000"/>
              <w:spacing w:after="0" w:line="196" w:lineRule="exact"/>
              <w:rPr>
                <w:sz w:val="20"/>
                <w:szCs w:val="20"/>
                <w:color w:val="auto"/>
              </w:rPr>
            </w:pPr>
            <w:r>
              <w:rPr>
                <w:rFonts w:ascii="Arial" w:cs="Arial" w:eastAsia="Arial" w:hAnsi="Arial"/>
                <w:sz w:val="18"/>
                <w:szCs w:val="18"/>
                <w:color w:val="auto"/>
              </w:rPr>
              <w:t>—</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-25400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460" w:hanging="33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as cash and cash equivalents on the condensed consolidated balance sheets.</w:t>
      </w:r>
    </w:p>
    <w:p>
      <w:pPr>
        <w:spacing w:after="0" w:line="15" w:lineRule="exact"/>
        <w:rPr>
          <w:rFonts w:ascii="Arial" w:cs="Arial" w:eastAsia="Arial" w:hAnsi="Arial"/>
          <w:sz w:val="14"/>
          <w:szCs w:val="14"/>
          <w:color w:val="auto"/>
        </w:rPr>
      </w:pPr>
    </w:p>
    <w:p>
      <w:pPr>
        <w:ind w:left="460" w:hanging="33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as short-term marketable securities on the condensed consolidated balance sheets.</w:t>
      </w:r>
    </w:p>
    <w:p>
      <w:pPr>
        <w:spacing w:after="0" w:line="1" w:lineRule="exact"/>
        <w:rPr>
          <w:rFonts w:ascii="Arial" w:cs="Arial" w:eastAsia="Arial" w:hAnsi="Arial"/>
          <w:sz w:val="14"/>
          <w:szCs w:val="14"/>
          <w:color w:val="auto"/>
        </w:rPr>
      </w:pPr>
    </w:p>
    <w:p>
      <w:pPr>
        <w:ind w:left="460" w:hanging="33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as long-term marketable securities on the condensed consolidated balance sheets.</w:t>
      </w:r>
    </w:p>
    <w:p>
      <w:pPr>
        <w:spacing w:after="0" w:line="18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carrying amounts of the Company’s financial instruments, including cash, prepaid expenses and other current assets, accounts payable, and accrued expenses and other current liabilities, approximate fair value due to their short maturities. Cash equivalents consist of money market funds and commercial paper, short-term marketable securities consist of US treasury securities, US government agency securities, corporate debt securities, and commercial paper, and long-term marketable securities consist of US treasury securities and US government agency securities. The Company obtains pricing information from its investment manager and generally determines the fair value of marketable securities using standard observable inputs, including benchmark yields, reported trades, broker/dealer quotes, issuer spreads, two-sided markets, and bid and/or offers. No transfers between levels have occurred during the periods presented.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198"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following tables summarize the Company’s marketable securities accounted for as available-for-sale securities (in thousands, except years):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6"/>
                <w:szCs w:val="16"/>
                <w:b w:val="1"/>
                <w:bCs w:val="1"/>
                <w:color w:val="auto"/>
              </w:rPr>
              <w:t>March 31, 2026</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160" w:type="dxa"/>
            <w:vAlign w:val="bottom"/>
          </w:tcPr>
          <w:p>
            <w:pPr>
              <w:spacing w:after="0"/>
              <w:rPr>
                <w:sz w:val="15"/>
                <w:szCs w:val="15"/>
                <w:color w:val="auto"/>
              </w:rPr>
            </w:pPr>
          </w:p>
        </w:tc>
        <w:tc>
          <w:tcPr>
            <w:tcW w:w="1240" w:type="dxa"/>
            <w:vAlign w:val="bottom"/>
          </w:tcPr>
          <w:p>
            <w:pPr>
              <w:jc w:val="center"/>
              <w:ind w:right="32"/>
              <w:spacing w:after="0" w:line="182" w:lineRule="exact"/>
              <w:rPr>
                <w:sz w:val="20"/>
                <w:szCs w:val="20"/>
                <w:color w:val="auto"/>
              </w:rPr>
            </w:pPr>
            <w:r>
              <w:rPr>
                <w:rFonts w:ascii="Arial" w:cs="Arial" w:eastAsia="Arial" w:hAnsi="Arial"/>
                <w:sz w:val="16"/>
                <w:szCs w:val="16"/>
                <w:b w:val="1"/>
                <w:bCs w:val="1"/>
                <w:color w:val="auto"/>
              </w:rPr>
              <w:t>Maturity</w:t>
            </w:r>
          </w:p>
        </w:tc>
        <w:tc>
          <w:tcPr>
            <w:tcW w:w="120" w:type="dxa"/>
            <w:vAlign w:val="bottom"/>
          </w:tcPr>
          <w:p>
            <w:pPr>
              <w:spacing w:after="0"/>
              <w:rPr>
                <w:sz w:val="15"/>
                <w:szCs w:val="15"/>
                <w:color w:val="auto"/>
              </w:rPr>
            </w:pPr>
          </w:p>
        </w:tc>
        <w:tc>
          <w:tcPr>
            <w:tcW w:w="920" w:type="dxa"/>
            <w:vAlign w:val="bottom"/>
          </w:tcPr>
          <w:p>
            <w:pPr>
              <w:jc w:val="center"/>
              <w:ind w:right="33"/>
              <w:spacing w:after="0" w:line="182" w:lineRule="exact"/>
              <w:rPr>
                <w:sz w:val="20"/>
                <w:szCs w:val="20"/>
                <w:color w:val="auto"/>
              </w:rPr>
            </w:pPr>
            <w:r>
              <w:rPr>
                <w:rFonts w:ascii="Arial" w:cs="Arial" w:eastAsia="Arial" w:hAnsi="Arial"/>
                <w:sz w:val="16"/>
                <w:szCs w:val="16"/>
                <w:b w:val="1"/>
                <w:bCs w:val="1"/>
                <w:color w:val="auto"/>
              </w:rPr>
              <w:t>Amortized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center"/>
              <w:ind w:right="220"/>
              <w:spacing w:after="0" w:line="182" w:lineRule="exact"/>
              <w:rPr>
                <w:sz w:val="20"/>
                <w:szCs w:val="20"/>
                <w:color w:val="auto"/>
              </w:rPr>
            </w:pPr>
            <w:r>
              <w:rPr>
                <w:rFonts w:ascii="Arial" w:cs="Arial" w:eastAsia="Arial" w:hAnsi="Arial"/>
                <w:sz w:val="16"/>
                <w:szCs w:val="16"/>
                <w:b w:val="1"/>
                <w:bCs w:val="1"/>
                <w:color w:val="auto"/>
              </w:rPr>
              <w:t>Unrealized</w:t>
            </w:r>
          </w:p>
        </w:tc>
        <w:tc>
          <w:tcPr>
            <w:tcW w:w="1120" w:type="dxa"/>
            <w:vAlign w:val="bottom"/>
            <w:gridSpan w:val="3"/>
          </w:tcPr>
          <w:p>
            <w:pPr>
              <w:jc w:val="center"/>
              <w:ind w:right="140"/>
              <w:spacing w:after="0" w:line="182"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32"/>
              <w:spacing w:after="0" w:line="182" w:lineRule="exact"/>
              <w:rPr>
                <w:sz w:val="20"/>
                <w:szCs w:val="20"/>
                <w:color w:val="auto"/>
              </w:rPr>
            </w:pPr>
            <w:r>
              <w:rPr>
                <w:rFonts w:ascii="Arial" w:cs="Arial" w:eastAsia="Arial" w:hAnsi="Arial"/>
                <w:sz w:val="16"/>
                <w:szCs w:val="16"/>
                <w:b w:val="1"/>
                <w:bCs w:val="1"/>
                <w:color w:val="auto"/>
                <w:w w:val="99"/>
              </w:rPr>
              <w:t>Estimated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24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(in years)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7"/>
              </w:rPr>
              <w:t>cost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111"/>
              <w:spacing w:after="0"/>
              <w:rPr>
                <w:sz w:val="20"/>
                <w:szCs w:val="20"/>
                <w:color w:val="auto"/>
              </w:rPr>
            </w:pPr>
            <w:r>
              <w:rPr>
                <w:rFonts w:ascii="Arial" w:cs="Arial" w:eastAsia="Arial" w:hAnsi="Arial"/>
                <w:sz w:val="16"/>
                <w:szCs w:val="16"/>
                <w:b w:val="1"/>
                <w:bCs w:val="1"/>
                <w:color w:val="auto"/>
              </w:rPr>
              <w:t>gains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rPr>
              <w:t>losses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US treasury securities</w:t>
            </w:r>
          </w:p>
        </w:tc>
        <w:tc>
          <w:tcPr>
            <w:tcW w:w="1240" w:type="dxa"/>
            <w:vAlign w:val="bottom"/>
            <w:shd w:val="clear" w:color="auto" w:fill="CFF0FC"/>
          </w:tcPr>
          <w:p>
            <w:pPr>
              <w:jc w:val="center"/>
              <w:ind w:right="32"/>
              <w:spacing w:after="0" w:line="196"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67,084</w:t>
            </w:r>
          </w:p>
        </w:tc>
        <w:tc>
          <w:tcPr>
            <w:tcW w:w="420" w:type="dxa"/>
            <w:vAlign w:val="bottom"/>
            <w:gridSpan w:val="3"/>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(6)</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67,170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124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48,278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48,306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Corporate debt securities</w:t>
            </w:r>
          </w:p>
        </w:tc>
        <w:tc>
          <w:tcPr>
            <w:tcW w:w="124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12,560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124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68,721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68,525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treasury securities</w:t>
            </w:r>
          </w:p>
        </w:tc>
        <w:tc>
          <w:tcPr>
            <w:tcW w:w="1240" w:type="dxa"/>
            <w:vAlign w:val="bottom"/>
            <w:shd w:val="clear" w:color="auto" w:fill="CFF0FC"/>
          </w:tcPr>
          <w:p>
            <w:pPr>
              <w:jc w:val="center"/>
              <w:ind w:right="52"/>
              <w:spacing w:after="0" w:line="202" w:lineRule="exact"/>
              <w:rPr>
                <w:sz w:val="20"/>
                <w:szCs w:val="20"/>
                <w:color w:val="auto"/>
              </w:rPr>
            </w:pPr>
            <w:r>
              <w:rPr>
                <w:rFonts w:ascii="Arial" w:cs="Arial" w:eastAsia="Arial" w:hAnsi="Arial"/>
                <w:sz w:val="18"/>
                <w:szCs w:val="18"/>
                <w:color w:val="auto"/>
                <w:w w:val="99"/>
              </w:rPr>
              <w:t>1-2</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131,637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(480)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131,157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124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9"/>
              </w:rPr>
              <w:t>1-2</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33,670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33,562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60" w:type="dxa"/>
            <w:vAlign w:val="bottom"/>
            <w:tcBorders>
              <w:top w:val="single" w:sz="8" w:color="CFF0FC"/>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24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361,950</w:t>
            </w:r>
          </w:p>
        </w:tc>
        <w:tc>
          <w:tcPr>
            <w:tcW w:w="220" w:type="dxa"/>
            <w:vAlign w:val="bottom"/>
            <w:tcBorders>
              <w:top w:val="single" w:sz="8" w:color="CFF0FC"/>
              <w:bottom w:val="single" w:sz="8" w:color="CFF0FC"/>
            </w:tcBorders>
            <w:gridSpan w:val="2"/>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(840)</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361,251</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51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jc w:val="center"/>
              <w:ind w:left="793"/>
              <w:spacing w:after="0"/>
              <w:rPr>
                <w:sz w:val="20"/>
                <w:szCs w:val="20"/>
                <w:color w:val="auto"/>
              </w:rPr>
            </w:pPr>
            <w:r>
              <w:rPr>
                <w:rFonts w:ascii="Arial" w:cs="Arial" w:eastAsia="Arial" w:hAnsi="Arial"/>
                <w:sz w:val="16"/>
                <w:szCs w:val="16"/>
                <w:b w:val="1"/>
                <w:bCs w:val="1"/>
                <w:color w:val="auto"/>
              </w:rPr>
              <w:t>December 31, 2025</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160" w:type="dxa"/>
            <w:vAlign w:val="bottom"/>
          </w:tcPr>
          <w:p>
            <w:pPr>
              <w:spacing w:after="0"/>
              <w:rPr>
                <w:sz w:val="14"/>
                <w:szCs w:val="14"/>
                <w:color w:val="auto"/>
              </w:rPr>
            </w:pPr>
          </w:p>
        </w:tc>
        <w:tc>
          <w:tcPr>
            <w:tcW w:w="1240" w:type="dxa"/>
            <w:vAlign w:val="bottom"/>
          </w:tcPr>
          <w:p>
            <w:pPr>
              <w:jc w:val="center"/>
              <w:ind w:right="32"/>
              <w:spacing w:after="0" w:line="168" w:lineRule="exact"/>
              <w:rPr>
                <w:sz w:val="20"/>
                <w:szCs w:val="20"/>
                <w:color w:val="auto"/>
              </w:rPr>
            </w:pPr>
            <w:r>
              <w:rPr>
                <w:rFonts w:ascii="Arial" w:cs="Arial" w:eastAsia="Arial" w:hAnsi="Arial"/>
                <w:sz w:val="16"/>
                <w:szCs w:val="16"/>
                <w:b w:val="1"/>
                <w:bCs w:val="1"/>
                <w:color w:val="auto"/>
              </w:rPr>
              <w:t>Maturity</w:t>
            </w:r>
          </w:p>
        </w:tc>
        <w:tc>
          <w:tcPr>
            <w:tcW w:w="120" w:type="dxa"/>
            <w:vAlign w:val="bottom"/>
          </w:tcPr>
          <w:p>
            <w:pPr>
              <w:spacing w:after="0"/>
              <w:rPr>
                <w:sz w:val="14"/>
                <w:szCs w:val="14"/>
                <w:color w:val="auto"/>
              </w:rPr>
            </w:pPr>
          </w:p>
        </w:tc>
        <w:tc>
          <w:tcPr>
            <w:tcW w:w="920" w:type="dxa"/>
            <w:vAlign w:val="bottom"/>
          </w:tcPr>
          <w:p>
            <w:pPr>
              <w:jc w:val="center"/>
              <w:ind w:right="33"/>
              <w:spacing w:after="0" w:line="168" w:lineRule="exact"/>
              <w:rPr>
                <w:sz w:val="20"/>
                <w:szCs w:val="20"/>
                <w:color w:val="auto"/>
              </w:rPr>
            </w:pPr>
            <w:r>
              <w:rPr>
                <w:rFonts w:ascii="Arial" w:cs="Arial" w:eastAsia="Arial" w:hAnsi="Arial"/>
                <w:sz w:val="16"/>
                <w:szCs w:val="16"/>
                <w:b w:val="1"/>
                <w:bCs w:val="1"/>
                <w:color w:val="auto"/>
              </w:rPr>
              <w:t>Amortized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jc w:val="center"/>
              <w:ind w:right="220"/>
              <w:spacing w:after="0" w:line="168" w:lineRule="exact"/>
              <w:rPr>
                <w:sz w:val="20"/>
                <w:szCs w:val="20"/>
                <w:color w:val="auto"/>
              </w:rPr>
            </w:pPr>
            <w:r>
              <w:rPr>
                <w:rFonts w:ascii="Arial" w:cs="Arial" w:eastAsia="Arial" w:hAnsi="Arial"/>
                <w:sz w:val="16"/>
                <w:szCs w:val="16"/>
                <w:b w:val="1"/>
                <w:bCs w:val="1"/>
                <w:color w:val="auto"/>
              </w:rPr>
              <w:t>Unrealized</w:t>
            </w:r>
          </w:p>
        </w:tc>
        <w:tc>
          <w:tcPr>
            <w:tcW w:w="1120" w:type="dxa"/>
            <w:vAlign w:val="bottom"/>
            <w:gridSpan w:val="3"/>
          </w:tcPr>
          <w:p>
            <w:pPr>
              <w:jc w:val="center"/>
              <w:ind w:right="140"/>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line="168" w:lineRule="exact"/>
              <w:rPr>
                <w:sz w:val="20"/>
                <w:szCs w:val="20"/>
                <w:color w:val="auto"/>
              </w:rPr>
            </w:pPr>
            <w:r>
              <w:rPr>
                <w:rFonts w:ascii="Arial" w:cs="Arial" w:eastAsia="Arial" w:hAnsi="Arial"/>
                <w:sz w:val="16"/>
                <w:szCs w:val="16"/>
                <w:b w:val="1"/>
                <w:bCs w:val="1"/>
                <w:color w:val="auto"/>
                <w:w w:val="99"/>
              </w:rPr>
              <w:t>Estimated</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24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rPr>
              <w:t>(in years)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7"/>
              </w:rPr>
              <w:t>cost</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6"/>
                <w:szCs w:val="16"/>
                <w:b w:val="1"/>
                <w:bCs w:val="1"/>
                <w:color w:val="auto"/>
              </w:rPr>
              <w:t>gains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US treasury securities</w:t>
            </w:r>
          </w:p>
        </w:tc>
        <w:tc>
          <w:tcPr>
            <w:tcW w:w="1240" w:type="dxa"/>
            <w:vAlign w:val="bottom"/>
            <w:shd w:val="clear" w:color="auto" w:fill="CFF0FC"/>
          </w:tcPr>
          <w:p>
            <w:pPr>
              <w:jc w:val="center"/>
              <w:ind w:right="32"/>
              <w:spacing w:after="0" w:line="196"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99,640</w:t>
            </w:r>
          </w:p>
        </w:tc>
        <w:tc>
          <w:tcPr>
            <w:tcW w:w="420" w:type="dxa"/>
            <w:vAlign w:val="bottom"/>
            <w:gridSpan w:val="3"/>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99,914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124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74,345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74,563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Commercial paper</w:t>
            </w:r>
          </w:p>
        </w:tc>
        <w:tc>
          <w:tcPr>
            <w:tcW w:w="1240" w:type="dxa"/>
            <w:vAlign w:val="bottom"/>
            <w:shd w:val="clear" w:color="auto" w:fill="CFF0FC"/>
          </w:tcPr>
          <w:p>
            <w:pPr>
              <w:jc w:val="center"/>
              <w:ind w:right="32"/>
              <w:spacing w:after="0" w:line="202" w:lineRule="exact"/>
              <w:rPr>
                <w:sz w:val="20"/>
                <w:szCs w:val="20"/>
                <w:color w:val="auto"/>
              </w:rPr>
            </w:pPr>
            <w:r>
              <w:rPr>
                <w:rFonts w:ascii="Arial" w:cs="Arial" w:eastAsia="Arial" w:hAnsi="Arial"/>
                <w:sz w:val="18"/>
                <w:szCs w:val="18"/>
                <w:color w:val="auto"/>
                <w:w w:val="99"/>
              </w:rPr>
              <w:t>1 or less</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27,769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27,793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tcPr>
          <w:p>
            <w:pPr>
              <w:spacing w:after="0" w:line="202" w:lineRule="exact"/>
              <w:rPr>
                <w:sz w:val="20"/>
                <w:szCs w:val="20"/>
                <w:color w:val="auto"/>
              </w:rPr>
            </w:pPr>
            <w:r>
              <w:rPr>
                <w:rFonts w:ascii="Arial" w:cs="Arial" w:eastAsia="Arial" w:hAnsi="Arial"/>
                <w:sz w:val="18"/>
                <w:szCs w:val="18"/>
                <w:color w:val="auto"/>
              </w:rPr>
              <w:t>US treasury securities</w:t>
            </w:r>
          </w:p>
        </w:tc>
        <w:tc>
          <w:tcPr>
            <w:tcW w:w="124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9"/>
              </w:rPr>
              <w:t>1-2</w:t>
            </w: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47,725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47,780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1240" w:type="dxa"/>
            <w:vAlign w:val="bottom"/>
            <w:tcBorders>
              <w:bottom w:val="single" w:sz="8" w:color="CFF0FC"/>
            </w:tcBorders>
            <w:shd w:val="clear" w:color="auto" w:fill="CFF0FC"/>
          </w:tcPr>
          <w:p>
            <w:pPr>
              <w:jc w:val="center"/>
              <w:ind w:right="52"/>
              <w:spacing w:after="0" w:line="202" w:lineRule="exact"/>
              <w:rPr>
                <w:sz w:val="20"/>
                <w:szCs w:val="20"/>
                <w:color w:val="auto"/>
              </w:rPr>
            </w:pPr>
            <w:r>
              <w:rPr>
                <w:rFonts w:ascii="Arial" w:cs="Arial" w:eastAsia="Arial" w:hAnsi="Arial"/>
                <w:sz w:val="18"/>
                <w:szCs w:val="18"/>
                <w:color w:val="auto"/>
                <w:w w:val="99"/>
              </w:rPr>
              <w:t>1-2</w:t>
            </w:r>
          </w:p>
        </w:tc>
        <w:tc>
          <w:tcPr>
            <w:tcW w:w="1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17,884</w:t>
            </w: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17,941</w:t>
            </w:r>
          </w:p>
        </w:tc>
        <w:tc>
          <w:tcPr>
            <w:tcW w:w="10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267,363</w:t>
            </w:r>
          </w:p>
        </w:tc>
        <w:tc>
          <w:tcPr>
            <w:tcW w:w="420" w:type="dxa"/>
            <w:vAlign w:val="bottom"/>
            <w:gridSpan w:val="3"/>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267,991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40" w:type="dxa"/>
            <w:vAlign w:val="bottom"/>
            <w:vMerge w:val="restart"/>
          </w:tcPr>
          <w:p>
            <w:pPr>
              <w:jc w:val="right"/>
              <w:ind w:right="632"/>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51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5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-2382520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-2365375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-2519680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-2382520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-2365375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-2519680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-2382520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-2365375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-2519680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-1208405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-1208405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-1208405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1" w:name="page12"/>
    <w:bookmarkEnd w:id="11"/>
    <w:p>
      <w:pPr>
        <w:ind w:right="200"/>
        <w:spacing w:after="0" w:line="253" w:lineRule="auto"/>
        <w:rPr>
          <w:sz w:val="20"/>
          <w:szCs w:val="20"/>
          <w:color w:val="auto"/>
        </w:rPr>
      </w:pPr>
      <w:r>
        <w:rPr>
          <w:rFonts w:ascii="Arial" w:cs="Arial" w:eastAsia="Arial" w:hAnsi="Arial"/>
          <w:sz w:val="18"/>
          <w:szCs w:val="18"/>
          <w:color w:val="auto"/>
        </w:rPr>
        <w:t>The following table presents fair values and gross unrealized losses for those available-for-sale securities that were in an unrealized loss position as of March 31, 2026, aggregated by category and the length of time that the securities have been in a continuous loss position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March 31, 2026</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7"/>
          </w:tcPr>
          <w:p>
            <w:pPr>
              <w:jc w:val="center"/>
              <w:ind w:right="380"/>
              <w:spacing w:after="0" w:line="168" w:lineRule="exact"/>
              <w:rPr>
                <w:sz w:val="20"/>
                <w:szCs w:val="20"/>
                <w:color w:val="auto"/>
              </w:rPr>
            </w:pPr>
            <w:r>
              <w:rPr>
                <w:rFonts w:ascii="Arial" w:cs="Arial" w:eastAsia="Arial" w:hAnsi="Arial"/>
                <w:sz w:val="16"/>
                <w:szCs w:val="16"/>
                <w:b w:val="1"/>
                <w:bCs w:val="1"/>
                <w:color w:val="auto"/>
              </w:rPr>
              <w:t>Unrealized losses less</w:t>
            </w:r>
          </w:p>
        </w:tc>
        <w:tc>
          <w:tcPr>
            <w:tcW w:w="120" w:type="dxa"/>
            <w:vAlign w:val="bottom"/>
          </w:tcPr>
          <w:p>
            <w:pPr>
              <w:spacing w:after="0"/>
              <w:rPr>
                <w:sz w:val="14"/>
                <w:szCs w:val="14"/>
                <w:color w:val="auto"/>
              </w:rPr>
            </w:pPr>
          </w:p>
        </w:tc>
        <w:tc>
          <w:tcPr>
            <w:tcW w:w="1680" w:type="dxa"/>
            <w:vAlign w:val="bottom"/>
            <w:gridSpan w:val="4"/>
          </w:tcPr>
          <w:p>
            <w:pPr>
              <w:ind w:left="40"/>
              <w:spacing w:after="0" w:line="168" w:lineRule="exact"/>
              <w:rPr>
                <w:sz w:val="20"/>
                <w:szCs w:val="20"/>
                <w:color w:val="auto"/>
              </w:rPr>
            </w:pPr>
            <w:r>
              <w:rPr>
                <w:rFonts w:ascii="Arial" w:cs="Arial" w:eastAsia="Arial" w:hAnsi="Arial"/>
                <w:sz w:val="16"/>
                <w:szCs w:val="16"/>
                <w:b w:val="1"/>
                <w:bCs w:val="1"/>
                <w:color w:val="auto"/>
              </w:rPr>
              <w:t>Unrealized losses 12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rPr>
              <w:t>than 12 months</w:t>
            </w:r>
          </w:p>
        </w:tc>
        <w:tc>
          <w:tcPr>
            <w:tcW w:w="120" w:type="dxa"/>
            <w:vAlign w:val="bottom"/>
          </w:tcPr>
          <w:p>
            <w:pPr>
              <w:spacing w:after="0"/>
              <w:rPr>
                <w:sz w:val="17"/>
                <w:szCs w:val="17"/>
                <w:color w:val="auto"/>
              </w:rPr>
            </w:pPr>
          </w:p>
        </w:tc>
        <w:tc>
          <w:tcPr>
            <w:tcW w:w="1680" w:type="dxa"/>
            <w:vAlign w:val="bottom"/>
            <w:gridSpan w:val="4"/>
          </w:tcPr>
          <w:p>
            <w:pPr>
              <w:ind w:left="180"/>
              <w:spacing w:after="0"/>
              <w:rPr>
                <w:sz w:val="20"/>
                <w:szCs w:val="20"/>
                <w:color w:val="auto"/>
              </w:rPr>
            </w:pPr>
            <w:r>
              <w:rPr>
                <w:rFonts w:ascii="Arial" w:cs="Arial" w:eastAsia="Arial" w:hAnsi="Arial"/>
                <w:sz w:val="16"/>
                <w:szCs w:val="16"/>
                <w:b w:val="1"/>
                <w:bCs w:val="1"/>
                <w:color w:val="auto"/>
              </w:rPr>
              <w:t>months or greater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4"/>
          </w:tcPr>
          <w:p>
            <w:pPr>
              <w:ind w:left="640"/>
              <w:spacing w:after="0"/>
              <w:rPr>
                <w:sz w:val="20"/>
                <w:szCs w:val="20"/>
                <w:color w:val="auto"/>
              </w:rPr>
            </w:pPr>
            <w:r>
              <w:rPr>
                <w:rFonts w:ascii="Arial" w:cs="Arial" w:eastAsia="Arial" w:hAnsi="Arial"/>
                <w:sz w:val="16"/>
                <w:szCs w:val="16"/>
                <w:b w:val="1"/>
                <w:bCs w:val="1"/>
                <w:color w:val="auto"/>
              </w:rPr>
              <w:t>Total</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46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ind w:left="20"/>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ind w:left="20"/>
              <w:spacing w:after="0" w:line="168" w:lineRule="exact"/>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4"/>
                <w:szCs w:val="14"/>
                <w:color w:val="auto"/>
              </w:rPr>
            </w:pPr>
          </w:p>
        </w:tc>
      </w:tr>
      <w:tr>
        <w:trPr>
          <w:trHeight w:val="203"/>
        </w:trPr>
        <w:tc>
          <w:tcPr>
            <w:tcW w:w="4680" w:type="dxa"/>
            <w:vAlign w:val="bottom"/>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losses</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7"/>
                <w:szCs w:val="17"/>
                <w:color w:val="auto"/>
              </w:rPr>
            </w:pP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134,107</w:t>
            </w:r>
          </w:p>
        </w:tc>
        <w:tc>
          <w:tcPr>
            <w:tcW w:w="36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(486)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ind w:left="580"/>
              <w:spacing w:after="0" w:line="196" w:lineRule="exact"/>
              <w:rPr>
                <w:sz w:val="20"/>
                <w:szCs w:val="20"/>
                <w:color w:val="auto"/>
              </w:rPr>
            </w:pPr>
            <w:r>
              <w:rPr>
                <w:rFonts w:ascii="Arial" w:cs="Arial" w:eastAsia="Arial" w:hAnsi="Arial"/>
                <w:sz w:val="18"/>
                <w:szCs w:val="18"/>
                <w:color w:val="auto"/>
                <w:w w:val="88"/>
              </w:rPr>
              <w:t>—</w:t>
            </w:r>
          </w:p>
        </w:tc>
        <w:tc>
          <w:tcPr>
            <w:tcW w:w="92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134,107</w:t>
            </w:r>
          </w:p>
        </w:tc>
        <w:tc>
          <w:tcPr>
            <w:tcW w:w="360" w:type="dxa"/>
            <w:vAlign w:val="bottom"/>
            <w:gridSpan w:val="3"/>
            <w:shd w:val="clear" w:color="auto" w:fill="CFF0FC"/>
          </w:tcPr>
          <w:p>
            <w:pPr>
              <w:ind w:left="20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(486)</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43,161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58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43,161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(129)</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12,531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12,531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(29)</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68,525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58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68,525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(196)</w:t>
            </w:r>
          </w:p>
        </w:tc>
      </w:tr>
      <w:tr>
        <w:trPr>
          <w:trHeight w:val="236"/>
        </w:trPr>
        <w:tc>
          <w:tcPr>
            <w:tcW w:w="4680" w:type="dxa"/>
            <w:vAlign w:val="bottom"/>
            <w:tcBorders>
              <w:top w:val="single" w:sz="8" w:color="CFF0FC"/>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258,324</w:t>
            </w:r>
          </w:p>
        </w:tc>
        <w:tc>
          <w:tcPr>
            <w:tcW w:w="220" w:type="dxa"/>
            <w:vAlign w:val="bottom"/>
            <w:tcBorders>
              <w:top w:val="single" w:sz="8" w:color="CFF0FC"/>
              <w:bottom w:val="single" w:sz="8" w:color="CFF0FC"/>
            </w:tcBorders>
            <w:gridSpan w:val="2"/>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ind w:left="580"/>
              <w:spacing w:after="0" w:line="196" w:lineRule="exact"/>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gridSpan w:val="2"/>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gridSpan w:val="2"/>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258,324</w:t>
            </w:r>
          </w:p>
        </w:tc>
        <w:tc>
          <w:tcPr>
            <w:tcW w:w="200" w:type="dxa"/>
            <w:vAlign w:val="bottom"/>
            <w:tcBorders>
              <w:top w:val="single" w:sz="8" w:color="CFF0FC"/>
              <w:bottom w:val="single" w:sz="8" w:color="CFF0FC"/>
            </w:tcBorders>
            <w:gridSpan w:val="2"/>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-25400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-162560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-25400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-162560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-162560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-162560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-162560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of March 31, 2026, there were 44 available-for-sale securities with an estimated fair value of $258.3 million in gross unrealized loss positions, none of which were in an unrealized loss position for more than 12 months. As of December 31, 2025, there were no available-for-sale securities that were in an unrealized loss position.</w:t>
      </w:r>
    </w:p>
    <w:p>
      <w:pPr>
        <w:spacing w:after="0" w:line="15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As of March 31, 2026, unrealized losses on available-for-sale securities are not attributed to credit risk. The Company believes that an allowance for credit losses is unnecessary because the unrealized losses on certain of the Company’s available-for-sale securities are due to market factors and changes in interest rates. Additionally, the Company does not intend to sell the securities nor is it more likely than not that the Company will be required to sell the securities before recovery of their amortized cost basis.</w:t>
      </w:r>
    </w:p>
    <w:p>
      <w:pPr>
        <w:spacing w:after="0" w:line="160"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Accrued interest on the Company’s available-for-sale securities was $3.3 million and $2.5 million as of March 31, 2026 and December 31, 2025, respectively, and is included in prepaid expenses and other current assets on the condensed consolidated balance sheets.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58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Laboratory equipment</w:t>
            </w:r>
          </w:p>
        </w:tc>
        <w:tc>
          <w:tcPr>
            <w:tcW w:w="220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4,355</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4,429</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3,712</w:t>
            </w: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1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16,313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16,313</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r>
      <w:tr>
        <w:trPr>
          <w:trHeight w:val="223"/>
        </w:trPr>
        <w:tc>
          <w:tcPr>
            <w:tcW w:w="58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Property and equipment</w:t>
            </w:r>
          </w:p>
        </w:tc>
        <w:tc>
          <w:tcPr>
            <w:tcW w:w="19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25,922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25,964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(13,310)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(12,661)</w:t>
            </w:r>
          </w:p>
        </w:tc>
      </w:tr>
      <w:tr>
        <w:trPr>
          <w:trHeight w:val="20"/>
        </w:trPr>
        <w:tc>
          <w:tcPr>
            <w:tcW w:w="5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80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Property and equipment, net</w:t>
            </w:r>
          </w:p>
        </w:tc>
        <w:tc>
          <w:tcPr>
            <w:tcW w:w="19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12,612</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13,303</w:t>
            </w: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80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8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Depreciation and amortization expense related to property and equipment was $723,000 and $822,000 for the three months ended March 31, 2026 and 2025, respectively.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6. Accrued expenses and other current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33"/>
              <w:spacing w:after="0"/>
              <w:rPr>
                <w:sz w:val="20"/>
                <w:szCs w:val="20"/>
                <w:color w:val="auto"/>
              </w:rPr>
            </w:pPr>
            <w:r>
              <w:rPr>
                <w:rFonts w:ascii="Arial" w:cs="Arial" w:eastAsia="Arial" w:hAnsi="Arial"/>
                <w:sz w:val="16"/>
                <w:szCs w:val="16"/>
                <w:b w:val="1"/>
                <w:bCs w:val="1"/>
                <w:color w:val="auto"/>
              </w:rPr>
              <w:t>March 31,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57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2026</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5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research and development expenses</w:t>
            </w:r>
          </w:p>
        </w:tc>
        <w:tc>
          <w:tcPr>
            <w:tcW w:w="2300" w:type="dxa"/>
            <w:vAlign w:val="bottom"/>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12,146</w:t>
            </w:r>
          </w:p>
        </w:tc>
        <w:tc>
          <w:tcPr>
            <w:tcW w:w="4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10,045</w:t>
            </w:r>
          </w:p>
        </w:tc>
        <w:tc>
          <w:tcPr>
            <w:tcW w:w="100" w:type="dxa"/>
            <w:vAlign w:val="bottom"/>
            <w:shd w:val="clear" w:color="auto" w:fill="CFF0FC"/>
          </w:tcPr>
          <w:p>
            <w:pPr>
              <w:spacing w:after="0"/>
              <w:rPr>
                <w:sz w:val="17"/>
                <w:szCs w:val="17"/>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Accrued compensation</w:t>
            </w: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6,546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12,073</w:t>
            </w:r>
          </w:p>
        </w:tc>
        <w:tc>
          <w:tcPr>
            <w:tcW w:w="100" w:type="dxa"/>
            <w:vAlign w:val="bottom"/>
          </w:tcPr>
          <w:p>
            <w:pPr>
              <w:spacing w:after="0"/>
              <w:rPr>
                <w:sz w:val="17"/>
                <w:szCs w:val="17"/>
                <w:color w:val="auto"/>
              </w:rPr>
            </w:pPr>
          </w:p>
        </w:tc>
      </w:tr>
      <w:tr>
        <w:trPr>
          <w:trHeight w:val="203"/>
        </w:trPr>
        <w:tc>
          <w:tcPr>
            <w:tcW w:w="57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2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419</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w:t>
            </w:r>
          </w:p>
        </w:tc>
        <w:tc>
          <w:tcPr>
            <w:tcW w:w="100" w:type="dxa"/>
            <w:vAlign w:val="bottom"/>
            <w:shd w:val="clear" w:color="auto" w:fill="CFF0FC"/>
          </w:tcPr>
          <w:p>
            <w:pPr>
              <w:spacing w:after="0"/>
              <w:rPr>
                <w:sz w:val="17"/>
                <w:szCs w:val="17"/>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Other accruals and current liabilities</w:t>
            </w:r>
          </w:p>
        </w:tc>
        <w:tc>
          <w:tcPr>
            <w:tcW w:w="2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7"/>
                <w:szCs w:val="17"/>
                <w:color w:val="auto"/>
              </w:rPr>
            </w:pPr>
          </w:p>
        </w:tc>
      </w:tr>
      <w:tr>
        <w:trPr>
          <w:trHeight w:val="216"/>
        </w:trPr>
        <w:tc>
          <w:tcPr>
            <w:tcW w:w="570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w:t>
            </w:r>
          </w:p>
        </w:tc>
        <w:tc>
          <w:tcPr>
            <w:tcW w:w="20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19,250</w:t>
            </w:r>
          </w:p>
        </w:tc>
        <w:tc>
          <w:tcPr>
            <w:tcW w:w="4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22,464</w:t>
            </w:r>
          </w:p>
        </w:tc>
        <w:tc>
          <w:tcPr>
            <w:tcW w:w="100" w:type="dxa"/>
            <w:vAlign w:val="bottom"/>
            <w:shd w:val="clear" w:color="auto" w:fill="CFF0FC"/>
          </w:tcPr>
          <w:p>
            <w:pPr>
              <w:spacing w:after="0"/>
              <w:rPr>
                <w:sz w:val="18"/>
                <w:szCs w:val="18"/>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License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Guangzhou Joyo Pharmatech Co., Ltd</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May 2024, the Company entered into an exclusive license agreement (the Joyo License Agreement) with Guangzhou Joyo Pharmatech Co., Ltd. (Joyo) under which the Company was granted an exclusive, worldwide (except mainland China, Hong Kong, and Macau), royalty-bearing license to certain patent and other intellectual property rights owned or controlled by Joyo to develop, manufacture, and commercialize certain pan-RAS inhibitors in all fields of use. Pursuant to the Joyo License Agreement, the Company had an option to expand the territory of the license to include mainland China, Hong Kong, and Macau by making a $50.0 million payment to Joyo on or prior to the first dosing of the first patient in a Phase 2 clinical trial by either the Company or Joyo, or a payment of $150.0 million after the first dosing of the first patient in a Phase 2 clinical trial by either the Company or Joyo and before filing a new drug application (or the foreign equivalent) by either the Company or Joyo. In March 2026, the Company sent Joyo notice that the Company was exercising its option to expand its territory under the Joyo License Agreement to include mainland China, Hong Kong, and Macau, and based upon feedback from Joyo that Joyo had dosed the first patient in a Phase 2 clinical trial, the Company made the corresponding $150.0 million payment (less applicable withholding amounts) to Joyo. The Company has the right to sublicense (through multiple tiers) its rights under the Joyo License Agreement, subject to certain limitations and conditions, and is required to use commercially reasonable efforts to commercialize licensed products in the United States.</w:t>
      </w:r>
    </w:p>
    <w:p>
      <w:pPr>
        <w:spacing w:after="0" w:line="16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Under the Joyo License Agreement, in 2024, the Company made an upfront cash payment to Joyo of $12.5 million. The Company is obligated to make development and regulatory milestone payments of up to $51.5 million (with such amount increasing to $57.5 million following the Company's exercise of the option to expand the Company’s territory to include mainland China, Hong Kong, and Macau) and commercial milestone payments of up to $125.0 million upon the achievement of the corresponding milestones. The Company is also obligated to pay tiered royalties on net sales of all licensed products, in the low- to mid-single digit percentages, subject to certain reductions. The Company recorded IPR&amp;D expense of $150.0 million related to the Company's exercise of the option to expand its territory under the Joyo License Agreement during the three months ended March 31, 2026. No IPR&amp;D expense was recorded in connection with the Joyo License Agreement during the three months ended March 31, 2025.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Medshine Discovery Inc.</w:t>
      </w:r>
    </w:p>
    <w:p>
      <w:pPr>
        <w:spacing w:after="0" w:line="19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In May 2024, the Company entered into an exclusive license agreement (the Medshine License Agreement) with Medshine Discovery Inc. (Medshine) under which the Company was granted an exclusive, worldwide, royalty-bearing license to certain patent and other intellectual property rights owned or controlled by Medshine to develop, manufacture, and commercialize certain pan-KRAS inhibitors in all fields of use. The Company has the right to sublicense (through multiple tiers) its rights under the Medshine License Agreement, subject to certain limitations and conditions, and is required to use commercially reasonable efforts to commercialize licensed products in certain geographical markets.</w:t>
      </w:r>
    </w:p>
    <w:p>
      <w:pPr>
        <w:spacing w:after="0" w:line="16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Under the Medshine License Agreement, in 2024, the Company made an upfront cash payment to Medshine of $10.0 million. The Company is obligated to make development and regulatory milestone payments of up to $30.0 million and commercial milestone payments of up to $130.0 million upon the achievement of the corresponding milestones. The Company is also obligated to pay a low-single digit percentage royalty on net sales of all licensed products, subject to certain reductions. No IPR&amp;D expense was recorded in connection with the Medshine License Agreement during the three months ended March 31, 2026 and 2025.</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Novartis Pharma AG</w:t>
      </w:r>
    </w:p>
    <w:p>
      <w:pPr>
        <w:spacing w:after="0" w:line="198"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In December 2022, the Company entered into an exclusive license agreement (as amended, the Novartis Agreement) with Novartis Pharma AG (Novartis) under which the Company was granted an exclusive, worldwide, royalty-bearing license to certain patent and other intellectual property rights owned or controlled by Novartis to develop, manufacture, use, and commercialize naporafenib in all fields of use.</w:t>
      </w:r>
    </w:p>
    <w:p>
      <w:pPr>
        <w:spacing w:after="0" w:line="15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May 2025, in connection with the Company’s expectation that ERAS-0015 and ERAS-4001 would both become clinical stage programs, the Company conducted a broader pipeline review. Following this review, in order to prioritize organizational focus and resources to advance its differentiated RAS-targeting franchise, the Company decided to evaluate strategic alternatives for its naporafenib program. After evaluating the clinical progress of the Company’s RAS franchise, the Company made a decision to stop development of naporafenib. In March 2026, the Company sent a notice to Novartis to terminate the Novartis Agreement. The effective date of the termination of the Novartis Agreement is June 3, 2026. In connection with such termination, the Company and Novartis have agreed that the Company shall continue to ensure that the patients currently enrolled in the SEACRAFT-1 and SEACRAFT-2 trials will be permitted to continue to receive treatment for the foreseeable future. No IPR&amp;D expense was recorded in connection with the Novartis Agreement during the three months ended March 31, 2026 and 2025.</w:t>
      </w:r>
    </w:p>
    <w:p>
      <w:pPr>
        <w:spacing w:after="0" w:line="17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As of March 31, 2026 and December 31, 2025, no milestones had been accrued for any license agreement as the underlying contingencies were not probable or estimable.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Holders of the Company's common stock are entitled to one vote for each share held on the applicable record date with respect to all matters submitted to a vote of stockholders, including the election of directors, and do not have cumulative voting rights. Common stockholders are entitled to receive dividends, as may be declared by the Company’s board of directors. As of March 31, 2026, no dividends had been declared.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reserved for future issuance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reserved for future issuance consisted of the following as of March 31, 2026 and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00" w:type="dxa"/>
            <w:vAlign w:val="bottom"/>
          </w:tcPr>
          <w:p>
            <w:pPr>
              <w:spacing w:after="0"/>
              <w:rPr>
                <w:sz w:val="21"/>
                <w:szCs w:val="21"/>
                <w:color w:val="auto"/>
              </w:rPr>
            </w:pPr>
          </w:p>
        </w:tc>
        <w:tc>
          <w:tcPr>
            <w:tcW w:w="2000" w:type="dxa"/>
            <w:vAlign w:val="bottom"/>
          </w:tcPr>
          <w:p>
            <w:pPr>
              <w:jc w:val="right"/>
              <w:ind w:right="553"/>
              <w:spacing w:after="0"/>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21"/>
                <w:szCs w:val="21"/>
                <w:color w:val="auto"/>
              </w:rPr>
            </w:pPr>
          </w:p>
        </w:tc>
        <w:tc>
          <w:tcPr>
            <w:tcW w:w="2120" w:type="dxa"/>
            <w:vAlign w:val="bottom"/>
            <w:gridSpan w:val="2"/>
          </w:tcPr>
          <w:p>
            <w:pPr>
              <w:ind w:left="48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6800" w:type="dxa"/>
            <w:vAlign w:val="bottom"/>
          </w:tcPr>
          <w:p>
            <w:pPr>
              <w:spacing w:after="0"/>
              <w:rPr>
                <w:sz w:val="17"/>
                <w:szCs w:val="17"/>
                <w:color w:val="auto"/>
              </w:rPr>
            </w:pPr>
          </w:p>
        </w:tc>
        <w:tc>
          <w:tcPr>
            <w:tcW w:w="2000" w:type="dxa"/>
            <w:vAlign w:val="bottom"/>
            <w:tcBorders>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2026</w:t>
            </w:r>
          </w:p>
        </w:tc>
        <w:tc>
          <w:tcPr>
            <w:tcW w:w="320" w:type="dxa"/>
            <w:vAlign w:val="bottom"/>
          </w:tcPr>
          <w:p>
            <w:pPr>
              <w:spacing w:after="0"/>
              <w:rPr>
                <w:sz w:val="17"/>
                <w:szCs w:val="17"/>
                <w:color w:val="auto"/>
              </w:rPr>
            </w:pPr>
          </w:p>
        </w:tc>
        <w:tc>
          <w:tcPr>
            <w:tcW w:w="2020" w:type="dxa"/>
            <w:vAlign w:val="bottom"/>
            <w:tcBorders>
              <w:bottom w:val="single" w:sz="8" w:color="auto"/>
            </w:tcBorders>
          </w:tcPr>
          <w:p>
            <w:pPr>
              <w:jc w:val="right"/>
              <w:ind w:right="756"/>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6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 issued and outstanding</w:t>
            </w:r>
          </w:p>
        </w:tc>
        <w:tc>
          <w:tcPr>
            <w:tcW w:w="2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58,411,166</w:t>
            </w:r>
          </w:p>
        </w:tc>
        <w:tc>
          <w:tcPr>
            <w:tcW w:w="2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47,461,519</w:t>
            </w:r>
          </w:p>
        </w:tc>
        <w:tc>
          <w:tcPr>
            <w:tcW w:w="100" w:type="dxa"/>
            <w:vAlign w:val="bottom"/>
            <w:shd w:val="clear" w:color="auto" w:fill="CFF0FC"/>
          </w:tcPr>
          <w:p>
            <w:pPr>
              <w:spacing w:after="0"/>
              <w:rPr>
                <w:sz w:val="17"/>
                <w:szCs w:val="17"/>
                <w:color w:val="auto"/>
              </w:rPr>
            </w:pP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Awards available for future grant</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16,010,142</w:t>
            </w:r>
          </w:p>
        </w:tc>
        <w:tc>
          <w:tcPr>
            <w:tcW w:w="2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13,524,648</w:t>
            </w:r>
          </w:p>
        </w:tc>
        <w:tc>
          <w:tcPr>
            <w:tcW w:w="100" w:type="dxa"/>
            <w:vAlign w:val="bottom"/>
          </w:tcPr>
          <w:p>
            <w:pPr>
              <w:spacing w:after="0"/>
              <w:rPr>
                <w:sz w:val="17"/>
                <w:szCs w:val="17"/>
                <w:color w:val="auto"/>
              </w:rPr>
            </w:pPr>
          </w:p>
        </w:tc>
      </w:tr>
      <w:tr>
        <w:trPr>
          <w:trHeight w:val="202"/>
        </w:trPr>
        <w:tc>
          <w:tcPr>
            <w:tcW w:w="68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Shares available for purchase under the ESPP</w:t>
            </w:r>
          </w:p>
        </w:tc>
        <w:tc>
          <w:tcPr>
            <w:tcW w:w="2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3,812,732</w:t>
            </w:r>
          </w:p>
        </w:tc>
        <w:tc>
          <w:tcPr>
            <w:tcW w:w="320" w:type="dxa"/>
            <w:vAlign w:val="bottom"/>
            <w:tcBorders>
              <w:bottom w:val="single" w:sz="8" w:color="CFF0FC"/>
            </w:tcBorders>
            <w:shd w:val="clear" w:color="auto" w:fill="CFF0FC"/>
          </w:tcPr>
          <w:p>
            <w:pPr>
              <w:spacing w:after="0"/>
              <w:rPr>
                <w:sz w:val="17"/>
                <w:szCs w:val="17"/>
                <w:color w:val="auto"/>
              </w:rPr>
            </w:pPr>
          </w:p>
        </w:tc>
        <w:tc>
          <w:tcPr>
            <w:tcW w:w="2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3,812,732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800" w:type="dxa"/>
            <w:vAlign w:val="bottom"/>
          </w:tcPr>
          <w:p>
            <w:pPr>
              <w:ind w:left="100"/>
              <w:spacing w:after="0" w:line="196" w:lineRule="exact"/>
              <w:rPr>
                <w:sz w:val="20"/>
                <w:szCs w:val="20"/>
                <w:color w:val="auto"/>
              </w:rPr>
            </w:pPr>
            <w:r>
              <w:rPr>
                <w:rFonts w:ascii="Arial" w:cs="Arial" w:eastAsia="Arial" w:hAnsi="Arial"/>
                <w:sz w:val="18"/>
                <w:szCs w:val="18"/>
                <w:color w:val="auto"/>
              </w:rPr>
              <w:t>Total</w:t>
            </w: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78,234,040</w:t>
            </w:r>
          </w:p>
        </w:tc>
        <w:tc>
          <w:tcPr>
            <w:tcW w:w="2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64,798,899</w:t>
            </w:r>
          </w:p>
        </w:tc>
        <w:tc>
          <w:tcPr>
            <w:tcW w:w="100" w:type="dxa"/>
            <w:vAlign w:val="bottom"/>
          </w:tcPr>
          <w:p>
            <w:pPr>
              <w:spacing w:after="0"/>
              <w:rPr>
                <w:sz w:val="17"/>
                <w:szCs w:val="17"/>
                <w:color w:val="auto"/>
              </w:rPr>
            </w:pPr>
          </w:p>
        </w:tc>
      </w:tr>
      <w:tr>
        <w:trPr>
          <w:trHeight w:val="20"/>
        </w:trPr>
        <w:tc>
          <w:tcPr>
            <w:tcW w:w="680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-162560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underwritten offering</w:t>
      </w:r>
    </w:p>
    <w:p>
      <w:pPr>
        <w:spacing w:after="0" w:line="198"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In January 2026, the Company completed the sale and issuance of 25,875,000 shares of its common stock, including the exercise in full by the underwriters of their option to purchase 3,375,000 shares of its common stock, at a price to the public of $10.00 per share (the January 2026 Offering). The aggregate net proceeds from the January 2026 Offering were $242.7 million, net of underwriting discounts and commissions of $15.5 million and offering costs of $519,000.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ATM offerings</w:t>
      </w:r>
    </w:p>
    <w:p>
      <w:pPr>
        <w:spacing w:after="0" w:line="19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 August 2022, the Company entered into an Open Market Sale Agreement (the Sale Agreement) with Jefferies LLC (the Agent), pursuant to which the Company could offer and sell shares of its common stock having an aggregate offering price of up to $200 million from time to time, in an “at-the-market offering” (ATM Program) through the Agent. Sales of the shares of common stock were made at prevailing market prices at the time of sale, or as otherwise agreed with the Agent. Pursuant to the Sale Agreement, the Agent received a commission from the Company of up to 3.0% of the gross proceeds of shares of common stock sold under the Sale Agreement. No shares of the Company's common stock were sold under the ATM Program during the three months ended March 31, 2025.</w:t>
      </w:r>
    </w:p>
    <w:p>
      <w:pPr>
        <w:spacing w:after="0" w:line="16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August 2025, the Company entered into an Amended and Restated Open Market Sale Agreement (the 2025 Sale Agreement) with the Agent, pursuant to which the Company may offer and sell shares of the Company’s common stock having an aggregate offering price of up to $200 million from time to time, in the ATM Program through the Agent. Sales of the shares of common stock, if any, will be made at prevailing market prices at the time of sale, or as otherwise agreed with the Agent. The Agent will receive a commission from the Company of up to 3.0% of the gross proceeds of any shares of common stock sold under the 2025 Sale Agreement. As of March 31, 2026, the Company had $200.0 million of shares available for sale under the ATM Program.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19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July 2021, the Company’s board of directors adopted and the Company’s stockholders approved the Company’s 2021 Incentive Award Plan (the 2021 Plan), which became effective in connection with the IPO. Upon the adoption of the 2021 Plan, the Company ceased making equity grants under its 2018 Equity Incentive Plan (the 2018 Plan). Under the 2021 Plan, the Company may grant stock options, restricted stock, restricted stock units, stock appreciation rights, and other stock or cash-based awards to individuals who are then employees, officers, directors or non -employee consultants of the Company. A total of 15,150,000 shares of common stock were initially reserved for issuance under the 2021 Plan. In addition, the number of shares of common stock available for issuance under the 2021 Plan may be increased annually on the first day of each calendar year during the term of the 2021 Plan, beginning in 2022, by an amount equal to the lesser of (i) 5% of the shares of common stock outstanding on the final day of the immediately preceding calendar year or (ii) such smaller number of shares as determined by the Company’s board of directors or an authorized committee of the board of directors. As of March 31, 2026, there were 16,010,142 stock-based awards available for future grant under the 2021 Plan.</w:t>
      </w:r>
    </w:p>
    <w:p>
      <w:pPr>
        <w:spacing w:after="0" w:line="166"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Subsequent to July 2021, no further awards will be granted under the 2018 Plan and all future stock-based awards will be granted under the 2021 Plan. To the extent outstanding options or restricted stock granted under the 2018 Plan are cancelled, forfeited, repurchased, or otherwise terminated without being exercised or becoming vested, and would otherwise have been returned to the share reserve under the 2018 Plan, the number of shares underlying such awards will be available for future grant under the 2021 Plan.</w:t>
      </w:r>
    </w:p>
    <w:p>
      <w:pPr>
        <w:spacing w:after="0" w:line="16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Options granted are exercisable at various dates as determined upon grant and will expire no more than ten years from their date of grant. Stock options generally vest over a four-year term. The exercise price of each option shall be determined by the Company’s board of directors based on the estimated fair value of the Company’s stock on the date of the option grant. The exercise price shall not be less than 100% of the fair market value of the Company’s common stock at the time the option is granted. For holders of more than 10% of the Company’s total combined voting power of all classes of stock, incentive stock options may not be granted at less than 110% of the fair market value of the Company’s common stock on the date of grant and for a term that exceeds five years. Early exercise was permitted for certain grants under the 2018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Stock options</w:t>
      </w:r>
    </w:p>
    <w:p>
      <w:pPr>
        <w:spacing w:after="0" w:line="198"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A summary of the Company’s stock option activity under the 2021 Plan and 2018 Plan is as follows (in thousands, except share and per share data and years):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Weighted-</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 remaining</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Aggregate</w:t>
            </w:r>
          </w:p>
        </w:tc>
      </w:tr>
      <w:tr>
        <w:trPr>
          <w:trHeight w:val="216"/>
        </w:trPr>
        <w:tc>
          <w:tcPr>
            <w:tcW w:w="4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average</w:t>
            </w:r>
          </w:p>
        </w:tc>
        <w:tc>
          <w:tcPr>
            <w:tcW w:w="1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intrinsic</w:t>
            </w:r>
          </w:p>
        </w:tc>
      </w:tr>
      <w:tr>
        <w:trPr>
          <w:trHeight w:val="226"/>
        </w:trPr>
        <w:tc>
          <w:tcPr>
            <w:tcW w:w="4400" w:type="dxa"/>
            <w:vAlign w:val="bottom"/>
          </w:tcPr>
          <w:p>
            <w:pPr>
              <w:spacing w:after="0"/>
              <w:rPr>
                <w:sz w:val="19"/>
                <w:szCs w:val="19"/>
                <w:color w:val="auto"/>
              </w:rPr>
            </w:pPr>
          </w:p>
        </w:tc>
        <w:tc>
          <w:tcPr>
            <w:tcW w:w="15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rPr>
              <w:t>exercise price</w:t>
            </w:r>
          </w:p>
        </w:tc>
        <w:tc>
          <w:tcPr>
            <w:tcW w:w="22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term (years)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55"/>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9"/>
                <w:szCs w:val="19"/>
                <w:color w:val="auto"/>
              </w:rPr>
            </w:pPr>
          </w:p>
        </w:tc>
      </w:tr>
      <w:tr>
        <w:trPr>
          <w:trHeight w:val="200"/>
        </w:trPr>
        <w:tc>
          <w:tcPr>
            <w:tcW w:w="4400" w:type="dxa"/>
            <w:vAlign w:val="bottom"/>
            <w:shd w:val="clear" w:color="auto" w:fill="CFF0FC"/>
          </w:tcPr>
          <w:p>
            <w:pPr>
              <w:spacing w:after="0" w:line="200" w:lineRule="exact"/>
              <w:rPr>
                <w:sz w:val="20"/>
                <w:szCs w:val="20"/>
                <w:color w:val="auto"/>
              </w:rPr>
            </w:pPr>
            <w:r>
              <w:rPr>
                <w:rFonts w:ascii="Arial" w:cs="Arial" w:eastAsia="Arial" w:hAnsi="Arial"/>
                <w:sz w:val="18"/>
                <w:szCs w:val="18"/>
                <w:color w:val="auto"/>
              </w:rPr>
              <w:t>Outstanding at December 31, 2025</w:t>
            </w:r>
          </w:p>
        </w:tc>
        <w:tc>
          <w:tcPr>
            <w:tcW w:w="1540" w:type="dxa"/>
            <w:vAlign w:val="bottom"/>
            <w:shd w:val="clear" w:color="auto" w:fill="CFF0FC"/>
          </w:tcPr>
          <w:p>
            <w:pPr>
              <w:jc w:val="right"/>
              <w:spacing w:after="0" w:line="200" w:lineRule="exact"/>
              <w:rPr>
                <w:sz w:val="20"/>
                <w:szCs w:val="20"/>
                <w:color w:val="auto"/>
              </w:rPr>
            </w:pPr>
            <w:r>
              <w:rPr>
                <w:rFonts w:ascii="Arial" w:cs="Arial" w:eastAsia="Arial" w:hAnsi="Arial"/>
                <w:sz w:val="18"/>
                <w:szCs w:val="18"/>
                <w:color w:val="auto"/>
              </w:rPr>
              <w:t>47,461,519</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220"/>
              <w:spacing w:after="0" w:line="200" w:lineRule="exact"/>
              <w:rPr>
                <w:sz w:val="20"/>
                <w:szCs w:val="20"/>
                <w:color w:val="auto"/>
              </w:rPr>
            </w:pPr>
            <w:r>
              <w:rPr>
                <w:rFonts w:ascii="Arial" w:cs="Arial" w:eastAsia="Arial" w:hAnsi="Arial"/>
                <w:sz w:val="18"/>
                <w:szCs w:val="18"/>
                <w:color w:val="auto"/>
              </w:rPr>
              <w:t>3.24</w:t>
            </w:r>
          </w:p>
        </w:tc>
        <w:tc>
          <w:tcPr>
            <w:tcW w:w="1640" w:type="dxa"/>
            <w:vAlign w:val="bottom"/>
            <w:gridSpan w:val="2"/>
            <w:shd w:val="clear" w:color="auto" w:fill="CFF0FC"/>
          </w:tcPr>
          <w:p>
            <w:pPr>
              <w:jc w:val="right"/>
              <w:ind w:right="120"/>
              <w:spacing w:after="0" w:line="200" w:lineRule="exact"/>
              <w:rPr>
                <w:sz w:val="20"/>
                <w:szCs w:val="20"/>
                <w:color w:val="auto"/>
              </w:rPr>
            </w:pPr>
            <w:r>
              <w:rPr>
                <w:rFonts w:ascii="Arial" w:cs="Arial" w:eastAsia="Arial" w:hAnsi="Arial"/>
                <w:sz w:val="18"/>
                <w:szCs w:val="18"/>
                <w:color w:val="auto"/>
              </w:rPr>
              <w:t>7.55</w:t>
            </w:r>
          </w:p>
        </w:tc>
        <w:tc>
          <w:tcPr>
            <w:tcW w:w="340" w:type="dxa"/>
            <w:vAlign w:val="bottom"/>
            <w:gridSpan w:val="2"/>
            <w:shd w:val="clear" w:color="auto" w:fill="CFF0FC"/>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00"/>
              <w:spacing w:after="0" w:line="200" w:lineRule="exact"/>
              <w:rPr>
                <w:sz w:val="20"/>
                <w:szCs w:val="20"/>
                <w:color w:val="auto"/>
              </w:rPr>
            </w:pPr>
            <w:r>
              <w:rPr>
                <w:rFonts w:ascii="Arial" w:cs="Arial" w:eastAsia="Arial" w:hAnsi="Arial"/>
                <w:sz w:val="18"/>
                <w:szCs w:val="18"/>
                <w:color w:val="auto"/>
              </w:rPr>
              <w:t>61,659</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11,722,459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10.26</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Exercised</w:t>
            </w:r>
          </w:p>
        </w:tc>
        <w:tc>
          <w:tcPr>
            <w:tcW w:w="17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(772,812)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2.53</w:t>
            </w:r>
          </w:p>
        </w:tc>
        <w:tc>
          <w:tcPr>
            <w:tcW w:w="1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Canceled</w:t>
            </w:r>
          </w:p>
        </w:tc>
        <w:tc>
          <w:tcPr>
            <w:tcW w:w="1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4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Outstanding at March 31, 2026</w:t>
            </w:r>
          </w:p>
        </w:tc>
        <w:tc>
          <w:tcPr>
            <w:tcW w:w="1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58,411,166</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CFF0FC"/>
            </w:tcBorders>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4.66</w:t>
            </w:r>
          </w:p>
        </w:tc>
        <w:tc>
          <w:tcPr>
            <w:tcW w:w="1640" w:type="dxa"/>
            <w:vAlign w:val="bottom"/>
            <w:tcBorders>
              <w:bottom w:val="single" w:sz="8" w:color="CFF0FC"/>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7.83</w:t>
            </w:r>
          </w:p>
        </w:tc>
        <w:tc>
          <w:tcPr>
            <w:tcW w:w="340" w:type="dxa"/>
            <w:vAlign w:val="bottom"/>
            <w:tcBorders>
              <w:bottom w:val="single" w:sz="8" w:color="CFF0FC"/>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672,786</w:t>
            </w:r>
          </w:p>
        </w:tc>
      </w:tr>
      <w:tr>
        <w:trPr>
          <w:trHeight w:val="183"/>
        </w:trPr>
        <w:tc>
          <w:tcPr>
            <w:tcW w:w="4400" w:type="dxa"/>
            <w:vAlign w:val="bottom"/>
          </w:tcPr>
          <w:p>
            <w:pPr>
              <w:spacing w:after="0" w:line="183" w:lineRule="exact"/>
              <w:rPr>
                <w:sz w:val="20"/>
                <w:szCs w:val="20"/>
                <w:color w:val="auto"/>
              </w:rPr>
            </w:pPr>
            <w:r>
              <w:rPr>
                <w:rFonts w:ascii="Arial" w:cs="Arial" w:eastAsia="Arial" w:hAnsi="Arial"/>
                <w:sz w:val="18"/>
                <w:szCs w:val="18"/>
                <w:color w:val="auto"/>
              </w:rPr>
              <w:t>Options exercisable at March 31, 2026</w:t>
            </w:r>
          </w:p>
        </w:tc>
        <w:tc>
          <w:tcPr>
            <w:tcW w:w="1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28,705,543</w:t>
            </w:r>
          </w:p>
        </w:tc>
        <w:tc>
          <w:tcPr>
            <w:tcW w:w="160" w:type="dxa"/>
            <w:vAlign w:val="bottom"/>
          </w:tcPr>
          <w:p>
            <w:pPr>
              <w:spacing w:after="0"/>
              <w:rPr>
                <w:sz w:val="15"/>
                <w:szCs w:val="15"/>
                <w:color w:val="auto"/>
              </w:rPr>
            </w:pPr>
          </w:p>
        </w:tc>
        <w:tc>
          <w:tcPr>
            <w:tcW w:w="260" w:type="dxa"/>
            <w:vAlign w:val="bottom"/>
            <w:gridSpan w:val="2"/>
          </w:tcPr>
          <w:p>
            <w:pPr>
              <w:jc w:val="right"/>
              <w:ind w:right="60"/>
              <w:spacing w:after="0" w:line="183"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rPr>
              <w:t>4.18</w:t>
            </w:r>
          </w:p>
        </w:tc>
        <w:tc>
          <w:tcPr>
            <w:tcW w:w="1640" w:type="dxa"/>
            <w:vAlign w:val="bottom"/>
            <w:gridSpan w:val="2"/>
          </w:tcPr>
          <w:p>
            <w:pPr>
              <w:jc w:val="right"/>
              <w:ind w:right="120"/>
              <w:spacing w:after="0" w:line="183" w:lineRule="exact"/>
              <w:rPr>
                <w:sz w:val="20"/>
                <w:szCs w:val="20"/>
                <w:color w:val="auto"/>
              </w:rPr>
            </w:pPr>
            <w:r>
              <w:rPr>
                <w:rFonts w:ascii="Arial" w:cs="Arial" w:eastAsia="Arial" w:hAnsi="Arial"/>
                <w:sz w:val="18"/>
                <w:szCs w:val="18"/>
                <w:color w:val="auto"/>
              </w:rPr>
              <w:t>6.68</w:t>
            </w:r>
          </w:p>
        </w:tc>
        <w:tc>
          <w:tcPr>
            <w:tcW w:w="340" w:type="dxa"/>
            <w:vAlign w:val="bottom"/>
            <w:gridSpan w:val="2"/>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344,377</w:t>
            </w:r>
          </w:p>
        </w:tc>
      </w:tr>
      <w:tr>
        <w:trPr>
          <w:trHeight w:val="20"/>
        </w:trPr>
        <w:tc>
          <w:tcPr>
            <w:tcW w:w="44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3840480" cy="180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40480" cy="180340"/>
                    </a:xfrm>
                    <a:prstGeom prst="rect">
                      <a:avLst/>
                    </a:prstGeom>
                    <a:noFill/>
                  </pic:spPr>
                </pic:pic>
              </a:graphicData>
            </a:graphic>
          </wp:anchor>
        </w:drawing>
      </w:r>
    </w:p>
    <w:p>
      <w:pPr>
        <w:spacing w:after="0" w:line="285"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weighted-average grant date fair value of options granted for the three months ended March 31, 2026 and 2025 was $7.27 and $1.26, respectively. As of March 31, 2026, the unrecognized compensation cost related to unvested stock option grants was $106.4 million and is expected to be recognized as expense over approximately 2.75 years. The intrinsic value of the options exercised for the three months ended March 31, 2026 and 2025 was $4.1 million and $74,000, respectively.</w:t>
      </w:r>
    </w:p>
    <w:p>
      <w:pPr>
        <w:spacing w:after="0" w:line="16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assumptions used in the Black-Scholes option pricing model to determine the fair value of the employee and nonemployee stock option grants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4820" w:type="dxa"/>
            <w:vAlign w:val="bottom"/>
            <w:tcBorders>
              <w:bottom w:val="single" w:sz="8" w:color="auto"/>
            </w:tcBorders>
            <w:gridSpan w:val="3"/>
          </w:tcPr>
          <w:p>
            <w:pPr>
              <w:ind w:left="120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6420" w:type="dxa"/>
            <w:vAlign w:val="bottom"/>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2026</w:t>
            </w:r>
          </w:p>
        </w:tc>
        <w:tc>
          <w:tcPr>
            <w:tcW w:w="220" w:type="dxa"/>
            <w:vAlign w:val="bottom"/>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r>
      <w:tr>
        <w:trPr>
          <w:trHeight w:val="196"/>
        </w:trPr>
        <w:tc>
          <w:tcPr>
            <w:tcW w:w="64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Risk-free interest rate</w:t>
            </w:r>
          </w:p>
        </w:tc>
        <w:tc>
          <w:tcPr>
            <w:tcW w:w="23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3.72%-3.94%</w:t>
            </w:r>
          </w:p>
        </w:tc>
        <w:tc>
          <w:tcPr>
            <w:tcW w:w="2520" w:type="dxa"/>
            <w:vAlign w:val="bottom"/>
            <w:gridSpan w:val="2"/>
            <w:shd w:val="clear" w:color="auto" w:fill="CFF0FC"/>
          </w:tcPr>
          <w:p>
            <w:pPr>
              <w:jc w:val="center"/>
              <w:ind w:left="110"/>
              <w:spacing w:after="0" w:line="196" w:lineRule="exact"/>
              <w:rPr>
                <w:sz w:val="20"/>
                <w:szCs w:val="20"/>
                <w:color w:val="auto"/>
              </w:rPr>
            </w:pPr>
            <w:r>
              <w:rPr>
                <w:rFonts w:ascii="Arial" w:cs="Arial" w:eastAsia="Arial" w:hAnsi="Arial"/>
                <w:sz w:val="18"/>
                <w:szCs w:val="18"/>
                <w:color w:val="auto"/>
                <w:w w:val="99"/>
              </w:rPr>
              <w:t>4.02%-4.43%</w:t>
            </w:r>
          </w:p>
        </w:tc>
      </w:tr>
      <w:tr>
        <w:trPr>
          <w:trHeight w:val="203"/>
        </w:trPr>
        <w:tc>
          <w:tcPr>
            <w:tcW w:w="642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2300" w:type="dxa"/>
            <w:vAlign w:val="bottom"/>
          </w:tcPr>
          <w:p>
            <w:pPr>
              <w:jc w:val="center"/>
              <w:spacing w:after="0" w:line="202" w:lineRule="exact"/>
              <w:rPr>
                <w:sz w:val="20"/>
                <w:szCs w:val="20"/>
                <w:color w:val="auto"/>
              </w:rPr>
            </w:pPr>
            <w:r>
              <w:rPr>
                <w:rFonts w:ascii="Arial" w:cs="Arial" w:eastAsia="Arial" w:hAnsi="Arial"/>
                <w:sz w:val="18"/>
                <w:szCs w:val="18"/>
                <w:color w:val="auto"/>
                <w:w w:val="99"/>
              </w:rPr>
              <w:t>73.54%-79.72%</w:t>
            </w:r>
          </w:p>
        </w:tc>
        <w:tc>
          <w:tcPr>
            <w:tcW w:w="2520" w:type="dxa"/>
            <w:vAlign w:val="bottom"/>
            <w:gridSpan w:val="2"/>
          </w:tcPr>
          <w:p>
            <w:pPr>
              <w:jc w:val="center"/>
              <w:ind w:left="110"/>
              <w:spacing w:after="0" w:line="202" w:lineRule="exact"/>
              <w:rPr>
                <w:sz w:val="20"/>
                <w:szCs w:val="20"/>
                <w:color w:val="auto"/>
              </w:rPr>
            </w:pPr>
            <w:r>
              <w:rPr>
                <w:rFonts w:ascii="Arial" w:cs="Arial" w:eastAsia="Arial" w:hAnsi="Arial"/>
                <w:sz w:val="18"/>
                <w:szCs w:val="18"/>
                <w:color w:val="auto"/>
                <w:w w:val="99"/>
              </w:rPr>
              <w:t>79.48%-80.80%</w:t>
            </w:r>
          </w:p>
        </w:tc>
      </w:tr>
      <w:tr>
        <w:trPr>
          <w:trHeight w:val="203"/>
        </w:trPr>
        <w:tc>
          <w:tcPr>
            <w:tcW w:w="64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term (in years)</w:t>
            </w:r>
          </w:p>
        </w:tc>
        <w:tc>
          <w:tcPr>
            <w:tcW w:w="23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5.28-6.08</w:t>
            </w:r>
          </w:p>
        </w:tc>
        <w:tc>
          <w:tcPr>
            <w:tcW w:w="2520" w:type="dxa"/>
            <w:vAlign w:val="bottom"/>
            <w:gridSpan w:val="2"/>
            <w:shd w:val="clear" w:color="auto" w:fill="CFF0FC"/>
          </w:tcPr>
          <w:p>
            <w:pPr>
              <w:jc w:val="center"/>
              <w:ind w:left="110"/>
              <w:spacing w:after="0" w:line="202" w:lineRule="exact"/>
              <w:rPr>
                <w:sz w:val="20"/>
                <w:szCs w:val="20"/>
                <w:color w:val="auto"/>
              </w:rPr>
            </w:pPr>
            <w:r>
              <w:rPr>
                <w:rFonts w:ascii="Arial" w:cs="Arial" w:eastAsia="Arial" w:hAnsi="Arial"/>
                <w:sz w:val="18"/>
                <w:szCs w:val="18"/>
                <w:color w:val="auto"/>
                <w:w w:val="99"/>
              </w:rPr>
              <w:t>5.28-6.08</w:t>
            </w:r>
          </w:p>
        </w:tc>
      </w:tr>
      <w:tr>
        <w:trPr>
          <w:trHeight w:val="239"/>
        </w:trPr>
        <w:tc>
          <w:tcPr>
            <w:tcW w:w="64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52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w:t>
            </w:r>
          </w:p>
        </w:tc>
      </w:tr>
    </w:tbl>
    <w:p>
      <w:pPr>
        <w:spacing w:after="0" w:line="26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Effective May 21, 2024, and in accordance with the terms of the 2021 Plan, the Company's board of directors approved a stock option repricing (the Option Repricing) whereby the exercise price of each Repriced Option (as defined below) was reduced to $2.35 per share, the closing stock price on May 21, 2024. For purposes of the Option Repricing, “Repriced Options” are 7,478,918 outstanding stock options as of May 21, 2024 (vested and unvested) granted under the 2021 Plan and held by those eligible employees of the Company identified by the Company's board of directors, excluding the Company’s Section 16 officers (the Chairman and Chief Executive Officer, the Chief Financial Officer and Chief Business Officer, the Chief Medical Officer, and the Chief Legal Officer) and the Company's board of directors.</w:t>
      </w:r>
    </w:p>
    <w:p>
      <w:pPr>
        <w:spacing w:after="0" w:line="16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To the extent a Repriced Option is exercised prior to the Premium End Date (as defined below), the eligible employee will be required to pay the original exercise price per share of the Repriced Options in connection with any exercise of the Repriced Option. The “Premium End Date” means the earliest of (i) May 21, 2026; (ii) the date of a change in control of the Company; (iii) the date of the eligible employee’s death or disability; or (iv) the date of the eligible employee’s termination without cause, provided that such termination without cause occurs after May 21, 2025. Except for the reduction in the exercise prices of the Repriced Options as described above, the Repriced Options will retain their existing terms and conditions as set forth in the 2021 Plan and the applicable award agreements. All repriced options will retain their original vesting schedule.</w:t>
      </w:r>
    </w:p>
    <w:p>
      <w:pPr>
        <w:spacing w:after="0" w:line="171"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The Option Repricing resulted in $1.1 million of incremental cost, which was calculated using the Black-Scholes option pricing model, of which $559,000 of the incremental cost will be recognized on a straight-line basis through the Premium End Date, and $558,000 of the incremental cost will be recognized on a straight-line basis over the greater of the period through the Premium End Date or the remaining service period. The incremental cost is included in general and administrative expense and research and development expense on the condensed consolidated statements of operations and comprehensive loss.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9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July 2021, the Company’s board of directors adopted and the Company’s stockholders approved the Company's 2021 Employee Stock Purchase Plan (the ESPP), which became effective in connection with the IPO. The ESPP permits participants to contribute up to a specified percentage of their eligible compensation during a series of offering periods of 24 months, each comprised of four six-month purchase periods, to purchase the Company’s common stock. The purchase price of the shares will be 85% of the fair market value of the Company’s common stock on the first day of trading of the applicable offering period or on the applicable purchase date, whichever is lower. A total of 1,260,000 shares of common stock was initially reserved for issuance under the ESPP. In addition, the number of shares of common stock available for issuance under the ESPP may be increased annually on the first day of each calendar year during the term of the ESPP, beginning in 2022, by an amount equal to the lesser of (i) 1% of the shares of common stock outstanding on the final day of the immediately preceding calendar year or (ii) such smaller number of shares as determined by the Company’s board of directors or an authorized committee of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stock-based compensation expense related to the ESPP of $186,000 and $214,000 during the three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ended March 31, 2026 and 2025, respectively. As of March 31, 2026, the unrecognized compensation cost related to the ESPP was</w:t>
      </w:r>
    </w:p>
    <w:p>
      <w:pPr>
        <w:spacing w:after="0" w:line="234" w:lineRule="auto"/>
        <w:rPr>
          <w:sz w:val="20"/>
          <w:szCs w:val="20"/>
          <w:color w:val="auto"/>
        </w:rPr>
      </w:pPr>
      <w:r>
        <w:rPr>
          <w:rFonts w:ascii="Arial" w:cs="Arial" w:eastAsia="Arial" w:hAnsi="Arial"/>
          <w:sz w:val="18"/>
          <w:szCs w:val="18"/>
          <w:color w:val="auto"/>
        </w:rPr>
        <w:t>$891,000 and is expected to be recognized as expense over approximately 1.24 years. As of March 31, 2026 and December 31, 2025,</w:t>
      </w:r>
    </w:p>
    <w:p>
      <w:pPr>
        <w:spacing w:after="0" w:line="235" w:lineRule="auto"/>
        <w:rPr>
          <w:sz w:val="20"/>
          <w:szCs w:val="20"/>
          <w:color w:val="auto"/>
        </w:rPr>
      </w:pPr>
      <w:r>
        <w:rPr>
          <w:rFonts w:ascii="Arial" w:cs="Arial" w:eastAsia="Arial" w:hAnsi="Arial"/>
          <w:sz w:val="18"/>
          <w:szCs w:val="18"/>
          <w:color w:val="auto"/>
        </w:rPr>
        <w:t>$464,000 and $67,000 has been withheld on behalf of employees for future purchase under the ESPP, respectively, and is included in</w:t>
      </w:r>
    </w:p>
    <w:p>
      <w:pPr>
        <w:spacing w:after="0" w:line="235" w:lineRule="auto"/>
        <w:rPr>
          <w:sz w:val="20"/>
          <w:szCs w:val="20"/>
          <w:color w:val="auto"/>
        </w:rPr>
      </w:pPr>
      <w:r>
        <w:rPr>
          <w:rFonts w:ascii="Arial" w:cs="Arial" w:eastAsia="Arial" w:hAnsi="Arial"/>
          <w:sz w:val="18"/>
          <w:szCs w:val="18"/>
          <w:color w:val="auto"/>
        </w:rPr>
        <w:t>accrued expenses and other current liabilities on the condensed consolidated balance sheets. No shares were issued and sold under the</w:t>
      </w:r>
    </w:p>
    <w:p>
      <w:pPr>
        <w:spacing w:after="0"/>
        <w:rPr>
          <w:sz w:val="20"/>
          <w:szCs w:val="20"/>
          <w:color w:val="auto"/>
        </w:rPr>
      </w:pPr>
      <w:r>
        <w:rPr>
          <w:rFonts w:ascii="Arial" w:cs="Arial" w:eastAsia="Arial" w:hAnsi="Arial"/>
          <w:sz w:val="18"/>
          <w:szCs w:val="18"/>
          <w:color w:val="auto"/>
        </w:rPr>
        <w:t>ESPP during the three months ended March 31, 2026 and 2025.</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stock-based compensation for all stock awards was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0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Three Months Ended March 31,</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43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50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auto"/>
              </w:rPr>
              <w:t>2026</w:t>
            </w:r>
          </w:p>
        </w:tc>
        <w:tc>
          <w:tcPr>
            <w:tcW w:w="7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600" w:type="dxa"/>
            <w:vAlign w:val="bottom"/>
            <w:gridSpan w:val="2"/>
            <w:shd w:val="clear" w:color="auto" w:fill="CFF0FC"/>
          </w:tcPr>
          <w:p>
            <w:pPr>
              <w:jc w:val="right"/>
              <w:ind w:right="1316"/>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4,170</w:t>
            </w:r>
          </w:p>
        </w:tc>
        <w:tc>
          <w:tcPr>
            <w:tcW w:w="1820" w:type="dxa"/>
            <w:vAlign w:val="bottom"/>
            <w:gridSpan w:val="2"/>
            <w:shd w:val="clear" w:color="auto" w:fill="CFF0FC"/>
          </w:tcPr>
          <w:p>
            <w:pPr>
              <w:jc w:val="right"/>
              <w:ind w:right="131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w:t>
            </w:r>
          </w:p>
        </w:tc>
        <w:tc>
          <w:tcPr>
            <w:tcW w:w="100" w:type="dxa"/>
            <w:vAlign w:val="bottom"/>
            <w:shd w:val="clear" w:color="auto" w:fill="CFF0FC"/>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10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32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19"/>
                <w:szCs w:val="19"/>
                <w:color w:val="auto"/>
              </w:rPr>
            </w:pPr>
          </w:p>
        </w:tc>
      </w:tr>
      <w:tr>
        <w:trPr>
          <w:trHeight w:val="216"/>
        </w:trPr>
        <w:tc>
          <w:tcPr>
            <w:tcW w:w="4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1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316"/>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8,460</w:t>
            </w:r>
          </w:p>
        </w:tc>
        <w:tc>
          <w:tcPr>
            <w:tcW w:w="1820" w:type="dxa"/>
            <w:vAlign w:val="bottom"/>
            <w:gridSpan w:val="2"/>
            <w:shd w:val="clear" w:color="auto" w:fill="CFF0FC"/>
          </w:tcPr>
          <w:p>
            <w:pPr>
              <w:jc w:val="right"/>
              <w:ind w:right="1319"/>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6,713</w:t>
            </w:r>
          </w:p>
        </w:tc>
        <w:tc>
          <w:tcPr>
            <w:tcW w:w="100" w:type="dxa"/>
            <w:vAlign w:val="bottom"/>
            <w:shd w:val="clear" w:color="auto" w:fill="CFF0FC"/>
          </w:tcPr>
          <w:p>
            <w:pPr>
              <w:spacing w:after="0"/>
              <w:rPr>
                <w:sz w:val="18"/>
                <w:szCs w:val="18"/>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98"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The Company has facility leases for laboratory and office space under non-cancellable and cancellable operating leases with various expiration dates through 2032.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Lease costs were comprised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7680" w:type="dxa"/>
            <w:vAlign w:val="bottom"/>
          </w:tcPr>
          <w:p>
            <w:pPr>
              <w:spacing w:after="0"/>
              <w:rPr>
                <w:sz w:val="15"/>
                <w:szCs w:val="15"/>
                <w:color w:val="auto"/>
              </w:rPr>
            </w:pPr>
          </w:p>
        </w:tc>
        <w:tc>
          <w:tcPr>
            <w:tcW w:w="1040" w:type="dxa"/>
            <w:vAlign w:val="bottom"/>
            <w:tcBorders>
              <w:bottom w:val="single" w:sz="8" w:color="auto"/>
            </w:tcBorders>
          </w:tcPr>
          <w:p>
            <w:pPr>
              <w:jc w:val="right"/>
              <w:ind w:right="3"/>
              <w:spacing w:after="0" w:line="183" w:lineRule="exact"/>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Borders>
              <w:bottom w:val="single" w:sz="8" w:color="auto"/>
            </w:tcBorders>
          </w:tcPr>
          <w:p>
            <w:pPr>
              <w:jc w:val="right"/>
              <w:ind w:right="13"/>
              <w:spacing w:after="0" w:line="183" w:lineRule="exact"/>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68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lease cost</w:t>
            </w:r>
          </w:p>
        </w:tc>
        <w:tc>
          <w:tcPr>
            <w:tcW w:w="1040" w:type="dxa"/>
            <w:vAlign w:val="bottom"/>
            <w:shd w:val="clear" w:color="auto" w:fill="CFF0FC"/>
          </w:tcPr>
          <w:p>
            <w:pPr>
              <w:jc w:val="right"/>
              <w:ind w:right="88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1,799</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73"/>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1,831</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10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751</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1,143</w:t>
            </w:r>
          </w:p>
        </w:tc>
        <w:tc>
          <w:tcPr>
            <w:tcW w:w="100" w:type="dxa"/>
            <w:vAlign w:val="bottom"/>
          </w:tcPr>
          <w:p>
            <w:pPr>
              <w:spacing w:after="0"/>
              <w:rPr>
                <w:sz w:val="17"/>
                <w:szCs w:val="17"/>
                <w:color w:val="auto"/>
              </w:rPr>
            </w:pPr>
          </w:p>
        </w:tc>
      </w:tr>
      <w:tr>
        <w:trPr>
          <w:trHeight w:val="203"/>
        </w:trPr>
        <w:tc>
          <w:tcPr>
            <w:tcW w:w="768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Sublease income</w:t>
            </w:r>
          </w:p>
        </w:tc>
        <w:tc>
          <w:tcPr>
            <w:tcW w:w="10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(710)</w:t>
            </w:r>
          </w:p>
        </w:tc>
        <w:tc>
          <w:tcPr>
            <w:tcW w:w="10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(713)</w:t>
            </w:r>
          </w:p>
        </w:tc>
      </w:tr>
      <w:tr>
        <w:trPr>
          <w:trHeight w:val="20"/>
        </w:trPr>
        <w:tc>
          <w:tcPr>
            <w:tcW w:w="7680" w:type="dxa"/>
            <w:vAlign w:val="bottom"/>
            <w:tcBorders>
              <w:right w:val="single" w:sz="8" w:color="CFF0FC"/>
            </w:tcBorders>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spacing w:after="0" w:line="182" w:lineRule="exact"/>
              <w:rPr>
                <w:sz w:val="20"/>
                <w:szCs w:val="20"/>
                <w:color w:val="auto"/>
              </w:rPr>
            </w:pPr>
            <w:r>
              <w:rPr>
                <w:rFonts w:ascii="Arial" w:cs="Arial" w:eastAsia="Arial" w:hAnsi="Arial"/>
                <w:sz w:val="18"/>
                <w:szCs w:val="18"/>
                <w:color w:val="auto"/>
              </w:rPr>
              <w:t>Total lease cost</w:t>
            </w:r>
          </w:p>
        </w:tc>
        <w:tc>
          <w:tcPr>
            <w:tcW w:w="1040" w:type="dxa"/>
            <w:vAlign w:val="bottom"/>
            <w:tcBorders>
              <w:bottom w:val="single" w:sz="8" w:color="auto"/>
            </w:tcBorders>
          </w:tcPr>
          <w:p>
            <w:pPr>
              <w:jc w:val="right"/>
              <w:ind w:right="883"/>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1,840</w:t>
            </w:r>
          </w:p>
        </w:tc>
        <w:tc>
          <w:tcPr>
            <w:tcW w:w="300" w:type="dxa"/>
            <w:vAlign w:val="bottom"/>
          </w:tcPr>
          <w:p>
            <w:pPr>
              <w:spacing w:after="0"/>
              <w:rPr>
                <w:sz w:val="17"/>
                <w:szCs w:val="17"/>
                <w:color w:val="auto"/>
              </w:rPr>
            </w:pPr>
          </w:p>
        </w:tc>
        <w:tc>
          <w:tcPr>
            <w:tcW w:w="1060" w:type="dxa"/>
            <w:vAlign w:val="bottom"/>
            <w:tcBorders>
              <w:bottom w:val="single" w:sz="8" w:color="auto"/>
            </w:tcBorders>
          </w:tcPr>
          <w:p>
            <w:pPr>
              <w:jc w:val="right"/>
              <w:ind w:right="873"/>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2,261</w:t>
            </w:r>
          </w:p>
        </w:tc>
        <w:tc>
          <w:tcPr>
            <w:tcW w:w="10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-162560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Company paid $1.5 million in cash for operating leases, net of cash received from subleases, that is included in the operating activities section of the condensed consolidated statements of cash flows for each of the three months ended March 31, 2026 and 2025.</w:t>
      </w:r>
    </w:p>
    <w:p>
      <w:pPr>
        <w:spacing w:after="0" w:line="140"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The weighted-average remaining lease term and the weighted-average discount rate of the Company’s operating leases were 6.15 years and 8.99%, respectively, at March 31, 2026. The weighted-average remaining lease term and the weighted-average discount rate of the Company’s operating leases were 6.39 years and 8.98%, respectively, at December 31, 2025. The weighted-average remaining lease term does not include any renewal options at the election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Company’s lease agreements do not contain any material residual value guarantees or material restrictive covenants.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leases</w:t>
      </w:r>
    </w:p>
    <w:p>
      <w:pPr>
        <w:spacing w:after="0" w:line="19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September 2020, the Company entered into a lease agreement for approximately 60,000 square feet of laboratory and office space in San Diego, California, which represented a portion of a new facility that was under construction and which was subsequently amended in March 2021 to expand the rented premises by approximately 18,000 square feet (the 2020 Lease). The construction and design of the asset was the primary responsibility of the lessor. The Company was involved in certain aspects of construction and design for certain interior features and leasehold improvements that is beneficial to the Company to better suit its business needs and intended purpose of the space. The lease is accounted for as an operating lease and commenced in August 2021. In April 2022, the 2020 Lease was modified to amend the rent commencement date from February 2022 to May 2022. The 2020 Lease, as amended, has a term of 10.75 years and includes aggregate monthly payments to the lessor of approximately $51.6 million beginning in May 2023 with a rent escalation clause, and a tenant improvement allowance of approximately $16.8 million. The Company is responsible for its share of operating expenses based on actual operating expenses incurred by the landlord. The 2020 Lease is cancellable at the Company’s request after the 84th month with 12 months written notice and a lump-sum cancellation payment of $2.5 million. The termination option has not been included in the Company's operating lease assets and liabilities. As discussed in Note 2, the Company provided a letter of credit to the lessor for $408,000, which expires July 29, 2032.</w:t>
      </w:r>
    </w:p>
    <w:p>
      <w:pPr>
        <w:spacing w:after="0" w:line="16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December 2021, the Company entered into a lease agreement for approximately 30,000 square feet of office and laboratory space in South San Francisco, California. The lease is accounted for as an operating lease with the associated operating lease assets and liabilities recorded upon commencement, which occurred in July 2022. The non-cancellable operating lease has an initial term of 124 months with an option to extend the lease term by 5 years at the then-current market rates and includes aggregate monthly payments to the lessor of approximately $34.4 million beginning in November 2022 with a rent escalation clause and a tenant improvement allowance of approximately $8.2 million. The renewal option has not been included in the Company's operating lease assets and liabilities. The Company is responsible for its share of operating expenses based on actual operating expenses incurred by the landlord. The construction and design of the tenant improvements was the primary responsibility of the lessor. While the Company was involved in certain aspects of construction and design for certain interior features and leasehold improvements that is beneficial to the Company to better suit its business needs and intended purpose of the space, all construction was handled directly by the landlord. The Company was not deemed to be the accounting owner of the tenant improvements prior to or after the construction period. All payments made by the Company for landlord-owned tenant improvements were recorded as prepaid rent on the condensed consolidated balance sheets prior to lease commencement and included in the operating lease asset upon lease commencement. The Company paid a security deposit of $874,000 in December 2021 that was recorded as other assets in the condensed consolidated balance sheets. In July 2025, $656,000 of the security deposit was returned to the Company per the terms of the lease agreement. As of March 31, 2026, $218,000 remains as a security deposit included in other assets in the condensed consolidated balance sheets.</w:t>
      </w:r>
    </w:p>
    <w:p>
      <w:pPr>
        <w:spacing w:after="0" w:line="17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January 2024, the Company entered into an agreement to sublease the second floor of its corporate headquarters in San Diego, California (the January 2024 Sublease). Pursuant to the January 2024 Sublease, the subleased space was approximately 11,000 square feet of office space with a sublease term of three years which included an option for the subtenant to renew for an additional year and an early termination clause. In June 2025, the Company and the subtenant entered into a termination agreement that terminated the January 2024 Sublease in July 2025. In July 2024, the Company entered into an agreement to sublease the first floor of its corporate headquarters (the July 2024 Sublease). Pursuant to the July 2024 Sublease, the subleased space is approximately 18,000 square feet of office space with a sublease term of 61 months beginning in October 2024. The July 2024 Sublease includes an option for the subtenant to renew for an additional year and an early termination clause. In September 2024, the Company entered into an agreement to sublease a portion of the third floor of its corporate headquarters (the September 2024 Sublease). Pursuant to the September 2024 Sublease, the subleased space was approximately 5,000 square feet of laboratory space with a sublease term of one year, which included an option for the subtenant to renew for an additional year. In July 2025, the September 2024 Sublease was amended to: (i) add approximately 5,000 square feet of laboratory space on the third floor and approximately 11,000 square feet of office space on the second floor to the subleased space; and (ii) to extend the term of the September 2024 Sublease through December 31, 2027. The amendment to the September 2024 Sublease includes an option for the subtenant to renew for an additional year.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8" w:name="page19"/>
    <w:bookmarkEnd w:id="18"/>
    <w:p>
      <w:pPr>
        <w:ind w:right="200"/>
        <w:spacing w:after="0" w:line="242" w:lineRule="auto"/>
        <w:rPr>
          <w:sz w:val="20"/>
          <w:szCs w:val="20"/>
          <w:color w:val="auto"/>
        </w:rPr>
      </w:pPr>
      <w:r>
        <w:rPr>
          <w:rFonts w:ascii="Arial" w:cs="Arial" w:eastAsia="Arial" w:hAnsi="Arial"/>
          <w:sz w:val="18"/>
          <w:szCs w:val="18"/>
          <w:color w:val="auto"/>
        </w:rPr>
        <w:t>The Company determined the subleases to be operating leases. Therefore, the Company recognizes sublease income on a straight-line basis over the lease term in its condensed consolidated statements of operations and comprehensive loss as a reduction to lease costs because the subleases are outside of the Company's normal business operations. The Company will continue to account for the operating lease assets and related liabilities of the original lease as it did prior to the commencement of the subleases. The Company recorded a reduction to lease costs of $710,000 and $713,000 related to income from these subleases during the three months ended March 31, 2026 and 2025,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and sublease receipts under operating leases as of March 31, 2026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Operating Lease</w:t>
            </w:r>
          </w:p>
        </w:tc>
        <w:tc>
          <w:tcPr>
            <w:tcW w:w="1680" w:type="dxa"/>
            <w:vAlign w:val="bottom"/>
            <w:gridSpan w:val="3"/>
          </w:tcPr>
          <w:p>
            <w:pPr>
              <w:spacing w:after="0"/>
              <w:rPr>
                <w:sz w:val="20"/>
                <w:szCs w:val="20"/>
                <w:color w:val="auto"/>
              </w:rPr>
            </w:pPr>
            <w:r>
              <w:rPr>
                <w:rFonts w:ascii="Arial" w:cs="Arial" w:eastAsia="Arial" w:hAnsi="Arial"/>
                <w:sz w:val="16"/>
                <w:szCs w:val="16"/>
                <w:b w:val="1"/>
                <w:bCs w:val="1"/>
                <w:color w:val="auto"/>
              </w:rPr>
              <w:t>Operating Sublease</w:t>
            </w:r>
          </w:p>
        </w:tc>
      </w:tr>
      <w:tr>
        <w:trPr>
          <w:trHeight w:val="203"/>
        </w:trPr>
        <w:tc>
          <w:tcPr>
            <w:tcW w:w="7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Payments</w:t>
            </w:r>
          </w:p>
        </w:tc>
        <w:tc>
          <w:tcPr>
            <w:tcW w:w="28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Receipts</w:t>
            </w:r>
          </w:p>
        </w:tc>
      </w:tr>
      <w:tr>
        <w:trPr>
          <w:trHeight w:val="196"/>
        </w:trPr>
        <w:tc>
          <w:tcPr>
            <w:tcW w:w="7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2026 (remaining nine months)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6,816</w:t>
            </w:r>
          </w:p>
        </w:tc>
        <w:tc>
          <w:tcPr>
            <w:tcW w:w="300" w:type="dxa"/>
            <w:vAlign w:val="bottom"/>
          </w:tcPr>
          <w:p>
            <w:pPr>
              <w:spacing w:after="0"/>
              <w:rPr>
                <w:sz w:val="17"/>
                <w:szCs w:val="17"/>
                <w:color w:val="auto"/>
              </w:rPr>
            </w:pP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2,170</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2027</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9,199</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2,970</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1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9,277</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1,448</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2029</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9,572</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1,237</w:t>
            </w: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2030</w:t>
            </w:r>
          </w:p>
        </w:tc>
        <w:tc>
          <w:tcPr>
            <w:tcW w:w="1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9,878</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Thereafter</w:t>
            </w: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15,649</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76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Total lease payments or sublease receipts</w:t>
            </w: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60,391</w:t>
            </w:r>
          </w:p>
        </w:tc>
        <w:tc>
          <w:tcPr>
            <w:tcW w:w="3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7,825</w:t>
            </w:r>
          </w:p>
        </w:tc>
        <w:tc>
          <w:tcPr>
            <w:tcW w:w="100" w:type="dxa"/>
            <w:vAlign w:val="bottom"/>
            <w:tcBorders>
              <w:top w:val="single" w:sz="8" w:color="CFF0FC"/>
            </w:tcBorders>
          </w:tcPr>
          <w:p>
            <w:pPr>
              <w:spacing w:after="0"/>
              <w:rPr>
                <w:sz w:val="17"/>
                <w:szCs w:val="17"/>
                <w:color w:val="auto"/>
              </w:rPr>
            </w:pPr>
          </w:p>
        </w:tc>
      </w:tr>
      <w:tr>
        <w:trPr>
          <w:trHeight w:val="203"/>
        </w:trPr>
        <w:tc>
          <w:tcPr>
            <w:tcW w:w="7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Amount representing interest</w:t>
            </w:r>
          </w:p>
        </w:tc>
        <w:tc>
          <w:tcPr>
            <w:tcW w:w="1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(14,438)</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6"/>
        </w:trPr>
        <w:tc>
          <w:tcPr>
            <w:tcW w:w="7660" w:type="dxa"/>
            <w:vAlign w:val="bottom"/>
            <w:tcBorders>
              <w:top w:val="single" w:sz="8" w:color="CFF0FC"/>
            </w:tcBorders>
          </w:tcPr>
          <w:p>
            <w:pPr>
              <w:ind w:left="200"/>
              <w:spacing w:after="0" w:line="182" w:lineRule="exact"/>
              <w:rPr>
                <w:sz w:val="20"/>
                <w:szCs w:val="20"/>
                <w:color w:val="auto"/>
              </w:rPr>
            </w:pPr>
            <w:r>
              <w:rPr>
                <w:rFonts w:ascii="Arial" w:cs="Arial" w:eastAsia="Arial" w:hAnsi="Arial"/>
                <w:sz w:val="18"/>
                <w:szCs w:val="18"/>
                <w:color w:val="auto"/>
              </w:rPr>
              <w:t>Operating lease liabilities</w:t>
            </w: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45,953</w:t>
            </w:r>
          </w:p>
        </w:tc>
        <w:tc>
          <w:tcPr>
            <w:tcW w:w="30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30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-427990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-162560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such liabilities have been accrued.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 provision for federal, state or foreign income taxes has been recorded for the three months ended March 31, 2026 and 2025. The Company has incurred net operating losses for all the periods presented and has not reflected any benefit of such net operating loss carryforwards in the accompanying condensed consolidated financial statements due to uncertainty around utilizing these tax attributes within their respective carryforward periods. The Company has recorded a full valuation allowance against all of its deferred tax assets as it is not more likely than not that such assets will be realized in the near future. The Company’s policy is to recognize interest expense and penalties related to income tax matters as tax expense. For the three months ended March 31, 2026 and 2025, the Company has not recognized any interest or penalties related to income taxes.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w:t>
      </w:r>
    </w:p>
    <w:p>
      <w:pPr>
        <w:spacing w:after="0" w:line="19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following table summarizes the computation of basic and diluted net loss per share of the Company (in thousands, except share and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14"/>
              <w:spacing w:after="0" w:line="183" w:lineRule="exact"/>
              <w:rPr>
                <w:sz w:val="20"/>
                <w:szCs w:val="20"/>
                <w:color w:val="auto"/>
              </w:rPr>
            </w:pPr>
            <w:r>
              <w:rPr>
                <w:rFonts w:ascii="Arial" w:cs="Arial" w:eastAsia="Arial" w:hAnsi="Arial"/>
                <w:sz w:val="16"/>
                <w:szCs w:val="16"/>
                <w:b w:val="1"/>
                <w:bCs w:val="1"/>
                <w:color w:val="auto"/>
              </w:rPr>
              <w:t>2026</w:t>
            </w: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12"/>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35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(183,440)</w:t>
            </w:r>
          </w:p>
        </w:tc>
        <w:tc>
          <w:tcPr>
            <w:tcW w:w="3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(30,966)</w:t>
            </w:r>
          </w:p>
        </w:tc>
        <w:tc>
          <w:tcPr>
            <w:tcW w:w="0" w:type="dxa"/>
            <w:vAlign w:val="bottom"/>
          </w:tcPr>
          <w:p>
            <w:pPr>
              <w:spacing w:after="0"/>
              <w:rPr>
                <w:sz w:val="1"/>
                <w:szCs w:val="1"/>
                <w:color w:val="auto"/>
              </w:rPr>
            </w:pPr>
          </w:p>
        </w:tc>
      </w:tr>
      <w:tr>
        <w:trPr>
          <w:trHeight w:val="177"/>
        </w:trPr>
        <w:tc>
          <w:tcPr>
            <w:tcW w:w="4820" w:type="dxa"/>
            <w:vAlign w:val="bottom"/>
            <w:tcBorders>
              <w:top w:val="single" w:sz="8" w:color="CFF0FC"/>
            </w:tcBorders>
          </w:tcPr>
          <w:p>
            <w:pPr>
              <w:spacing w:after="0" w:line="177" w:lineRule="exact"/>
              <w:rPr>
                <w:sz w:val="20"/>
                <w:szCs w:val="20"/>
                <w:color w:val="auto"/>
              </w:rPr>
            </w:pPr>
            <w:r>
              <w:rPr>
                <w:rFonts w:ascii="Arial" w:cs="Arial" w:eastAsia="Arial" w:hAnsi="Arial"/>
                <w:sz w:val="18"/>
                <w:szCs w:val="18"/>
                <w:color w:val="auto"/>
              </w:rPr>
              <w:t>Weighted-average shares of common stock used in</w:t>
            </w:r>
          </w:p>
        </w:tc>
        <w:tc>
          <w:tcPr>
            <w:tcW w:w="34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304,317,460</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283,260,289</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820" w:type="dxa"/>
            <w:vAlign w:val="bottom"/>
          </w:tcPr>
          <w:p>
            <w:pPr>
              <w:spacing w:after="0"/>
              <w:rPr>
                <w:sz w:val="20"/>
                <w:szCs w:val="20"/>
                <w:color w:val="auto"/>
              </w:rPr>
            </w:pPr>
            <w:r>
              <w:rPr>
                <w:rFonts w:ascii="Arial" w:cs="Arial" w:eastAsia="Arial" w:hAnsi="Arial"/>
                <w:sz w:val="18"/>
                <w:szCs w:val="18"/>
                <w:color w:val="auto"/>
              </w:rPr>
              <w:t>computing net loss per share, basic and diluted</w:t>
            </w:r>
          </w:p>
        </w:tc>
        <w:tc>
          <w:tcPr>
            <w:tcW w:w="3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loss per share, basic and diluted</w:t>
            </w:r>
          </w:p>
        </w:tc>
        <w:tc>
          <w:tcPr>
            <w:tcW w:w="358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(0.60)</w:t>
            </w:r>
          </w:p>
        </w:tc>
        <w:tc>
          <w:tcPr>
            <w:tcW w:w="30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862"/>
        </w:trPr>
        <w:tc>
          <w:tcPr>
            <w:tcW w:w="4820" w:type="dxa"/>
            <w:vAlign w:val="bottom"/>
            <w:tcBorders>
              <w:top w:val="single" w:sz="8" w:color="CFF0FC"/>
            </w:tcBorders>
          </w:tcPr>
          <w:p>
            <w:pPr>
              <w:spacing w:after="0"/>
              <w:rPr>
                <w:sz w:val="24"/>
                <w:szCs w:val="24"/>
                <w:color w:val="auto"/>
              </w:rPr>
            </w:pPr>
          </w:p>
        </w:tc>
        <w:tc>
          <w:tcPr>
            <w:tcW w:w="3400" w:type="dxa"/>
            <w:vAlign w:val="bottom"/>
            <w:tcBorders>
              <w:top w:val="single" w:sz="8" w:color="CFF0FC"/>
            </w:tcBorders>
          </w:tcPr>
          <w:p>
            <w:pPr>
              <w:jc w:val="right"/>
              <w:ind w:right="2410"/>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82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-1464945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-1071245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-1053465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9" w:name="page20"/>
    <w:bookmarkEnd w:id="19"/>
    <w:p>
      <w:pPr>
        <w:spacing w:after="0" w:line="244" w:lineRule="auto"/>
        <w:rPr>
          <w:sz w:val="20"/>
          <w:szCs w:val="20"/>
          <w:color w:val="auto"/>
        </w:rPr>
      </w:pPr>
      <w:r>
        <w:rPr>
          <w:rFonts w:ascii="Arial" w:cs="Arial" w:eastAsia="Arial" w:hAnsi="Arial"/>
          <w:sz w:val="18"/>
          <w:szCs w:val="18"/>
          <w:color w:val="auto"/>
        </w:rPr>
        <w:t>The Company’s potentially dilutive securities, which include options to purchase common stock and shares purchasable under the ESPP, have been excluded from the computation of diluted net loss per share as the effect would be to reduce the net loss per share. Therefore, the weighted-average number of common shares outstanding used to calculate both basic and diluted net loss per share is the same. The Company excluded the following potential common shares, presented as amounts outstanding at each period end, from the computation of diluted net loss per share for the periods indicated because including them would have had an anti-dilutive effect: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00" w:type="dxa"/>
            <w:vAlign w:val="bottom"/>
          </w:tcPr>
          <w:p>
            <w:pPr>
              <w:spacing w:after="0"/>
              <w:rPr>
                <w:sz w:val="16"/>
                <w:szCs w:val="16"/>
                <w:color w:val="auto"/>
              </w:rPr>
            </w:pPr>
          </w:p>
        </w:tc>
        <w:tc>
          <w:tcPr>
            <w:tcW w:w="1900" w:type="dxa"/>
            <w:vAlign w:val="bottom"/>
          </w:tcPr>
          <w:p>
            <w:pPr>
              <w:jc w:val="right"/>
              <w:ind w:right="494"/>
              <w:spacing w:after="0"/>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6"/>
                <w:szCs w:val="16"/>
                <w:color w:val="auto"/>
              </w:rPr>
            </w:pPr>
          </w:p>
        </w:tc>
        <w:tc>
          <w:tcPr>
            <w:tcW w:w="2020" w:type="dxa"/>
            <w:vAlign w:val="bottom"/>
            <w:gridSpan w:val="2"/>
          </w:tcPr>
          <w:p>
            <w:pPr>
              <w:ind w:left="580"/>
              <w:spacing w:after="0"/>
              <w:rPr>
                <w:sz w:val="20"/>
                <w:szCs w:val="20"/>
                <w:color w:val="auto"/>
              </w:rPr>
            </w:pPr>
            <w:r>
              <w:rPr>
                <w:rFonts w:ascii="Arial" w:cs="Arial" w:eastAsia="Arial" w:hAnsi="Arial"/>
                <w:sz w:val="16"/>
                <w:szCs w:val="16"/>
                <w:b w:val="1"/>
                <w:bCs w:val="1"/>
                <w:color w:val="auto"/>
              </w:rPr>
              <w:t>March 31,</w:t>
            </w:r>
          </w:p>
        </w:tc>
      </w:tr>
      <w:tr>
        <w:trPr>
          <w:trHeight w:val="203"/>
        </w:trPr>
        <w:tc>
          <w:tcPr>
            <w:tcW w:w="7000" w:type="dxa"/>
            <w:vAlign w:val="bottom"/>
          </w:tcPr>
          <w:p>
            <w:pPr>
              <w:spacing w:after="0"/>
              <w:rPr>
                <w:sz w:val="17"/>
                <w:szCs w:val="17"/>
                <w:color w:val="auto"/>
              </w:rPr>
            </w:pPr>
          </w:p>
        </w:tc>
        <w:tc>
          <w:tcPr>
            <w:tcW w:w="1900" w:type="dxa"/>
            <w:vAlign w:val="bottom"/>
            <w:tcBorders>
              <w:bottom w:val="single" w:sz="8" w:color="auto"/>
            </w:tcBorders>
          </w:tcPr>
          <w:p>
            <w:pPr>
              <w:jc w:val="right"/>
              <w:ind w:right="694"/>
              <w:spacing w:after="0"/>
              <w:rPr>
                <w:sz w:val="20"/>
                <w:szCs w:val="20"/>
                <w:color w:val="auto"/>
              </w:rPr>
            </w:pPr>
            <w:r>
              <w:rPr>
                <w:rFonts w:ascii="Arial" w:cs="Arial" w:eastAsia="Arial" w:hAnsi="Arial"/>
                <w:sz w:val="16"/>
                <w:szCs w:val="16"/>
                <w:b w:val="1"/>
                <w:bCs w:val="1"/>
                <w:color w:val="auto"/>
              </w:rPr>
              <w:t>2026</w:t>
            </w:r>
          </w:p>
        </w:tc>
        <w:tc>
          <w:tcPr>
            <w:tcW w:w="320" w:type="dxa"/>
            <w:vAlign w:val="bottom"/>
          </w:tcPr>
          <w:p>
            <w:pPr>
              <w:spacing w:after="0"/>
              <w:rPr>
                <w:sz w:val="17"/>
                <w:szCs w:val="17"/>
                <w:color w:val="auto"/>
              </w:rPr>
            </w:pPr>
          </w:p>
        </w:tc>
        <w:tc>
          <w:tcPr>
            <w:tcW w:w="1920" w:type="dxa"/>
            <w:vAlign w:val="bottom"/>
            <w:tcBorders>
              <w:bottom w:val="single" w:sz="8" w:color="auto"/>
            </w:tcBorders>
          </w:tcPr>
          <w:p>
            <w:pPr>
              <w:jc w:val="right"/>
              <w:ind w:right="695"/>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7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Options to purchase common stock</w:t>
            </w:r>
          </w:p>
        </w:tc>
        <w:tc>
          <w:tcPr>
            <w:tcW w:w="1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58,411,166</w:t>
            </w:r>
          </w:p>
        </w:tc>
        <w:tc>
          <w:tcPr>
            <w:tcW w:w="2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47,246,618</w:t>
            </w:r>
          </w:p>
        </w:tc>
        <w:tc>
          <w:tcPr>
            <w:tcW w:w="100" w:type="dxa"/>
            <w:vAlign w:val="bottom"/>
            <w:shd w:val="clear" w:color="auto" w:fill="CFF0FC"/>
          </w:tcPr>
          <w:p>
            <w:pPr>
              <w:spacing w:after="0"/>
              <w:rPr>
                <w:sz w:val="17"/>
                <w:szCs w:val="17"/>
                <w:color w:val="auto"/>
              </w:rPr>
            </w:pP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Estimated shares purchasable under the ESPP</w:t>
            </w:r>
          </w:p>
        </w:tc>
        <w:tc>
          <w:tcPr>
            <w:tcW w:w="1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1,341,643</w:t>
            </w:r>
          </w:p>
        </w:tc>
        <w:tc>
          <w:tcPr>
            <w:tcW w:w="320" w:type="dxa"/>
            <w:vAlign w:val="bottom"/>
          </w:tcPr>
          <w:p>
            <w:pPr>
              <w:spacing w:after="0"/>
              <w:rPr>
                <w:sz w:val="17"/>
                <w:szCs w:val="17"/>
                <w:color w:val="auto"/>
              </w:rPr>
            </w:pPr>
          </w:p>
        </w:tc>
        <w:tc>
          <w:tcPr>
            <w:tcW w:w="1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558,829</w:t>
            </w:r>
          </w:p>
        </w:tc>
        <w:tc>
          <w:tcPr>
            <w:tcW w:w="100" w:type="dxa"/>
            <w:vAlign w:val="bottom"/>
          </w:tcPr>
          <w:p>
            <w:pPr>
              <w:spacing w:after="0"/>
              <w:rPr>
                <w:sz w:val="17"/>
                <w:szCs w:val="17"/>
                <w:color w:val="auto"/>
              </w:rPr>
            </w:pPr>
          </w:p>
        </w:tc>
      </w:tr>
      <w:tr>
        <w:trPr>
          <w:trHeight w:val="236"/>
        </w:trPr>
        <w:tc>
          <w:tcPr>
            <w:tcW w:w="70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potentially dilutive shares</w:t>
            </w:r>
          </w:p>
        </w:tc>
        <w:tc>
          <w:tcPr>
            <w:tcW w:w="1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59,752,809</w:t>
            </w:r>
          </w:p>
        </w:tc>
        <w:tc>
          <w:tcPr>
            <w:tcW w:w="320" w:type="dxa"/>
            <w:vAlign w:val="bottom"/>
            <w:tcBorders>
              <w:bottom w:val="single" w:sz="8" w:color="CFF0FC"/>
            </w:tcBorders>
            <w:shd w:val="clear" w:color="auto" w:fill="CFF0FC"/>
          </w:tcPr>
          <w:p>
            <w:pPr>
              <w:spacing w:after="0"/>
              <w:rPr>
                <w:sz w:val="20"/>
                <w:szCs w:val="20"/>
                <w:color w:val="auto"/>
              </w:rPr>
            </w:pPr>
          </w:p>
        </w:tc>
        <w:tc>
          <w:tcPr>
            <w:tcW w:w="1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47,805,447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19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Company operates and manages its business as a single operating and reportable segment focused on the discovery and development of precision medicines for the benefit of patients with cancer. The Company's chief operating decision maker (CODM) is the chief executive officer and the CODM manages and allocates resources to the Company on a consolidated basis. Managing and allocating resources on a consolidated basis enables the CODM to assess the overall level of resources available, including cash, cash equivalents, and marketable securities, and how to best deploy these resources based on unmet medical need, scientific data, probability of successful development, market potential, and other considerations to best support the long-term growth of the business.</w:t>
      </w:r>
    </w:p>
    <w:p>
      <w:pPr>
        <w:spacing w:after="0" w:line="165"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CODM assesses performance for the segment based on net loss, which is reported on the condensed consolidated statements of operations and comprehensive loss as consolidated net loss. The measure of segment assets is reported on the condensed consolidated balance sheets as total consolidated assets.</w:t>
      </w:r>
    </w:p>
    <w:p>
      <w:pPr>
        <w:spacing w:after="0" w:line="15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CODM uses cash forecast models in deciding how to invest into the segment. Such cash forecast models are reviewed to assess the consolidated operating results and performance. Net loss is used to monitor budget versus actual results. Monitoring budgeted versus actual results is used in assessing performance of the segment and in establishing cash forecast models. Significant segment expenses provided to the CODM are the same as presented on the condensed consolidated statements of operations and comprehensive loss as research and development expenses and general and administrative expenses.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notes thereto included elsewhere in this Quarterly Report on Form 10-Q and with our audited consolidated financial statements and notes thereto and management’s discussion and analysis of financial condition and results of operations for the year ended December 31, 2025, included in our Annual Report on Form 10-K for the year ended December 31, 2025 filed with the SEC on March 12, 2026.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Quarterly Report contains forward-looking statements within the meaning of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costs, design, and conduct of our ongoing and planned preclinical studies and clinical trials for our product candidates, the timing and likelihood of regulatory filings and approvals for our product candidates, our ability to commercialize our product candidates, if approved, the pricing and reimbursement of our product candidates, if approved, the impact of global geopolitical and economic events and war on our business, the potential to develop future product candidates, the potential benefits of current and future licenses, acquisitions, and strategic arrangements with third parties, and our intent to enter into any future strategic arrangements, the timing and likelihood of success, plans and objectives of management for future operations, and future results of anticipated product development efforts, are forward-looking statements. In some cases, you can identify forward-looking statements by terms such as “may,” “will,” “should,” “could,” “expect,” “intend,” “target,” “project,” “contemplate,” “plan,” “anticipate,” “believe,” “estimate,” “predict,” “potential,” “continue,” or the negative of these terms or other similar expressions. These forward-looking statements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those described in Part II, Item 1A,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are a clinical-stage precision oncology company singularly focused on discovering, developing, and commercializing therapies for patients with RAS/MAPK pathway-driven cancers. Molecular alterations in RAS, the most frequently mutated oncogene, and the MAPK pathway, one of the most frequently altered signaling pathways in cancer, account for more than five million new patients diagnosed with cancer globally each year. Our company was co-founded by leading pioneers in precision oncology and RAS targeting to create novel therapies and combination regimens designed to comprehensively shut down the RAS/MAPK pathway for the treatment of patients with cancer. Our focused RAS/MAPK pathway pipeline comprises modality-agnostic programs aligned with our three therapeutic strategies of: (1) targeting key upstream and downstream signaling nodes in the RAS/MAPK pathway; (2) targeting RAS directly; and (3) targeting escape routes that emerge in response to treatment.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5" w:right="359" w:bottom="1440" w:gutter="0" w:footer="0" w:header="0"/>
        </w:sectPr>
      </w:pPr>
    </w:p>
    <w:bookmarkStart w:id="21" w:name="page22"/>
    <w:bookmarkEnd w:id="21"/>
    <w:p>
      <w:pPr>
        <w:ind w:right="160"/>
        <w:spacing w:after="0" w:line="271" w:lineRule="auto"/>
        <w:rPr>
          <w:sz w:val="20"/>
          <w:szCs w:val="20"/>
          <w:color w:val="auto"/>
        </w:rPr>
      </w:pPr>
      <w:r>
        <w:rPr>
          <w:rFonts w:ascii="Arial" w:cs="Arial" w:eastAsia="Arial" w:hAnsi="Arial"/>
          <w:sz w:val="18"/>
          <w:szCs w:val="18"/>
          <w:color w:val="auto"/>
        </w:rPr>
        <w:t>The following figure shows the RAS/MAPK pathway and how the three therapeutic strategies listed above attempt to comprehensively and synergistically shut down the RAS/MAPK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100965</wp:posOffset>
            </wp:positionV>
            <wp:extent cx="5452110" cy="42176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5211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Our pipeline enables us to pursue a systematic, data-driven, portfolio-wide clinical development effort to identify therapeutic approaches with the goal of prolonging survival in numerous patient populations with high unmet medical needs. Our modality-agnostic approach aims to allow us to selectively and potently target critical signaling nodes with the most appropriate modality, including small and large molecule therapeutics. Our purpose-built pipeline includes two clinical-stage programs (ERAS-0015, a pan-RAS molecular glue; and ERAS-4001, a pan-KRAS inhibitor), and ERAS-12, a discovery-stage program (an EGFR D2/D3 biparatopic antibody) for which we have identified a lead candidate. We believe our world-class team’s capabilities and experience, further guided by our scientific advisory board, which includes the world’s leading experts in the RAS/MAPK pathway, uniquely position us to achieve our bold mission of erasing cancer.</w:t>
      </w:r>
    </w:p>
    <w:p>
      <w:pPr>
        <w:spacing w:after="0" w:line="171"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We in-licensed our RAS-targeting franchise in May 2024. The RAS targeting landscape can be divided into pan-RAS, pan-KRAS, and mutant-selective approaches. We believe pan-RAS and pan-KRAS targeting molecules can address a broad population of patients with G12X, G13X, and possibly Q61X mutations, and also have the potential to address or prevent resistance by blocking wildtype RAS activation.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71" w:right="419" w:bottom="1440" w:gutter="0" w:footer="0" w:header="0"/>
        </w:sectPr>
      </w:pPr>
    </w:p>
    <w:bookmarkStart w:id="22" w:name="page23"/>
    <w:bookmarkEnd w:id="22"/>
    <w:p>
      <w:pPr>
        <w:spacing w:after="0" w:line="238" w:lineRule="auto"/>
        <w:rPr>
          <w:sz w:val="20"/>
          <w:szCs w:val="20"/>
          <w:color w:val="auto"/>
        </w:rPr>
      </w:pPr>
      <w:r>
        <w:rPr>
          <w:rFonts w:ascii="Arial" w:cs="Arial" w:eastAsia="Arial" w:hAnsi="Arial"/>
          <w:sz w:val="18"/>
          <w:szCs w:val="18"/>
          <w:color w:val="auto"/>
        </w:rPr>
        <w:t>ERAS-0015 is a potential best-in-class, next-generation pan-RAS molecular glue in clinical development for the treatment of patients with RAS-mutated solid tumors. In vitro, ERAS-0015 has shown approximately 8-21 times higher binding affinity to cyclophilin A versus the most advanced pan-RAS molecular glue in development. We believe this higher binding affinity results in approximately 5 times more potent RAS inhibition in cell-based assays versus the comparator. ERAS-0015 also has favorable absorption, distribution, metabolism, and excretion (ADME) and pharmacokinetics (PK) properties in multiple animal species. As a result of these favorable in vitro potency and ADME/PK attributes, ERAS-0015 has demonstrated comparable to greater in vivo antitumor activity at doses which are approximately one-tenth to one-eighth of the dose of the most advanced pan-RAS molecular glue. In combination with an anti-PD-1 antibody, ERAS-0015 was able to achieve complete disappearance of tumors in mice on day 31. The combination of ERAS-0015 plus the anti-EGFR antibody cetuximab induced significant tumor growth inhibition and demonstrated the potential combination benefit of blocking both oncogenic drivers. Our initial clinical trial for ERAS-0015 is called AURORAS-1. The investigational new drug application (IND) for AURORAS-1 was cleared by the US Food and Drug Administration (FDA) in May 2025. ERAS-0015 is also being evaluated in the JYP0015M101 clinical trial in China for adult patients with advanced solid tumors harboring specific RAS mutations. The JYP0015M101 clinical trial is sponsored by Joyo. We initiated monotherapy expansion cohorts and combination dose escalation cohorts, including a pembrolizumab combination cohort, as part of the AURORAS-1 trial in the second quarter of 2026 and the first quarter of 2026, respectively, ahead of our previous guidance. We anticipate the associated data readouts in the first half of 2027.</w:t>
      </w:r>
    </w:p>
    <w:p>
      <w:pPr>
        <w:spacing w:after="0" w:line="175"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In March 2026, we announced that we had entered into a clinical trial collaboration and supply agreement with Tango Therapeutics, Inc. (Tango) to enable the evaluation of ERAS-0015 with Tango's PRMT5 inhibitor, vopimetostat, in a Phase 1 clinical trial sponsored by Tango (the Tango CTCSA). Under the terms of the Tango CTCSA, we are providing ERAS-0015 to Tango at no cost and Tango is sponsoring and funding the clinical trial. In May 2026, we announced that we had entered into a clinical trial collaboration and supply agreement with Merck (known as MSD outside of the United States and Canada) in connection with the AURORAS-1 trial (the Merck CTCSA). Under the terms of the Merck CTCSA, we are sponsoring and funding the clinical trial and Merck is providing its anti-PD-1 therapy, KEYTRUDA</w:t>
      </w:r>
      <w:r>
        <w:rPr>
          <w:rFonts w:ascii="Times New Roman" w:cs="Times New Roman" w:eastAsia="Times New Roman" w:hAnsi="Times New Roman"/>
          <w:sz w:val="24"/>
          <w:szCs w:val="24"/>
          <w:color w:val="auto"/>
          <w:vertAlign w:val="superscript"/>
        </w:rPr>
        <w:t>®</w:t>
      </w:r>
      <w:r>
        <w:rPr>
          <w:rFonts w:ascii="Arial" w:cs="Arial" w:eastAsia="Arial" w:hAnsi="Arial"/>
          <w:sz w:val="18"/>
          <w:szCs w:val="18"/>
          <w:color w:val="auto"/>
        </w:rPr>
        <w:t xml:space="preserve"> (pembrolizumab), at no cost.</w:t>
      </w:r>
    </w:p>
    <w:p>
      <w:pPr>
        <w:spacing w:after="0" w:line="17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On April 27, 2026, we announced positive preliminary Phase 1 dose escalation data for ERAS-0015 from our AURORAS-1 trial and the Joyo JYP0015M101 trial.</w:t>
      </w:r>
    </w:p>
    <w:p>
      <w:pPr>
        <w:spacing w:after="0" w:line="14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Both our AURORAS-1 trial and Joyo’s JYP0015M101 trial include patients with RAS-mutant solid tumors, including colorectal cancer (CRC), non-small-cell lung cancer (NSCLC), and pancreatic adenocarcinoma (PDAC). The estimated incidence of the number of patients in the United States with KRAS-mutant tumors in CRC, NSCLC, and PDAC are approximately 74,000, 55,000, and 50,000 patients, respectively. The trial designs are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113665</wp:posOffset>
            </wp:positionV>
            <wp:extent cx="6480810" cy="28371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8081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i w:val="1"/>
          <w:iCs w:val="1"/>
          <w:color w:val="auto"/>
        </w:rPr>
        <w:t>ATD= Accelerated Titration Design; BOIN= Bayesian Optimal Interval; DCR=disease control rate; DLT=dose limiting toxicity; DOR=duration of response; NSCLC=non-small-cell lung cancer; ORR=objective response rate; OS=overall survival; PDAC=pancreatic adenocarcinoma; PK=pharmacokinetics; PFS=progression free survival; QD=once daily; RASi=RAS inhibitor; SOC=standard of care; TTR=time to response.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 summary of the data in the announcement is as follows: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 of Phase 1 Preliminary Results</w:t>
      </w:r>
    </w:p>
    <w:p>
      <w:pPr>
        <w:spacing w:after="0" w:line="196"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PK in AURORAS-1:</w:t>
      </w:r>
    </w:p>
    <w:p>
      <w:pPr>
        <w:spacing w:after="0" w:line="26" w:lineRule="exact"/>
        <w:rPr>
          <w:sz w:val="20"/>
          <w:szCs w:val="20"/>
          <w:color w:val="auto"/>
        </w:rPr>
      </w:pPr>
    </w:p>
    <w:p>
      <w:pPr>
        <w:ind w:left="1500" w:right="120" w:hanging="369"/>
        <w:spacing w:after="0" w:line="234" w:lineRule="auto"/>
        <w:tabs>
          <w:tab w:leader="none" w:pos="15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Well-behaved PK, with dose-dependent increase in PK exposure up to the maximum administered dose (MAD) of 40 mg once daily (QD) and no exposure plateau observed.</w:t>
      </w:r>
    </w:p>
    <w:p>
      <w:pPr>
        <w:ind w:left="1500" w:hanging="369"/>
        <w:spacing w:after="0" w:line="234" w:lineRule="auto"/>
        <w:tabs>
          <w:tab w:leader="none" w:pos="15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Pharmacologically active dose (PAD) range of 16-32 mg QD defined based on mean steady-state average exposures that exceeded target exposure threshold (based on the insensitive xenograft model).</w:t>
      </w: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Pharmacodynamics (PD) in AURORAS-1:</w:t>
      </w:r>
    </w:p>
    <w:p>
      <w:pPr>
        <w:spacing w:after="0" w:line="8" w:lineRule="exact"/>
        <w:rPr>
          <w:rFonts w:ascii="Times New Roman" w:cs="Times New Roman" w:eastAsia="Times New Roman" w:hAnsi="Times New Roman"/>
          <w:sz w:val="18"/>
          <w:szCs w:val="18"/>
          <w:color w:val="auto"/>
        </w:rPr>
      </w:pPr>
    </w:p>
    <w:p>
      <w:pPr>
        <w:jc w:val="both"/>
        <w:ind w:left="1500" w:right="180" w:hanging="369"/>
        <w:spacing w:after="0" w:line="234" w:lineRule="auto"/>
        <w:tabs>
          <w:tab w:leader="none" w:pos="15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reductions in KRAS G12X circulating tumor DNA (ctDNA) were observed at the PAD doses (16-32 mg QD), with 100% of patients (14/14) showing at least 75% reduction in KRAS G12X variant allele fraction, including 5 out of 14 patients showing 100% reduction.</w:t>
      </w:r>
    </w:p>
    <w:p>
      <w:pPr>
        <w:spacing w:after="0" w:line="1" w:lineRule="exact"/>
        <w:rPr>
          <w:rFonts w:ascii="Times New Roman" w:cs="Times New Roman" w:eastAsia="Times New Roman" w:hAnsi="Times New Roman"/>
          <w:sz w:val="18"/>
          <w:szCs w:val="18"/>
          <w:color w:val="auto"/>
        </w:rPr>
      </w:pPr>
    </w:p>
    <w:p>
      <w:pPr>
        <w:ind w:left="760" w:right="380" w:hanging="378"/>
        <w:spacing w:after="0" w:line="214"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Efficacy in AURORAS-1 and JYP0015M101 trials: </w:t>
      </w:r>
      <w:r>
        <w:rPr>
          <w:rFonts w:ascii="Arial" w:cs="Arial" w:eastAsia="Arial" w:hAnsi="Arial"/>
          <w:sz w:val="18"/>
          <w:szCs w:val="18"/>
          <w:color w:val="auto"/>
        </w:rPr>
        <w:t>Robust monotherapy overall response rates (ORR) in patients with KRAS</w:t>
      </w:r>
      <w:r>
        <w:rPr>
          <w:rFonts w:ascii="Arial" w:cs="Arial" w:eastAsia="Arial" w:hAnsi="Arial"/>
          <w:sz w:val="18"/>
          <w:szCs w:val="18"/>
          <w:b w:val="1"/>
          <w:bCs w:val="1"/>
          <w:color w:val="auto"/>
        </w:rPr>
        <w:t xml:space="preserve"> </w:t>
      </w:r>
      <w:r>
        <w:rPr>
          <w:rFonts w:ascii="Arial" w:cs="Arial" w:eastAsia="Arial" w:hAnsi="Arial"/>
          <w:sz w:val="18"/>
          <w:szCs w:val="18"/>
          <w:color w:val="auto"/>
        </w:rPr>
        <w:t>G12X NSCLC and with KRAS G12X PDAC, in each case as of the relevant data cut off (DCO)</w:t>
      </w:r>
      <w:r>
        <w:rPr>
          <w:rFonts w:ascii="Arial" w:cs="Arial" w:eastAsia="Arial" w:hAnsi="Arial"/>
          <w:sz w:val="24"/>
          <w:szCs w:val="24"/>
          <w:color w:val="auto"/>
          <w:vertAlign w:val="superscript"/>
        </w:rPr>
        <w:t>1,2</w:t>
      </w:r>
      <w:r>
        <w:rPr>
          <w:rFonts w:ascii="Arial" w:cs="Arial" w:eastAsia="Arial" w:hAnsi="Arial"/>
          <w:sz w:val="18"/>
          <w:szCs w:val="18"/>
          <w:color w:val="auto"/>
        </w:rPr>
        <w:t>:</w:t>
      </w:r>
    </w:p>
    <w:p>
      <w:pPr>
        <w:ind w:left="1500" w:hanging="369"/>
        <w:spacing w:after="0"/>
        <w:tabs>
          <w:tab w:leader="none" w:pos="15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NSCLC</w:t>
      </w:r>
    </w:p>
    <w:p>
      <w:pPr>
        <w:spacing w:after="0" w:line="8" w:lineRule="exact"/>
        <w:rPr>
          <w:rFonts w:ascii="Times New Roman" w:cs="Times New Roman" w:eastAsia="Times New Roman" w:hAnsi="Times New Roman"/>
          <w:sz w:val="18"/>
          <w:szCs w:val="18"/>
          <w:color w:val="auto"/>
        </w:rPr>
      </w:pPr>
    </w:p>
    <w:p>
      <w:pPr>
        <w:ind w:left="2260" w:right="380" w:hanging="380"/>
        <w:spacing w:after="0" w:line="205" w:lineRule="auto"/>
        <w:tabs>
          <w:tab w:leader="none" w:pos="2260" w:val="left"/>
        </w:tabs>
        <w:numPr>
          <w:ilvl w:val="2"/>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At PADs of 16-32 mg QD, 62% uORR</w:t>
      </w:r>
      <w:r>
        <w:rPr>
          <w:rFonts w:ascii="Arial" w:cs="Arial" w:eastAsia="Arial" w:hAnsi="Arial"/>
          <w:sz w:val="24"/>
          <w:szCs w:val="24"/>
          <w:color w:val="auto"/>
          <w:vertAlign w:val="subscript"/>
        </w:rPr>
        <w:t>8wk</w:t>
      </w:r>
      <w:r>
        <w:rPr>
          <w:rFonts w:ascii="Arial" w:cs="Arial" w:eastAsia="Arial" w:hAnsi="Arial"/>
          <w:sz w:val="18"/>
          <w:szCs w:val="18"/>
          <w:color w:val="auto"/>
        </w:rPr>
        <w:t xml:space="preserve"> (N=37) in second line or greater (2L+) KRAS G12X NSCLC, which exceeded comparator by 24 percentage points</w:t>
      </w:r>
      <w:r>
        <w:rPr>
          <w:rFonts w:ascii="Arial" w:cs="Arial" w:eastAsia="Arial" w:hAnsi="Arial"/>
          <w:sz w:val="24"/>
          <w:szCs w:val="24"/>
          <w:color w:val="auto"/>
          <w:vertAlign w:val="superscript"/>
        </w:rPr>
        <w:t>3,4</w:t>
      </w:r>
    </w:p>
    <w:p>
      <w:pPr>
        <w:spacing w:after="0" w:line="1" w:lineRule="exact"/>
        <w:rPr>
          <w:rFonts w:ascii="Times New Roman" w:cs="Times New Roman" w:eastAsia="Times New Roman" w:hAnsi="Times New Roman"/>
          <w:sz w:val="18"/>
          <w:szCs w:val="18"/>
          <w:color w:val="auto"/>
        </w:rPr>
      </w:pPr>
    </w:p>
    <w:p>
      <w:pPr>
        <w:ind w:left="2260" w:right="720" w:hanging="380"/>
        <w:spacing w:after="0" w:line="205" w:lineRule="auto"/>
        <w:tabs>
          <w:tab w:leader="none" w:pos="2260" w:val="left"/>
        </w:tabs>
        <w:numPr>
          <w:ilvl w:val="2"/>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At PADs of 16-32 mg QD, 75% uORR</w:t>
      </w:r>
      <w:r>
        <w:rPr>
          <w:rFonts w:ascii="Arial" w:cs="Arial" w:eastAsia="Arial" w:hAnsi="Arial"/>
          <w:sz w:val="24"/>
          <w:szCs w:val="24"/>
          <w:color w:val="auto"/>
          <w:vertAlign w:val="subscript"/>
        </w:rPr>
        <w:t>8wk</w:t>
      </w:r>
      <w:r>
        <w:rPr>
          <w:rFonts w:ascii="Arial" w:cs="Arial" w:eastAsia="Arial" w:hAnsi="Arial"/>
          <w:sz w:val="18"/>
          <w:szCs w:val="18"/>
          <w:color w:val="auto"/>
        </w:rPr>
        <w:t xml:space="preserve"> (N=16) in post-ICI/platinum (2/3L) KRAS G12X NSCLC, which exceeded comparator by 37 percentage points</w:t>
      </w:r>
      <w:r>
        <w:rPr>
          <w:rFonts w:ascii="Arial" w:cs="Arial" w:eastAsia="Arial" w:hAnsi="Arial"/>
          <w:sz w:val="24"/>
          <w:szCs w:val="24"/>
          <w:color w:val="auto"/>
          <w:vertAlign w:val="superscript"/>
        </w:rPr>
        <w:t>3,4</w:t>
      </w:r>
    </w:p>
    <w:p>
      <w:pPr>
        <w:spacing w:after="0" w:line="1" w:lineRule="exact"/>
        <w:rPr>
          <w:rFonts w:ascii="Times New Roman" w:cs="Times New Roman" w:eastAsia="Times New Roman" w:hAnsi="Times New Roman"/>
          <w:sz w:val="18"/>
          <w:szCs w:val="18"/>
          <w:color w:val="auto"/>
        </w:rPr>
      </w:pPr>
    </w:p>
    <w:p>
      <w:pPr>
        <w:ind w:left="2260" w:hanging="380"/>
        <w:spacing w:after="0" w:line="221" w:lineRule="auto"/>
        <w:tabs>
          <w:tab w:leader="none" w:pos="2260" w:val="left"/>
        </w:tabs>
        <w:numPr>
          <w:ilvl w:val="2"/>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At recommended doses for expansion (RDEs) of 24-32 mg QD, 64% uORR</w:t>
      </w:r>
      <w:r>
        <w:rPr>
          <w:rFonts w:ascii="Arial" w:cs="Arial" w:eastAsia="Arial" w:hAnsi="Arial"/>
          <w:sz w:val="24"/>
          <w:szCs w:val="24"/>
          <w:color w:val="auto"/>
          <w:vertAlign w:val="subscript"/>
        </w:rPr>
        <w:t>8wk</w:t>
      </w:r>
      <w:r>
        <w:rPr>
          <w:rFonts w:ascii="Arial" w:cs="Arial" w:eastAsia="Arial" w:hAnsi="Arial"/>
          <w:sz w:val="18"/>
          <w:szCs w:val="18"/>
          <w:color w:val="auto"/>
        </w:rPr>
        <w:t xml:space="preserve"> (N=25) in 2L+ KRAS G12X</w:t>
      </w:r>
    </w:p>
    <w:p>
      <w:pPr>
        <w:ind w:left="2260"/>
        <w:spacing w:after="0" w:line="189" w:lineRule="auto"/>
        <w:rPr>
          <w:rFonts w:ascii="Times New Roman" w:cs="Times New Roman" w:eastAsia="Times New Roman" w:hAnsi="Times New Roman"/>
          <w:sz w:val="18"/>
          <w:szCs w:val="18"/>
          <w:color w:val="auto"/>
        </w:rPr>
      </w:pPr>
      <w:r>
        <w:rPr>
          <w:rFonts w:ascii="Arial" w:cs="Arial" w:eastAsia="Arial" w:hAnsi="Arial"/>
          <w:sz w:val="18"/>
          <w:szCs w:val="18"/>
          <w:color w:val="auto"/>
        </w:rPr>
        <w:t>NSCLC</w:t>
      </w:r>
      <w:r>
        <w:rPr>
          <w:rFonts w:ascii="Arial" w:cs="Arial" w:eastAsia="Arial" w:hAnsi="Arial"/>
          <w:sz w:val="24"/>
          <w:szCs w:val="24"/>
          <w:color w:val="auto"/>
          <w:vertAlign w:val="superscript"/>
        </w:rPr>
        <w:t>3</w:t>
      </w:r>
    </w:p>
    <w:p>
      <w:pPr>
        <w:ind w:left="1500" w:hanging="369"/>
        <w:spacing w:after="0"/>
        <w:tabs>
          <w:tab w:leader="none" w:pos="15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PDAC</w:t>
      </w:r>
    </w:p>
    <w:p>
      <w:pPr>
        <w:spacing w:after="0" w:line="8" w:lineRule="exact"/>
        <w:rPr>
          <w:rFonts w:ascii="Times New Roman" w:cs="Times New Roman" w:eastAsia="Times New Roman" w:hAnsi="Times New Roman"/>
          <w:sz w:val="18"/>
          <w:szCs w:val="18"/>
          <w:color w:val="auto"/>
        </w:rPr>
      </w:pPr>
    </w:p>
    <w:p>
      <w:pPr>
        <w:ind w:left="2260" w:right="160" w:hanging="380"/>
        <w:spacing w:after="0" w:line="205" w:lineRule="auto"/>
        <w:tabs>
          <w:tab w:leader="none" w:pos="2260" w:val="left"/>
        </w:tabs>
        <w:numPr>
          <w:ilvl w:val="2"/>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At PADs of 16-32 mg QD, 40% uORR</w:t>
      </w:r>
      <w:r>
        <w:rPr>
          <w:rFonts w:ascii="Arial" w:cs="Arial" w:eastAsia="Arial" w:hAnsi="Arial"/>
          <w:sz w:val="24"/>
          <w:szCs w:val="24"/>
          <w:color w:val="auto"/>
          <w:vertAlign w:val="subscript"/>
        </w:rPr>
        <w:t>14wk</w:t>
      </w:r>
      <w:r>
        <w:rPr>
          <w:rFonts w:ascii="Arial" w:cs="Arial" w:eastAsia="Arial" w:hAnsi="Arial"/>
          <w:sz w:val="18"/>
          <w:szCs w:val="18"/>
          <w:color w:val="auto"/>
        </w:rPr>
        <w:t xml:space="preserve"> (N=20) in 2L KRAS G12X PDAC, which exceeded comparator by 11 percentage points</w:t>
      </w:r>
      <w:r>
        <w:rPr>
          <w:rFonts w:ascii="Arial" w:cs="Arial" w:eastAsia="Arial" w:hAnsi="Arial"/>
          <w:sz w:val="24"/>
          <w:szCs w:val="24"/>
          <w:color w:val="auto"/>
          <w:vertAlign w:val="superscript"/>
        </w:rPr>
        <w:t>5,6</w:t>
      </w:r>
    </w:p>
    <w:p>
      <w:pPr>
        <w:spacing w:after="0" w:line="1" w:lineRule="exact"/>
        <w:rPr>
          <w:rFonts w:ascii="Times New Roman" w:cs="Times New Roman" w:eastAsia="Times New Roman" w:hAnsi="Times New Roman"/>
          <w:sz w:val="18"/>
          <w:szCs w:val="18"/>
          <w:color w:val="auto"/>
        </w:rPr>
      </w:pPr>
    </w:p>
    <w:p>
      <w:pPr>
        <w:ind w:left="2260" w:right="140" w:hanging="380"/>
        <w:spacing w:after="0" w:line="205" w:lineRule="auto"/>
        <w:tabs>
          <w:tab w:leader="none" w:pos="2260" w:val="left"/>
        </w:tabs>
        <w:numPr>
          <w:ilvl w:val="2"/>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At RDEs of 24-32 mg QD, 42% uORR</w:t>
      </w:r>
      <w:r>
        <w:rPr>
          <w:rFonts w:ascii="Arial" w:cs="Arial" w:eastAsia="Arial" w:hAnsi="Arial"/>
          <w:sz w:val="24"/>
          <w:szCs w:val="24"/>
          <w:color w:val="auto"/>
          <w:vertAlign w:val="subscript"/>
        </w:rPr>
        <w:t>14wk</w:t>
      </w:r>
      <w:r>
        <w:rPr>
          <w:rFonts w:ascii="Arial" w:cs="Arial" w:eastAsia="Arial" w:hAnsi="Arial"/>
          <w:sz w:val="18"/>
          <w:szCs w:val="18"/>
          <w:color w:val="auto"/>
        </w:rPr>
        <w:t xml:space="preserve"> (N=12) in 2L KRAS G12X PDAC, which exceeded comparator by 13 percentage points</w:t>
      </w:r>
      <w:r>
        <w:rPr>
          <w:rFonts w:ascii="Arial" w:cs="Arial" w:eastAsia="Arial" w:hAnsi="Arial"/>
          <w:sz w:val="24"/>
          <w:szCs w:val="24"/>
          <w:color w:val="auto"/>
          <w:vertAlign w:val="superscript"/>
        </w:rPr>
        <w:t>5,6</w:t>
      </w:r>
    </w:p>
    <w:p>
      <w:pPr>
        <w:spacing w:after="0" w:line="1" w:lineRule="exact"/>
        <w:rPr>
          <w:rFonts w:ascii="Times New Roman" w:cs="Times New Roman" w:eastAsia="Times New Roman" w:hAnsi="Times New Roman"/>
          <w:sz w:val="18"/>
          <w:szCs w:val="18"/>
          <w:color w:val="auto"/>
        </w:rPr>
      </w:pPr>
    </w:p>
    <w:p>
      <w:pPr>
        <w:ind w:left="2260" w:right="600" w:hanging="380"/>
        <w:spacing w:after="0" w:line="205" w:lineRule="auto"/>
        <w:tabs>
          <w:tab w:leader="none" w:pos="2260" w:val="left"/>
        </w:tabs>
        <w:numPr>
          <w:ilvl w:val="2"/>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At RDE of 32 mg QD, 50% uORR</w:t>
      </w:r>
      <w:r>
        <w:rPr>
          <w:rFonts w:ascii="Arial" w:cs="Arial" w:eastAsia="Arial" w:hAnsi="Arial"/>
          <w:sz w:val="24"/>
          <w:szCs w:val="24"/>
          <w:color w:val="auto"/>
          <w:vertAlign w:val="subscript"/>
        </w:rPr>
        <w:t>14wk</w:t>
      </w:r>
      <w:r>
        <w:rPr>
          <w:rFonts w:ascii="Arial" w:cs="Arial" w:eastAsia="Arial" w:hAnsi="Arial"/>
          <w:sz w:val="18"/>
          <w:szCs w:val="18"/>
          <w:color w:val="auto"/>
        </w:rPr>
        <w:t xml:space="preserve"> (N=2) in 2L KRAS G12X PDAC, which exceeded comparator by 15 percentage points</w:t>
      </w:r>
      <w:r>
        <w:rPr>
          <w:rFonts w:ascii="Arial" w:cs="Arial" w:eastAsia="Arial" w:hAnsi="Arial"/>
          <w:sz w:val="24"/>
          <w:szCs w:val="24"/>
          <w:color w:val="auto"/>
          <w:vertAlign w:val="superscript"/>
        </w:rPr>
        <w:t>5,7</w:t>
      </w:r>
    </w:p>
    <w:p>
      <w:pPr>
        <w:spacing w:after="0" w:line="1" w:lineRule="exact"/>
        <w:rPr>
          <w:rFonts w:ascii="Times New Roman" w:cs="Times New Roman" w:eastAsia="Times New Roman" w:hAnsi="Times New Roman"/>
          <w:sz w:val="18"/>
          <w:szCs w:val="18"/>
          <w:color w:val="auto"/>
        </w:rPr>
      </w:pPr>
    </w:p>
    <w:p>
      <w:pPr>
        <w:ind w:left="760" w:right="240" w:hanging="378"/>
        <w:spacing w:after="0" w:line="234"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Multiple ongoing responses: </w:t>
      </w:r>
      <w:r>
        <w:rPr>
          <w:rFonts w:ascii="Arial" w:cs="Arial" w:eastAsia="Arial" w:hAnsi="Arial"/>
          <w:sz w:val="18"/>
          <w:szCs w:val="18"/>
          <w:color w:val="auto"/>
        </w:rPr>
        <w:t>Nearly all responding patients—including all unconfirmed responders—remain on treatment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DCO:</w:t>
      </w:r>
    </w:p>
    <w:p>
      <w:pPr>
        <w:ind w:left="1500" w:hanging="369"/>
        <w:spacing w:after="0"/>
        <w:tabs>
          <w:tab w:leader="none" w:pos="15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NSCLC</w:t>
      </w:r>
    </w:p>
    <w:p>
      <w:pPr>
        <w:spacing w:after="0" w:line="8"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2"/>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23 out of 24 responding patients remain on treatment, including all responders treated at 24-32 mg QD RDEs</w:t>
      </w:r>
    </w:p>
    <w:p>
      <w:pPr>
        <w:spacing w:after="0" w:line="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PDAC</w:t>
      </w:r>
    </w:p>
    <w:p>
      <w:pPr>
        <w:spacing w:after="0" w:line="8"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2"/>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20 out of 23 responding patients remain on treatment, including all responders treated at 24-32 mg QD RDEs</w:t>
      </w:r>
    </w:p>
    <w:p>
      <w:pPr>
        <w:spacing w:after="0" w:line="8" w:lineRule="exact"/>
        <w:rPr>
          <w:rFonts w:ascii="Times New Roman" w:cs="Times New Roman" w:eastAsia="Times New Roman" w:hAnsi="Times New Roman"/>
          <w:sz w:val="18"/>
          <w:szCs w:val="18"/>
          <w:color w:val="auto"/>
        </w:rPr>
      </w:pPr>
    </w:p>
    <w:p>
      <w:pPr>
        <w:ind w:left="760" w:right="240" w:hanging="378"/>
        <w:spacing w:after="0" w:line="234"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Safety and Tolerability</w:t>
      </w:r>
      <w:r>
        <w:rPr>
          <w:rFonts w:ascii="Arial" w:cs="Arial" w:eastAsia="Arial" w:hAnsi="Arial"/>
          <w:sz w:val="18"/>
          <w:szCs w:val="18"/>
          <w:color w:val="auto"/>
        </w:rPr>
        <w:t>: Generally well-tolerated with mostly low-grade adverse events (AEs), no dose-limiting toxicities (DLTs),</w:t>
      </w:r>
      <w:r>
        <w:rPr>
          <w:rFonts w:ascii="Arial" w:cs="Arial" w:eastAsia="Arial" w:hAnsi="Arial"/>
          <w:sz w:val="18"/>
          <w:szCs w:val="18"/>
          <w:b w:val="1"/>
          <w:bCs w:val="1"/>
          <w:color w:val="auto"/>
        </w:rPr>
        <w:t xml:space="preserve"> </w:t>
      </w:r>
      <w:r>
        <w:rPr>
          <w:rFonts w:ascii="Arial" w:cs="Arial" w:eastAsia="Arial" w:hAnsi="Arial"/>
          <w:sz w:val="18"/>
          <w:szCs w:val="18"/>
          <w:color w:val="auto"/>
        </w:rPr>
        <w:t>low rate of dose interruptions or reductions due to treatment-related adverse events (TRAEs), and no discontinuations due to TRAEs</w:t>
      </w:r>
    </w:p>
    <w:p>
      <w:pPr>
        <w:spacing w:after="0" w:line="1" w:lineRule="exact"/>
        <w:rPr>
          <w:rFonts w:ascii="Times New Roman" w:cs="Times New Roman" w:eastAsia="Times New Roman" w:hAnsi="Times New Roman"/>
          <w:sz w:val="18"/>
          <w:szCs w:val="18"/>
          <w:color w:val="auto"/>
        </w:rPr>
      </w:pPr>
    </w:p>
    <w:p>
      <w:pPr>
        <w:ind w:left="760" w:right="80" w:hanging="378"/>
        <w:spacing w:after="0" w:line="234"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Monotherapy RDE: </w:t>
      </w:r>
      <w:r>
        <w:rPr>
          <w:rFonts w:ascii="Arial" w:cs="Arial" w:eastAsia="Arial" w:hAnsi="Arial"/>
          <w:sz w:val="18"/>
          <w:szCs w:val="18"/>
          <w:color w:val="auto"/>
        </w:rPr>
        <w:t>Based on the totality of the preliminary Phase 1 dose escalation data, 24 mg and 32 mg QD were selected as</w:t>
      </w:r>
      <w:r>
        <w:rPr>
          <w:rFonts w:ascii="Arial" w:cs="Arial" w:eastAsia="Arial" w:hAnsi="Arial"/>
          <w:sz w:val="18"/>
          <w:szCs w:val="18"/>
          <w:b w:val="1"/>
          <w:bCs w:val="1"/>
          <w:color w:val="auto"/>
        </w:rPr>
        <w:t xml:space="preserve"> </w:t>
      </w:r>
      <w:r>
        <w:rPr>
          <w:rFonts w:ascii="Arial" w:cs="Arial" w:eastAsia="Arial" w:hAnsi="Arial"/>
          <w:sz w:val="18"/>
          <w:szCs w:val="18"/>
          <w:color w:val="auto"/>
        </w:rPr>
        <w:t>the go-forward monotherapy RDEs</w:t>
      </w: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Combinability</w:t>
      </w:r>
      <w:r>
        <w:rPr>
          <w:rFonts w:ascii="Arial" w:cs="Arial" w:eastAsia="Arial" w:hAnsi="Arial"/>
          <w:sz w:val="18"/>
          <w:szCs w:val="18"/>
          <w:color w:val="auto"/>
        </w:rPr>
        <w:t>: ERAS-0015 showed promising clinical potential to combine with panitumumab (anti-EGFR monoclonal antibody)</w:t>
      </w:r>
    </w:p>
    <w:p>
      <w:pPr>
        <w:spacing w:after="0" w:line="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No DLTs observed through the 31Mar2026 DCO (N=3) with 1 uPR in 1 efficacy-evaluable patient with metastatic CRC</w:t>
      </w:r>
    </w:p>
    <w:p>
      <w:pPr>
        <w:spacing w:after="0" w:line="162" w:lineRule="exact"/>
        <w:rPr>
          <w:sz w:val="20"/>
          <w:szCs w:val="20"/>
          <w:color w:val="auto"/>
        </w:rPr>
      </w:pPr>
    </w:p>
    <w:p>
      <w:pPr>
        <w:ind w:left="100" w:hanging="92"/>
        <w:spacing w:after="0"/>
        <w:tabs>
          <w:tab w:leader="none" w:pos="10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AURORAS-1 data cutoff (DCO) 4Apr2026; JYP0015M101 DCO 27Feb2026</w:t>
      </w:r>
    </w:p>
    <w:p>
      <w:pPr>
        <w:ind w:left="100" w:hanging="92"/>
        <w:spacing w:after="0" w:line="192" w:lineRule="auto"/>
        <w:tabs>
          <w:tab w:leader="none" w:pos="10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Pooled data from the Company’s Phase 1 trial (US trial, or AURORAS-1) and Joyo’s Phase 1 trial (China (CN) trial, or JYP0015M101) of ERAS-0015</w:t>
      </w:r>
    </w:p>
    <w:p>
      <w:pPr>
        <w:spacing w:after="0" w:line="1" w:lineRule="exact"/>
        <w:rPr>
          <w:sz w:val="20"/>
          <w:szCs w:val="20"/>
          <w:color w:val="auto"/>
        </w:rPr>
      </w:pPr>
    </w:p>
    <w:p>
      <w:pPr>
        <w:ind w:right="220" w:firstLine="8"/>
        <w:spacing w:after="0" w:line="254" w:lineRule="auto"/>
        <w:tabs>
          <w:tab w:leader="none" w:pos="8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The uORR</w:t>
      </w:r>
      <w:r>
        <w:rPr>
          <w:rFonts w:ascii="Arial" w:cs="Arial" w:eastAsia="Arial" w:hAnsi="Arial"/>
          <w:sz w:val="19"/>
          <w:szCs w:val="19"/>
          <w:color w:val="auto"/>
          <w:vertAlign w:val="subscript"/>
        </w:rPr>
        <w:t>8wk</w:t>
      </w:r>
      <w:r>
        <w:rPr>
          <w:rFonts w:ascii="Arial" w:cs="Arial" w:eastAsia="Arial" w:hAnsi="Arial"/>
          <w:sz w:val="14"/>
          <w:szCs w:val="14"/>
          <w:color w:val="auto"/>
        </w:rPr>
        <w:t xml:space="preserve"> is the ORR (confirmed and unconfirmed responses) for patients who received first dose of ERAS-0015 at least 8 weeks prior to DCO (US trial) or at least one post-dose tumor assessment (CN trial)</w:t>
      </w:r>
    </w:p>
    <w:p>
      <w:pPr>
        <w:spacing w:after="0" w:line="192" w:lineRule="auto"/>
        <w:rPr>
          <w:rFonts w:ascii="Arial" w:cs="Arial" w:eastAsia="Arial" w:hAnsi="Arial"/>
          <w:sz w:val="19"/>
          <w:szCs w:val="19"/>
          <w:color w:val="auto"/>
          <w:vertAlign w:val="superscript"/>
        </w:rPr>
      </w:pPr>
      <w:r>
        <w:rPr>
          <w:rFonts w:ascii="Arial" w:cs="Arial" w:eastAsia="Arial" w:hAnsi="Arial"/>
          <w:sz w:val="19"/>
          <w:szCs w:val="19"/>
          <w:color w:val="auto"/>
          <w:vertAlign w:val="superscript"/>
        </w:rPr>
        <w:t>4</w:t>
      </w:r>
      <w:r>
        <w:rPr>
          <w:rFonts w:ascii="Arial" w:cs="Arial" w:eastAsia="Arial" w:hAnsi="Arial"/>
          <w:sz w:val="14"/>
          <w:szCs w:val="14"/>
          <w:color w:val="auto"/>
        </w:rPr>
        <w:t xml:space="preserve"> Comparator as used in this report, RMC-6236. Punekar et al. Journal of Thoracic Oncology 2025; DCO 30Sep2024</w:t>
      </w:r>
    </w:p>
    <w:p>
      <w:pPr>
        <w:ind w:right="1020"/>
        <w:spacing w:after="0" w:line="247" w:lineRule="auto"/>
        <w:rPr>
          <w:rFonts w:ascii="Arial" w:cs="Arial" w:eastAsia="Arial" w:hAnsi="Arial"/>
          <w:sz w:val="19"/>
          <w:szCs w:val="19"/>
          <w:color w:val="auto"/>
          <w:vertAlign w:val="superscript"/>
        </w:rPr>
      </w:pPr>
      <w:r>
        <w:rPr>
          <w:rFonts w:ascii="Arial" w:cs="Arial" w:eastAsia="Arial" w:hAnsi="Arial"/>
          <w:sz w:val="19"/>
          <w:szCs w:val="19"/>
          <w:color w:val="auto"/>
          <w:vertAlign w:val="superscript"/>
        </w:rPr>
        <w:t>5</w:t>
      </w:r>
      <w:r>
        <w:rPr>
          <w:rFonts w:ascii="Arial" w:cs="Arial" w:eastAsia="Arial" w:hAnsi="Arial"/>
          <w:sz w:val="14"/>
          <w:szCs w:val="14"/>
          <w:color w:val="auto"/>
        </w:rPr>
        <w:t xml:space="preserve"> The uORR</w:t>
      </w:r>
      <w:r>
        <w:rPr>
          <w:rFonts w:ascii="Arial" w:cs="Arial" w:eastAsia="Arial" w:hAnsi="Arial"/>
          <w:sz w:val="19"/>
          <w:szCs w:val="19"/>
          <w:color w:val="auto"/>
          <w:vertAlign w:val="subscript"/>
        </w:rPr>
        <w:t>14wk</w:t>
      </w:r>
      <w:r>
        <w:rPr>
          <w:rFonts w:ascii="Arial" w:cs="Arial" w:eastAsia="Arial" w:hAnsi="Arial"/>
          <w:sz w:val="14"/>
          <w:szCs w:val="14"/>
          <w:color w:val="auto"/>
        </w:rPr>
        <w:t xml:space="preserve"> is the ORR (confirmed and unconfirmed responses) for patients who received first dose of ERAS-0015 (US, CN) at least 14 weeks prior to DCO </w:t>
      </w:r>
      <w:r>
        <w:rPr>
          <w:rFonts w:ascii="Arial" w:cs="Arial" w:eastAsia="Arial" w:hAnsi="Arial"/>
          <w:sz w:val="19"/>
          <w:szCs w:val="19"/>
          <w:color w:val="auto"/>
          <w:vertAlign w:val="superscript"/>
        </w:rPr>
        <w:t>6</w:t>
      </w:r>
      <w:r>
        <w:rPr>
          <w:rFonts w:ascii="Arial" w:cs="Arial" w:eastAsia="Arial" w:hAnsi="Arial"/>
          <w:sz w:val="14"/>
          <w:szCs w:val="14"/>
          <w:color w:val="auto"/>
        </w:rPr>
        <w:t xml:space="preserve"> Wolpin et al. EORTC-NCI-AACR 2024; DCO 23Jul2024</w:t>
      </w:r>
    </w:p>
    <w:p>
      <w:pPr>
        <w:spacing w:after="0"/>
        <w:rPr>
          <w:rFonts w:ascii="Arial" w:cs="Arial" w:eastAsia="Arial" w:hAnsi="Arial"/>
          <w:sz w:val="19"/>
          <w:szCs w:val="19"/>
          <w:color w:val="auto"/>
          <w:vertAlign w:val="superscript"/>
        </w:rPr>
      </w:pPr>
      <w:r>
        <w:rPr>
          <w:rFonts w:ascii="Arial" w:cs="Arial" w:eastAsia="Arial" w:hAnsi="Arial"/>
          <w:sz w:val="19"/>
          <w:szCs w:val="19"/>
          <w:color w:val="auto"/>
          <w:vertAlign w:val="superscript"/>
        </w:rPr>
        <w:t>7</w:t>
      </w:r>
      <w:r>
        <w:rPr>
          <w:rFonts w:ascii="Arial" w:cs="Arial" w:eastAsia="Arial" w:hAnsi="Arial"/>
          <w:sz w:val="14"/>
          <w:szCs w:val="14"/>
          <w:color w:val="auto"/>
        </w:rPr>
        <w:t xml:space="preserve"> Revolution Medicines Press Release (10Sep2025); DCO 30Jun2025</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1"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Additional AURORAS-1 Safety Data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all treatment-related adverse events occurring in 10% or more of patients in the AURORAS-1 trial as of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April 4, 2026 data cutoff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126365</wp:posOffset>
            </wp:positionV>
            <wp:extent cx="5486400" cy="23571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8640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firstLine="8"/>
        <w:spacing w:after="0" w:line="231" w:lineRule="auto"/>
        <w:tabs>
          <w:tab w:leader="none" w:pos="93"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One Grade 3 TRAE of pneumonitis progressed to Grade 5 after withdrawal of supportive care per patient decision. The patient was a 66 year-old male with heavily pretreated metastatic pancreatic adenocarcinoma who received 24 mg of ERAS-0015. The patient had pulmonary metastases, a history of right lung cryoablation and no history of lung radiation. The patient presented to the ER approximately a month after starting ERAS-0015 with Grade 3 pneumonitis that was treated aggressively with immediate discontinuation of ERAS-0015, high dose steroids and infliximab. The patient requested withdrawal of supportive care and ultimately died of the event.</w:t>
      </w:r>
    </w:p>
    <w:p>
      <w:pPr>
        <w:ind w:right="200"/>
        <w:spacing w:after="0" w:line="213" w:lineRule="auto"/>
        <w:rPr>
          <w:rFonts w:ascii="Arial" w:cs="Arial" w:eastAsia="Arial" w:hAnsi="Arial"/>
          <w:sz w:val="19"/>
          <w:szCs w:val="19"/>
          <w:color w:val="auto"/>
          <w:vertAlign w:val="superscript"/>
        </w:rPr>
      </w:pPr>
      <w:r>
        <w:rPr>
          <w:rFonts w:ascii="Arial" w:cs="Arial" w:eastAsia="Arial" w:hAnsi="Arial"/>
          <w:sz w:val="19"/>
          <w:szCs w:val="19"/>
          <w:color w:val="auto"/>
          <w:vertAlign w:val="superscript"/>
        </w:rPr>
        <w:t>2</w:t>
      </w:r>
      <w:r>
        <w:rPr>
          <w:rFonts w:ascii="Arial" w:cs="Arial" w:eastAsia="Arial" w:hAnsi="Arial"/>
          <w:sz w:val="14"/>
          <w:szCs w:val="14"/>
          <w:color w:val="auto"/>
        </w:rPr>
        <w:t xml:space="preserve"> Rash events are identified using following preferred term rash pustular, rash papular, rash maculo-papular, rash macular, rash, erythema and dermatitis acneiform (uncoded terms rash acneiform and rash, are also included).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baseline characteristics for the JYP0015M101 and AURORAS-1 trials in patients with PDAC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126365</wp:posOffset>
            </wp:positionV>
            <wp:extent cx="6515100" cy="23145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1510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0" w:hanging="72"/>
        <w:spacing w:after="0"/>
        <w:tabs>
          <w:tab w:leader="none" w:pos="8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2 and 8 mg cohorts did not enroll patients with NSCLC.</w:t>
      </w:r>
    </w:p>
    <w:p>
      <w:pPr>
        <w:ind w:left="80" w:hanging="72"/>
        <w:spacing w:after="0" w:line="219" w:lineRule="auto"/>
        <w:tabs>
          <w:tab w:leader="none" w:pos="8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Safety analysis set: all patients with PDAC or NSCLC that received at least one dose of ERAS-0015.</w:t>
      </w:r>
    </w:p>
    <w:p>
      <w:pPr>
        <w:ind w:right="7640"/>
        <w:spacing w:after="0" w:line="213" w:lineRule="auto"/>
        <w:rPr>
          <w:rFonts w:ascii="Arial" w:cs="Arial" w:eastAsia="Arial" w:hAnsi="Arial"/>
          <w:sz w:val="19"/>
          <w:szCs w:val="19"/>
          <w:color w:val="auto"/>
          <w:vertAlign w:val="superscript"/>
        </w:rPr>
      </w:pPr>
      <w:r>
        <w:rPr>
          <w:rFonts w:ascii="Arial" w:cs="Arial" w:eastAsia="Arial" w:hAnsi="Arial"/>
          <w:sz w:val="19"/>
          <w:szCs w:val="19"/>
          <w:color w:val="auto"/>
          <w:vertAlign w:val="superscript"/>
        </w:rPr>
        <w:t>3</w:t>
      </w:r>
      <w:r>
        <w:rPr>
          <w:rFonts w:ascii="Arial" w:cs="Arial" w:eastAsia="Arial" w:hAnsi="Arial"/>
          <w:sz w:val="14"/>
          <w:szCs w:val="14"/>
          <w:color w:val="auto"/>
        </w:rPr>
        <w:t xml:space="preserve"> 2 and 4 mg cohorts did not enroll patients with NSCLC. </w:t>
      </w:r>
      <w:r>
        <w:rPr>
          <w:rFonts w:ascii="Arial" w:cs="Arial" w:eastAsia="Arial" w:hAnsi="Arial"/>
          <w:sz w:val="14"/>
          <w:szCs w:val="14"/>
          <w:i w:val="1"/>
          <w:iCs w:val="1"/>
          <w:color w:val="auto"/>
        </w:rPr>
        <w:t>NA = not available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25" w:name="page26"/>
    <w:bookmarkEnd w:id="25"/>
    <w:p>
      <w:pPr>
        <w:ind w:right="20"/>
        <w:spacing w:after="0" w:line="245" w:lineRule="auto"/>
        <w:rPr>
          <w:sz w:val="20"/>
          <w:szCs w:val="20"/>
          <w:color w:val="auto"/>
        </w:rPr>
      </w:pPr>
      <w:r>
        <w:rPr>
          <w:rFonts w:ascii="Arial" w:cs="Arial" w:eastAsia="Arial" w:hAnsi="Arial"/>
          <w:sz w:val="17"/>
          <w:szCs w:val="17"/>
          <w:color w:val="auto"/>
        </w:rPr>
        <w:t>ERAS-4001 is a potential first-in-class pan-KRAS inhibitor in clinical development for the treatment of patients with KRAS-mutated solid tumors. The preclinical in vitro potency of ERAS-4001 showed good activity against KRAS G12X mutations, as well as KRAS wildtype amplifications, with no activity observed against HRAS or NRAS wildtype proteins. We believe sparing wildtype HRAS and NRAS has the potential to provide a wider therapeutic window in the clinic compared to the other pan-RAS molecular glues in development. ERAS-4001 demonstrated activity against both GDP-bound (“inactive state”) and GTP-bound (“active state”) KRAS G12D with single digit nanomolar IC</w:t>
      </w:r>
      <w:r>
        <w:rPr>
          <w:rFonts w:ascii="Arial" w:cs="Arial" w:eastAsia="Arial" w:hAnsi="Arial"/>
          <w:sz w:val="23"/>
          <w:szCs w:val="23"/>
          <w:color w:val="auto"/>
          <w:vertAlign w:val="subscript"/>
        </w:rPr>
        <w:t>50</w:t>
      </w:r>
    </w:p>
    <w:p>
      <w:pPr>
        <w:spacing w:after="0" w:line="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 measure of the drug concentration needed to achieve half-maximal inhibition) values in a biochemical RAS – RAF1 RBD (RAS Binding Domain) assay. In vivo, ERAS-4001 showed tumor regression in multiple models when administered as a monotherapy. In combination with an anti-PD-1 antibody, ERAS-4001 was able to achieve complete disappearance of tumors in mice on day 31. The combination of ERAS-4001 plus the anti-EGFR antibody cetuximab induced significant tumor growth inhibition and demonstrated the potential combination benefit of blocking both oncogenic drivers. The initial clinical trial for ERAS-4001 is called BOREALIS-1. The IND for BOREALIS-1 was cleared by the FDA in May 2025. We anticipate a Phase 1 monotherapy data readout from the BOREALIS-1 trial in the second half of 2026. In addition, we anticipate the initiation of monotherapy expansion cohorts and combination dose escalation cohorts in 2027.</w:t>
      </w:r>
    </w:p>
    <w:p>
      <w:pPr>
        <w:spacing w:after="0" w:line="17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believe ERAS-0015 has the potential to address unmet medical needs in approximately 2.7 million patients who are diagnosed annually worldwide with RAS-mutant tumors, including the more than 2.2 million patients with KRAS-mutant tumors whom ERAS-4001 could also address.</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next program is ERAS-12, our investigational EGFR D2/D3 biparatopic antibody (bpAb). ERAS-12 is a potential best-in-class biologic, for which we have identified a lead candidate, that is designed to inhibit EGFR through multiple proposed mechanisms of action. In tumors where EGFR signaling is thought to be a primary driver of tumor growth, an antibody-based approach has been shown to be an effective way to target the receptor. However, all approved anti-EGFR antibodies target domain III (D3) only, which is the main site for ligand binding, and no approved antibodies target domain II (D2), which is responsible for dimerization of EGFR upon ligand binding. Binding of D2 prevents both EGFR homodimerization as well as heterodimerization. We believe the combined binding of D2 and D3 could result in differentiated and improved inhibition of downstream EGFR signaling. ERAS-12 also aims to exploit the innate immune system to induce tumor cell apoptosis. The Fragment crystallizable (Fc) region of IgG1 antibodies contain binding spots for both immune effector cells (e.g., NK cells) and the classical complement component C1q. By combining novel cell signal inhibition with enhancements to the Fc, we aim to create a potent multi-modal BIC anti-EGFR biologic which we believe could function as a targeted therapy with immunomodulatory activity.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May 2025, in connection with our expectation that ERAS-0015 and ERAS-4001 would both become clinical stage programs, we conducted a broader pipeline review. Following this review, in order to prioritize organizational focus and resources to advance our differentiated RAS-targeting franchise, we decided to evaluate strategic alternatives for our naporafenib program, which we in-licensed from Novartis Pharma AG (Novartis). After evaluating the clinical progress of our RAS franchise, we made a decision to stop development of naporafenib. In March 2026, we sent a notice to Novartis to terminate our exclusive license agreement with Novartis (as amended, the Novartis Agreement) pursuant to which we acquired exclusive rights to develop naporafenib. The effective date of the termination of the Novartis Agreement is June 3, 2026. In connection with such termination, we and Novartis have agreed that we shall continue to ensure that the patients currently enrolled in the SEACRAFT-1 and SEACRAFT-2 trials will be permitted to continue to receive treatment for the foreseeable future.</w:t>
      </w:r>
    </w:p>
    <w:p>
      <w:pPr>
        <w:spacing w:after="0" w:line="16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do not own or operate, and currently have no plans to establish, any manufacturing facilities. We rely, and expect to continue to rely, on third parties for the manufacture of our product candidates for preclinical and clinical testing, as well as for commercial manufacture if any of our product candidates obtain marketing approval. We are working with our current manufacturers to ensure that we will be able to scale up our manufacturing capabilities to support our clinical plans. We are also in the process of locating and qualifying additional manufacturers to build redundancies into our supply chain. In addition, we rely on third parties to package, label, store, and distribute our product candidates, and we intend to continue to rely on third parties with respect to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w:t>
      </w:r>
    </w:p>
    <w:p>
      <w:pPr>
        <w:spacing w:after="0" w:line="17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 March 2024, we entered into a stock purchase agreement with the purchasers named therein for the private placement of 21,844,660 shares of our common stock at a price of $2.06 per share, which closed on April 2, 2024 (the 2024 Private Placement). Proceeds from the 2024 Private Placement were $43.6 million, after deducting placement agent fees and expenses of approximately $1.4 million.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26" w:name="page27"/>
    <w:bookmarkEnd w:id="26"/>
    <w:p>
      <w:pPr>
        <w:ind w:right="320"/>
        <w:spacing w:after="0" w:line="247" w:lineRule="auto"/>
        <w:rPr>
          <w:sz w:val="20"/>
          <w:szCs w:val="20"/>
          <w:color w:val="auto"/>
        </w:rPr>
      </w:pPr>
      <w:r>
        <w:rPr>
          <w:rFonts w:ascii="Arial" w:cs="Arial" w:eastAsia="Arial" w:hAnsi="Arial"/>
          <w:sz w:val="18"/>
          <w:szCs w:val="18"/>
          <w:color w:val="auto"/>
        </w:rPr>
        <w:t>In May 2024, we completed the sale and issuance of 99,459,458 shares of our common stock, including the exercise in full by the underwriters of their option to purchase 12,972,972 shares of our common stock, at a price to the public of $1.85 per share (the 2024 Offering). Proceeds from the 2024 Offering were $174.4 million, net of underwriting discounts and commissions and offering costs of $9.6 million.</w:t>
      </w:r>
    </w:p>
    <w:p>
      <w:pPr>
        <w:spacing w:after="0" w:line="16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August 2022, we entered into an Open Market Sale Agreement (the Sale Agreement) with Jefferies LLC (the Agent), pursuant to which we could offer and sell shares of our common stock having an aggregate offering price of up to $200 million from time to time, in an “at-the-market offering” (ATM Program) through the Agent. Sales of the shares of common stock were made at prevailing market prices at the time of sale, or as otherwise agreed with the Agent. Pursuant to the Sale Agreement, the Agent received a commission from us of up to 3.0% of the gross proceeds of shares of common stock sold under the Sale Agreement. During the year ended December 31, 2024, we sold 9,231,114 shares of our common stock under the Sale Agreement at a weighted-average price of $2.37 per share. Proceeds from the ATM Program during the year ended December 31, 2024 were $21.0 million, net of commissions and expenses of $0.8 million.</w:t>
      </w:r>
    </w:p>
    <w:p>
      <w:pPr>
        <w:spacing w:after="0" w:line="171"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In August 2025, we entered into an Amended and Restated Open Market Sale Agreement (the 2025 Sale Agreement) with the Agent, pursuant to which we may offer and sell shares of our common stock having an aggregate offering price of up to $200 million from time to time, in the ATM Program through the Agent. Sales of the shares of common stock, if any, will be made at prevailing market prices at the time of sale, or as otherwise agreed with the Agent. The Agent will receive a commission from us of up to 3.0% of the gross proceeds of any shares of common stock sold under the 2025 Sale Agreement. As of March 31, 2026, we had $200.0 million of shares available for sale under the ATM Program.</w:t>
      </w:r>
    </w:p>
    <w:p>
      <w:pPr>
        <w:spacing w:after="0" w:line="165"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In January 2026, we completed the sale and issuance of 25,875,000 shares of our common stock, including the exercise in full by the underwriters of their option to purchase 3,375,000 shares of our common stock, at a price to the public of $10.00 per share (the January 2026 Offering). Our aggregate net proceeds from the January 2026 Offering were $242.7 million, net of underwriting discounts and commissions of $15.5 million and offering costs of $0.5 million.</w:t>
      </w:r>
    </w:p>
    <w:p>
      <w:pPr>
        <w:spacing w:after="0" w:line="16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Since our inception in 2018, we have devoted substantially all of our resources to organizing and staffing our company, business planning, raising capital, identifying, acquiring, and in-licensing our product candidates, establishing our intellectual property portfolio, conducting research, preclinical studies and clinical trials, establishing arrangements with third parties for the manufacture of our product candidates and related raw materials, and providing general and administrative support for these operations. We do not have any products approved for sale and have not generated any revenue. As of March 31, 2026, we have raised a total of $1.3 billion to fund our operations, comprised primarily of gross proceeds from our IPO, underwritten offerings, a private placement of our common stock, and the sale and issuance of convertible preferred stock. As of March 31, 2026, we had cash, cash equivalents, and marketable securities of $408.5 million.</w:t>
      </w:r>
    </w:p>
    <w:p>
      <w:pPr>
        <w:spacing w:after="0" w:line="17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have incurred significant operating losses since inception. Our net losses were $183.4 million and $ 31.0 million for the three months ended March 31, 2026 and 2025, respectively. As of March 31, 2026, we had an accumulated deficit of $1.1 billion. We expect our expenses and operating losses will increase substantially for the foreseeable future, particularly if and as we conduct our ongoing and planned clinical trials and preclinical studies; continue our research and development activities; utilize third parties to manufacture our product candidates and related raw materials; hire additional personnel; acquire, in-license, or develop additional product candidates; expand and protect our intellectual property; and incur additional costs associated with being a public company. If we obtain regulatory approval for any of our product candidates, we expect to incur significant commercialization expenses related to product sales, marketing, manufacturing, and distribution. In addition, as our product candidates progress through development and toward commercialization, we will need to make milestone payments to the licensors and other third parties from whom we have in-licensed our product candidates. Our net losses may fluctuate significantly from quarter-to-quarter and year-to-year, depending on the timing of our clinical trials and preclinical studies and our expenditures on other research and development activities.</w:t>
      </w:r>
    </w:p>
    <w:p>
      <w:pPr>
        <w:spacing w:after="0" w:line="17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Based upon our current operating plans, we believe that our cash, cash equivalents, and marketable securities as of March 31, 2026 will be sufficient to fund our operations into the second half of 2028. We do not expect to generate any revenues from product sales until we successfully complete development and obtain regulatory approval for one or more of our product candidates, which we expect will take a number of years and may never occur.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research and development programs or other operations, or grant rights to develop and market product candidates that we would otherwise prefer to develop and market ourselves.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7" w:name="page28"/>
    <w:bookmarkEnd w:id="27"/>
    <w:p>
      <w:pPr>
        <w:ind w:right="220"/>
        <w:spacing w:after="0" w:line="253" w:lineRule="auto"/>
        <w:rPr>
          <w:sz w:val="20"/>
          <w:szCs w:val="20"/>
          <w:color w:val="auto"/>
        </w:rPr>
      </w:pPr>
      <w:r>
        <w:rPr>
          <w:rFonts w:ascii="Arial" w:cs="Arial" w:eastAsia="Arial" w:hAnsi="Arial"/>
          <w:sz w:val="18"/>
          <w:szCs w:val="18"/>
          <w:color w:val="auto"/>
        </w:rPr>
        <w:t>Our financial condition and results of operations may also be impacted by other factors we may not be able to control, such as geopolitical and economic events. We do not believe that such factors had a material adverse impact on our results of operations during the three months ended March 31, 2026.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 and license agreements</w:t>
      </w:r>
    </w:p>
    <w:p>
      <w:pPr>
        <w:spacing w:after="0" w:line="19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have entered into in-license and acquisition agreements pursuant to which we in-licensed or acquired certain intellectual property rights related to our product candidates and development programs.</w:t>
      </w:r>
    </w:p>
    <w:p>
      <w:pPr>
        <w:spacing w:after="0" w:line="14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For additional information regarding our in-license and acquisition agreements, see the section titled “Business—Our acquisition and license agreements” in our Annual Report on Form 10-K for the year ended December 31, 2025 filed with the SEC on March 12, 2026.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do not expect to generate any revenue from the sale of products unless and until such time that our product candidates have advanced through clinical development and obtained regulatory approval, if ever. If we fail to complete preclinical and clinical development of product candidates or obtain regulatory approval for them, our ability to generate future revenues, and our results of operations and financial position would be adversely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98" w:lineRule="exact"/>
        <w:rPr>
          <w:sz w:val="20"/>
          <w:szCs w:val="20"/>
          <w:color w:val="auto"/>
        </w:rPr>
      </w:pPr>
    </w:p>
    <w:p>
      <w:pPr>
        <w:ind w:right="640"/>
        <w:spacing w:after="0" w:line="253" w:lineRule="auto"/>
        <w:rPr>
          <w:sz w:val="20"/>
          <w:szCs w:val="20"/>
          <w:color w:val="auto"/>
        </w:rPr>
      </w:pPr>
      <w:r>
        <w:rPr>
          <w:rFonts w:ascii="Arial" w:cs="Arial" w:eastAsia="Arial" w:hAnsi="Arial"/>
          <w:sz w:val="18"/>
          <w:szCs w:val="18"/>
          <w:color w:val="auto"/>
        </w:rPr>
        <w:t>Research and development expenses consist of external and internal costs associated with our research and development activities, including our discovery and research efforts and the preclinical and clinical development of our product candidates. Research and development costs are expensed as incurred. Our research and development expenses include:</w:t>
      </w:r>
    </w:p>
    <w:p>
      <w:pPr>
        <w:spacing w:after="0" w:line="61" w:lineRule="exact"/>
        <w:rPr>
          <w:sz w:val="20"/>
          <w:szCs w:val="20"/>
          <w:color w:val="auto"/>
        </w:rPr>
      </w:pPr>
    </w:p>
    <w:p>
      <w:pPr>
        <w:ind w:left="1020" w:right="40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external costs, including expenses incurred under arrangements with third parties, such as contract research organizations (CROs), contract manufacturing organizations (CMOs), consultants, and our scientific advisors;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internal costs, including:</w:t>
      </w:r>
    </w:p>
    <w:p>
      <w:pPr>
        <w:spacing w:after="0" w:line="116" w:lineRule="exact"/>
        <w:rPr>
          <w:rFonts w:ascii="Times New Roman" w:cs="Times New Roman" w:eastAsia="Times New Roman" w:hAnsi="Times New Roman"/>
          <w:sz w:val="18"/>
          <w:szCs w:val="18"/>
          <w:color w:val="auto"/>
        </w:rPr>
      </w:pPr>
    </w:p>
    <w:p>
      <w:pPr>
        <w:ind w:left="1540" w:right="100" w:hanging="50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color w:val="auto"/>
        </w:rPr>
        <w:t>employee-related expenses, including salaries, benefits, and stock-based compensation for those individuals involved in research and development efforts;</w:t>
      </w:r>
    </w:p>
    <w:p>
      <w:pPr>
        <w:spacing w:after="0" w:line="45"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the costs of laboratory supplies and acquiring, developing, and manufacturing preclinical study materials; and</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color w:val="auto"/>
        </w:rPr>
        <w:t>facilities and depreciation, which include direct and allocated expenses for rent of facilities and depreciation.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incurred for the following periods (in thousands):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6"/>
          </w:tcPr>
          <w:p>
            <w:pPr>
              <w:ind w:left="480"/>
              <w:spacing w:after="0"/>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6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2"/>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ERAS-0015</w:t>
            </w:r>
          </w:p>
        </w:tc>
        <w:tc>
          <w:tcPr>
            <w:tcW w:w="1000" w:type="dxa"/>
            <w:vAlign w:val="bottom"/>
            <w:gridSpan w:val="2"/>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13,832</w:t>
            </w:r>
          </w:p>
        </w:tc>
        <w:tc>
          <w:tcPr>
            <w:tcW w:w="640" w:type="dxa"/>
            <w:vAlign w:val="bottom"/>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6,544</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ERAS-4001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6,672</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4,011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2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Other clinical programs</w:t>
            </w:r>
            <w:r>
              <w:rPr>
                <w:rFonts w:ascii="Arial" w:cs="Arial" w:eastAsia="Arial" w:hAnsi="Arial"/>
                <w:sz w:val="23"/>
                <w:szCs w:val="23"/>
                <w:color w:val="auto"/>
                <w:vertAlign w:val="superscript"/>
              </w:rPr>
              <w:t>(1)</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4,707</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10,597</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2" w:lineRule="exact"/>
              <w:rPr>
                <w:sz w:val="20"/>
                <w:szCs w:val="20"/>
                <w:color w:val="auto"/>
              </w:rPr>
            </w:pPr>
            <w:r>
              <w:rPr>
                <w:rFonts w:ascii="Arial" w:cs="Arial" w:eastAsia="Arial" w:hAnsi="Arial"/>
                <w:sz w:val="18"/>
                <w:szCs w:val="18"/>
                <w:color w:val="auto"/>
              </w:rPr>
              <w:t>Other discovery and preclinical programs</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2,054</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4,817</w:t>
            </w:r>
          </w:p>
        </w:tc>
        <w:tc>
          <w:tcPr>
            <w:tcW w:w="10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75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1000" w:type="dxa"/>
            <w:vAlign w:val="bottom"/>
            <w:tcBorders>
              <w:bottom w:val="single" w:sz="8" w:color="auto"/>
            </w:tcBorders>
            <w:gridSpan w:val="2"/>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27,265</w:t>
            </w:r>
          </w:p>
        </w:tc>
        <w:tc>
          <w:tcPr>
            <w:tcW w:w="2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25,969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-25400</wp:posOffset>
            </wp:positionV>
            <wp:extent cx="7054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54850" cy="2603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color w:val="auto"/>
        </w:rPr>
        <w:t>(1) Other clinical programs include naporafenib.</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bookmarkStart w:id="28" w:name="page29"/>
    <w:bookmarkEnd w:id="28"/>
    <w:p>
      <w:pPr>
        <w:ind w:right="140"/>
        <w:spacing w:after="0" w:line="244"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conduct our ongoing research and development activities, conduct clinical trials, and advance our preclinical research programs toward clinical development, particularly as more of our product candidates move into later stages of development, which typically cost more. The process of conducting clinical trials and preclinical studies necessary to obtain regulatory approval is costly and time-consuming. We may never succeed in achieving marketing approval for any of our product candidates.</w:t>
      </w:r>
    </w:p>
    <w:p>
      <w:pPr>
        <w:spacing w:after="0" w:line="16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timelines and costs associated with research and development activities are uncertain, can vary significantly for each product candidate and program and are difficult to predict. We anticipate we will make determinations as to which product candidates and programs to pursue and how much funding to direct to each product candidate and program on an ongoing basis in response to preclinical and clinical results, regulatory developments, ongoing assessments as to each product candidate’s and program’s commercial potential, and our ability to enter into collaborations, licenses, or other similar agreements to the extent we determine the resources or expertise of a third-party would be beneficial for a given product candidate or program. We will need to raise substantial additional capital in the future. In addition, we cannot forecast which product candidates and programs may be subject to future collaborations, licenses, or other agreements, when such arrangements will be secured, if at all, and to what degree such arrangements would affect our development plans and capital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development costs may vary significantly based on factors such as:</w:t>
      </w:r>
    </w:p>
    <w:p>
      <w:pPr>
        <w:spacing w:after="0" w:line="104"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scope of preclinical and IND-enabling studies and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per patient trial costs;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trials required for approval;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sites included in the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countries in which the trials are conducted;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length of time required to enroll eligible patients;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patients that participate in the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doses that patients receive;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drop-out or discontinuation rates of patients;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additional safety monitoring requested by regulatory agencies;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of patient participation in the trials and follow-up;</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of manufacturing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phase of development of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and safety profile of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receipt, and terms of any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a continued acceptable safety profile of our products following approval, if any;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and changing government regulation and regulatory guidance;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any interruptions to our operations or to those of third parties with whom we work due to geopolitical and economic events;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establish additional collaboration, license or other arrangements.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w:t>
      </w:r>
    </w:p>
    <w:p>
      <w:pPr>
        <w:spacing w:after="0" w:line="198"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In-process research and development expenses include rights acquired as part of asset acquisitions or in-licenses to develop and commercialize product candidates. Upfront payments that relate to the acquisition of a new product candidate, as well as pre-commercial milestone payments, are immediately expensed as in-process research and development in the period in which they are incurred, provided that the new product candidate did not also include processes or activities that would constitute a “business” as defined under US generally accepted accounting principles (US GAAP), the product candidate has not achieved regulatory approval for marketing and, absent obtaining such approval, has no established alternative future use.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5" w:right="379" w:bottom="1440" w:gutter="0" w:footer="0" w:header="0"/>
        </w:sectPr>
      </w:pPr>
    </w:p>
    <w:bookmarkStart w:id="29" w:name="page30"/>
    <w:bookmarkEnd w:id="29"/>
    <w:p>
      <w:pPr>
        <w:ind w:right="180"/>
        <w:spacing w:after="0" w:line="271" w:lineRule="auto"/>
        <w:rPr>
          <w:sz w:val="20"/>
          <w:szCs w:val="20"/>
          <w:color w:val="auto"/>
        </w:rPr>
      </w:pPr>
      <w:r>
        <w:rPr>
          <w:rFonts w:ascii="Arial" w:cs="Arial" w:eastAsia="Arial" w:hAnsi="Arial"/>
          <w:sz w:val="18"/>
          <w:szCs w:val="18"/>
          <w:color w:val="auto"/>
        </w:rPr>
        <w:t>In-process research and development expenses consist primarily of our upfront payments, milestone payments, and our stock issuances in connection with our acquisition and in-license agreements.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General and administrative expenses consist primarily of employee-related expenses, including salaries, benefits, and stock-based compensation, for employees in our finance, accounting, legal, information technology, business development, and support functions. Other general and administrative expenses include allocated facility and depreciation related costs not otherwise included in research and development expenses and professional fees for auditing, tax, intellectual property, and legal services. Costs related to filing and pursuing patent applications are recognized as general and administrative expenses as incurred since recoverability of such expenditures is uncertain.</w:t>
      </w:r>
    </w:p>
    <w:p>
      <w:pPr>
        <w:spacing w:after="0" w:line="16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expect our general and administrative expenses will increase substantially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primarily of interest earned on our cash, cash equivalents, and marketable securities.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2026 and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2026 and 2025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5"/>
          </w:tcPr>
          <w:p>
            <w:pPr>
              <w:jc w:val="right"/>
              <w:ind w:right="900"/>
              <w:spacing w:after="0"/>
              <w:rPr>
                <w:sz w:val="20"/>
                <w:szCs w:val="20"/>
                <w:color w:val="auto"/>
              </w:rPr>
            </w:pPr>
            <w:r>
              <w:rPr>
                <w:rFonts w:ascii="Arial" w:cs="Arial" w:eastAsia="Arial" w:hAnsi="Arial"/>
                <w:sz w:val="16"/>
                <w:szCs w:val="16"/>
                <w:b w:val="1"/>
                <w:bCs w:val="1"/>
                <w:color w:val="auto"/>
              </w:rPr>
              <w:t>Three Months Ended March 31,</w:t>
            </w:r>
          </w:p>
        </w:tc>
        <w:tc>
          <w:tcPr>
            <w:tcW w:w="320" w:type="dxa"/>
            <w:vAlign w:val="bottom"/>
          </w:tcPr>
          <w:p>
            <w:pPr>
              <w:spacing w:after="0"/>
              <w:rPr>
                <w:sz w:val="17"/>
                <w:szCs w:val="17"/>
                <w:color w:val="auto"/>
              </w:rPr>
            </w:pPr>
          </w:p>
        </w:tc>
        <w:tc>
          <w:tcPr>
            <w:tcW w:w="1440" w:type="dxa"/>
            <w:vAlign w:val="bottom"/>
            <w:gridSpan w:val="2"/>
            <w:vMerge w:val="restart"/>
          </w:tcPr>
          <w:p>
            <w:pPr>
              <w:jc w:val="right"/>
              <w:ind w:right="6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55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572"/>
              <w:spacing w:after="0" w:line="183" w:lineRule="exact"/>
              <w:rPr>
                <w:sz w:val="20"/>
                <w:szCs w:val="20"/>
                <w:color w:val="auto"/>
              </w:rPr>
            </w:pPr>
            <w:r>
              <w:rPr>
                <w:rFonts w:ascii="Arial" w:cs="Arial" w:eastAsia="Arial" w:hAnsi="Arial"/>
                <w:sz w:val="16"/>
                <w:szCs w:val="16"/>
                <w:b w:val="1"/>
                <w:bCs w:val="1"/>
                <w:color w:val="auto"/>
              </w:rPr>
              <w:t>2026</w:t>
            </w:r>
          </w:p>
        </w:tc>
        <w:tc>
          <w:tcPr>
            <w:tcW w:w="3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551"/>
              <w:spacing w:after="0" w:line="183" w:lineRule="exact"/>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140"/>
              <w:spacing w:after="0" w:line="202" w:lineRule="exact"/>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27,265</w:t>
            </w:r>
          </w:p>
        </w:tc>
        <w:tc>
          <w:tcPr>
            <w:tcW w:w="30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25,969</w:t>
            </w:r>
          </w:p>
        </w:tc>
        <w:tc>
          <w:tcPr>
            <w:tcW w:w="3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In-process research and development</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150,000</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Borders>
              <w:bottom w:val="single" w:sz="8" w:color="CFF0FC"/>
            </w:tcBorders>
          </w:tcPr>
          <w:p>
            <w:pPr>
              <w:ind w:left="140"/>
              <w:spacing w:after="0" w:line="202" w:lineRule="exact"/>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10,646</w:t>
            </w:r>
          </w:p>
        </w:tc>
        <w:tc>
          <w:tcPr>
            <w:tcW w:w="3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9,661</w:t>
            </w:r>
          </w:p>
        </w:tc>
        <w:tc>
          <w:tcPr>
            <w:tcW w:w="30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187,911</w:t>
            </w:r>
          </w:p>
        </w:tc>
        <w:tc>
          <w:tcPr>
            <w:tcW w:w="3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35,630</w:t>
            </w:r>
          </w:p>
        </w:tc>
        <w:tc>
          <w:tcPr>
            <w:tcW w:w="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152,281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80" w:type="dxa"/>
            <w:vAlign w:val="bottom"/>
          </w:tcPr>
          <w:p>
            <w:pPr>
              <w:spacing w:after="0" w:line="196" w:lineRule="exact"/>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7"/>
                <w:szCs w:val="17"/>
                <w:color w:val="auto"/>
              </w:rPr>
            </w:pPr>
          </w:p>
        </w:tc>
        <w:tc>
          <w:tcPr>
            <w:tcW w:w="16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(187,911)</w:t>
            </w:r>
          </w:p>
        </w:tc>
        <w:tc>
          <w:tcPr>
            <w:tcW w:w="360" w:type="dxa"/>
            <w:vAlign w:val="bottom"/>
          </w:tcPr>
          <w:p>
            <w:pPr>
              <w:spacing w:after="0"/>
              <w:rPr>
                <w:sz w:val="17"/>
                <w:szCs w:val="17"/>
                <w:color w:val="auto"/>
              </w:rPr>
            </w:pPr>
          </w:p>
        </w:tc>
        <w:tc>
          <w:tcPr>
            <w:tcW w:w="15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(35,630)</w:t>
            </w:r>
          </w:p>
        </w:tc>
        <w:tc>
          <w:tcPr>
            <w:tcW w:w="320" w:type="dxa"/>
            <w:vAlign w:val="bottom"/>
          </w:tcPr>
          <w:p>
            <w:pPr>
              <w:spacing w:after="0"/>
              <w:rPr>
                <w:sz w:val="17"/>
                <w:szCs w:val="17"/>
                <w:color w:val="auto"/>
              </w:rPr>
            </w:pPr>
          </w:p>
        </w:tc>
        <w:tc>
          <w:tcPr>
            <w:tcW w:w="14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(152,281)</w:t>
            </w:r>
          </w:p>
        </w:tc>
        <w:tc>
          <w:tcPr>
            <w:tcW w:w="0" w:type="dxa"/>
            <w:vAlign w:val="bottom"/>
          </w:tcPr>
          <w:p>
            <w:pPr>
              <w:spacing w:after="0"/>
              <w:rPr>
                <w:sz w:val="1"/>
                <w:szCs w:val="1"/>
                <w:color w:val="auto"/>
              </w:rPr>
            </w:pPr>
          </w:p>
        </w:tc>
      </w:tr>
      <w:tr>
        <w:trPr>
          <w:trHeight w:val="203"/>
        </w:trPr>
        <w:tc>
          <w:tcPr>
            <w:tcW w:w="5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other income (expense), net</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4,471</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4,664</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tcPr>
          <w:p>
            <w:pPr>
              <w:spacing w:after="0" w:line="182" w:lineRule="exact"/>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(183,440)</w:t>
            </w:r>
          </w:p>
        </w:tc>
        <w:tc>
          <w:tcPr>
            <w:tcW w:w="360" w:type="dxa"/>
            <w:vAlign w:val="bottom"/>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(30,966)</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(152,474)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4587240</wp:posOffset>
            </wp:positionH>
            <wp:positionV relativeFrom="paragraph">
              <wp:posOffset>-577850</wp:posOffset>
            </wp:positionV>
            <wp:extent cx="93980" cy="1708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-577850</wp:posOffset>
            </wp:positionV>
            <wp:extent cx="93980" cy="1708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-577850</wp:posOffset>
            </wp:positionV>
            <wp:extent cx="93980" cy="1708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-162560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-162560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9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Research and development expenses were $ 27.3 million for the three months ended March 31, 2026 compared to $26.0 million for the three months ended March 31, 2025. The increase of $1.3 million was primarily driven by increases of $1.7 million in personnel costs, including stock-based compensation expense, and $1.0 million in expenses incurred in connection with clinical trials, preclinical studies, and discovery activities, partially offset by decreases of $1.1 million in outsourced services and consulting fees and $0.4 million in facilities-related expenses and depreciation.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 expenses</w:t>
      </w:r>
    </w:p>
    <w:p>
      <w:pPr>
        <w:spacing w:after="0" w:line="198"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In-process research and development expenses were $150.0 million for the three months ended March 31, 2026 compared to $0 for the three months ended March 31, 2025. In-process research and development expenses for the three months ended March 31, 2026 were related to our exercise of the option to expand our territory under the license agreement with Joyo.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98"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General and administrative expenses were $10.6 million for the three months ended March 31, 2026 compared to $9.7 million for the three months ended March 31, 2025. The increase of $1.0 million was primarily driven by an increase of $0.9 million in personnel costs, including stock-based compensation expense.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98"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Other income (expense), net was $4.5 million for the three months ended March 31, 2026 compared to $4.7 million for the three months ended March 31, 2025. The decrease of $0.2 million was primarily related to a decrease in interest earned on our cash, cash equivalents, and marketable securities during the three months ended March 31, 2026.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19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July 2021, we completed our IPO and issued 21,562,500 shares of our common stock, including the exercise in full by the underwriters of their option to purchase 2,812,500 shares of our common stock, at a price to the public of $16.00 per share. Our aggregate net proceeds from the offering were $ 317.0 million, net of underwriting discounts and commissions of $24.2 million and offering costs of $3.8 million. Prior to the IPO, we received aggregate gross proceeds of $320.4 million from the sale of shares of our convertible preferred stock.</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December 2022, we completed the 2022 Offering and issued 15,384,616 shares of our common stock at a price to the public of $6.50 per share. Proceeds from the 2022 Offering were $94.9 million, net of underwriting discounts and commissions and offering costs of $5.1 million.</w:t>
      </w:r>
    </w:p>
    <w:p>
      <w:pPr>
        <w:spacing w:after="0" w:line="140"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color w:val="auto"/>
        </w:rPr>
        <w:t>In March 2024, in connection with the 2024 Private Placement, we entered into a stock purchase agreement with the purchasers named therein for the private placement of 21,844,660 shares of our common stock at a price of $2.06 per share, which closed on April 2, 2024. Proceeds from the 2024 Private Placement were $43.6 million, net of placement agent fees and expenses of approximately $1.4 million.</w:t>
      </w:r>
    </w:p>
    <w:p>
      <w:pPr>
        <w:spacing w:after="0" w:line="15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May 2024, we completed the 2024 Offering and issued 99,459,458 shares of our common stock, including the exercise in full by the underwriters of their option to purchase 12,972,972 shares of our common stock, at a price to the public of $1.85 per share. Proceeds from the 2024 Offering were $174.4 million, net of underwriting discounts and commissions and offering costs of $9.6 million.</w:t>
      </w:r>
    </w:p>
    <w:p>
      <w:pPr>
        <w:spacing w:after="0" w:line="15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August 2022, we entered into the Sale Agreement with the Agent, pursuant to which we could offer and sell shares of our common stock having an aggregate offering price of up to $200 million from time to time, in an ATM Program through the Agent. Sales of the shares of common stock were made at prevailing market prices at the time of sale, or as otherwise agreed with the Agent. Pursuant to the Sale Agreement, the Agent received a commission from us of up to 3.0% of the gross proceeds of shares of common stock sold under the Sale Agreement. During the year ended December 31, 2024, we sold 9,231,114 shares of our common stock under the Sale Agreement at a weighted-average price of $2.37 per share. Proceeds from the ATM Program during the year ended December 31, 2024 were $21.0 million, net of commissions and expenses of $0.8 million.</w:t>
      </w:r>
    </w:p>
    <w:p>
      <w:pPr>
        <w:spacing w:after="0" w:line="17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In August 2025, we entered into the 2025 Sale Agreement with the Agent, pursuant to which we may offer and sell shares of our common stock having an aggregate offering price of up to $200 million from time to time, in ATM Program through the Agent. Sales of the shares of common stock, if any, will be made at prevailing market prices at the time of sale, or as otherwise agreed with the Agent. The Agent will receive a commission from us of up to 3.0% of the gross proceeds of any shares of common stock sold under the 2025 Sale Agreement. As of March 31, 2026, we had $200.0 million of shares available for sale under the ATM Program.</w:t>
      </w:r>
    </w:p>
    <w:p>
      <w:pPr>
        <w:spacing w:after="0" w:line="163"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In January 2026, we completed the sale and issuance of 25,875,000 shares of our common stock, including the exercise in full by the underwriters of their option to purchase 3,375,000 shares of our common stock, at a price to the public of $10.00 per share. Our aggregate net proceeds from the January 2026 Offering were $242.7 million, net of underwriting discounts and commissions of $15.5 million and offering costs of $0.5 million.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5"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Future capital requirements</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As of March 31, 2026, we had cash, cash equivalents, and marketable securities of $408.5 million. Based upon our current operating plans, we believe that our cash, cash equivalents, and marketable securities will be sufficient to fund our operations into the second half of 2028.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 but not limited to:</w:t>
      </w:r>
    </w:p>
    <w:p>
      <w:pPr>
        <w:spacing w:after="0" w:line="104" w:lineRule="exact"/>
        <w:rPr>
          <w:sz w:val="20"/>
          <w:szCs w:val="20"/>
          <w:color w:val="auto"/>
        </w:rPr>
      </w:pPr>
    </w:p>
    <w:p>
      <w:pPr>
        <w:ind w:left="1020" w:right="300" w:hanging="503"/>
        <w:spacing w:after="0" w:line="25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type, number, scope, progress, expansions, results, costs and timing of discovery, preclinical studies, and clinical trials of our product candidates that we are pursuing or may choose to pursue in the future, including the costs of any third-party products used in our combination clinical trials that are not covered by such third party or other sources;</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manufacturing for our product candidates with CMOs, including commercial manufacturing, if any product candidate is approved;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16" w:lineRule="exact"/>
        <w:rPr>
          <w:rFonts w:ascii="Times New Roman" w:cs="Times New Roman" w:eastAsia="Times New Roman" w:hAnsi="Times New Roman"/>
          <w:sz w:val="18"/>
          <w:szCs w:val="18"/>
          <w:color w:val="auto"/>
        </w:rPr>
      </w:pPr>
    </w:p>
    <w:p>
      <w:pPr>
        <w:ind w:left="1020" w:right="74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hiring additional personnel, consultants, and CROs as our preclinical and clinical activities increase;</w:t>
      </w:r>
    </w:p>
    <w:p>
      <w:pPr>
        <w:spacing w:after="0" w:line="116"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amount of the milestone or other payments we must make to the licensors and other third parties from whom we have in-licensed our product candidates or technologies;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w:t>
      </w:r>
    </w:p>
    <w:p>
      <w:pPr>
        <w:spacing w:after="0" w:line="116" w:lineRule="exact"/>
        <w:rPr>
          <w:rFonts w:ascii="Times New Roman" w:cs="Times New Roman" w:eastAsia="Times New Roman" w:hAnsi="Times New Roman"/>
          <w:sz w:val="18"/>
          <w:szCs w:val="18"/>
          <w:color w:val="auto"/>
        </w:rPr>
      </w:pPr>
    </w:p>
    <w:p>
      <w:pPr>
        <w:ind w:left="1020" w:right="74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and timing of establishing and maintaining collaborations, licenses, and other similar arrangements;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any delays and cost increases that result from geopolitical and economic events;</w:t>
      </w:r>
    </w:p>
    <w:p>
      <w:pPr>
        <w:spacing w:after="0" w:line="116" w:lineRule="exact"/>
        <w:rPr>
          <w:rFonts w:ascii="Times New Roman" w:cs="Times New Roman" w:eastAsia="Times New Roman" w:hAnsi="Times New Roman"/>
          <w:sz w:val="18"/>
          <w:szCs w:val="18"/>
          <w:color w:val="auto"/>
        </w:rPr>
      </w:pPr>
    </w:p>
    <w:p>
      <w:pPr>
        <w:ind w:left="1020" w:right="24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evolving government regulation that impacts the way we operate, including the potential negative effects of changes in United States tariff and import/export regulations;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21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have no other committed sources of capital. Until we can generate a sufficient amount of product revenue to finance our cash requirements, if ever, we expect to finance our future cash needs primarily through equity offerings (including through the 2025 Sale Agreement),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licensing, or other similar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research and development programs or other operations, or grant rights to develop and market product candidates to third parties that we would otherwise prefer to develop and market ourselves.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periods presented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6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6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53"/>
              <w:spacing w:after="0" w:line="183" w:lineRule="exact"/>
              <w:rPr>
                <w:sz w:val="20"/>
                <w:szCs w:val="20"/>
                <w:color w:val="auto"/>
              </w:rPr>
            </w:pPr>
            <w:r>
              <w:rPr>
                <w:rFonts w:ascii="Arial" w:cs="Arial" w:eastAsia="Arial" w:hAnsi="Arial"/>
                <w:sz w:val="16"/>
                <w:szCs w:val="16"/>
                <w:b w:val="1"/>
                <w:bCs w:val="1"/>
                <w:color w:val="auto"/>
              </w:rPr>
              <w:t>2026</w:t>
            </w:r>
          </w:p>
        </w:tc>
        <w:tc>
          <w:tcPr>
            <w:tcW w:w="3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572"/>
              <w:spacing w:after="0" w:line="183" w:lineRule="exact"/>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5"/>
                <w:szCs w:val="15"/>
                <w:color w:val="auto"/>
              </w:rPr>
            </w:pPr>
          </w:p>
        </w:tc>
      </w:tr>
      <w:tr>
        <w:trPr>
          <w:trHeight w:val="196"/>
        </w:trPr>
        <w:tc>
          <w:tcPr>
            <w:tcW w:w="6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9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60" w:type="dxa"/>
            <w:vAlign w:val="bottom"/>
          </w:tcPr>
          <w:p>
            <w:pPr>
              <w:ind w:left="160"/>
              <w:spacing w:after="0" w:line="202" w:lineRule="exact"/>
              <w:rPr>
                <w:sz w:val="20"/>
                <w:szCs w:val="20"/>
                <w:color w:val="auto"/>
              </w:rPr>
            </w:pPr>
            <w:r>
              <w:rPr>
                <w:rFonts w:ascii="Arial" w:cs="Arial" w:eastAsia="Arial" w:hAnsi="Arial"/>
                <w:sz w:val="18"/>
                <w:szCs w:val="18"/>
                <w:color w:val="auto"/>
              </w:rPr>
              <w:t>Operating activities</w:t>
            </w:r>
          </w:p>
        </w:tc>
        <w:tc>
          <w:tcPr>
            <w:tcW w:w="132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(27,383)</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(31,555)</w:t>
            </w:r>
          </w:p>
        </w:tc>
      </w:tr>
      <w:tr>
        <w:trPr>
          <w:trHeight w:val="203"/>
        </w:trPr>
        <w:tc>
          <w:tcPr>
            <w:tcW w:w="65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Investing activities</w:t>
            </w:r>
          </w:p>
        </w:tc>
        <w:tc>
          <w:tcPr>
            <w:tcW w:w="9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(243,830)</w:t>
            </w:r>
          </w:p>
        </w:tc>
        <w:tc>
          <w:tcPr>
            <w:tcW w:w="3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34,265</w:t>
            </w:r>
          </w:p>
        </w:tc>
      </w:tr>
      <w:tr>
        <w:trPr>
          <w:trHeight w:val="203"/>
        </w:trPr>
        <w:tc>
          <w:tcPr>
            <w:tcW w:w="6560" w:type="dxa"/>
            <w:vAlign w:val="bottom"/>
          </w:tcPr>
          <w:p>
            <w:pPr>
              <w:ind w:left="160"/>
              <w:spacing w:after="0" w:line="202" w:lineRule="exact"/>
              <w:rPr>
                <w:sz w:val="20"/>
                <w:szCs w:val="20"/>
                <w:color w:val="auto"/>
              </w:rPr>
            </w:pPr>
            <w:r>
              <w:rPr>
                <w:rFonts w:ascii="Arial" w:cs="Arial" w:eastAsia="Arial" w:hAnsi="Arial"/>
                <w:sz w:val="18"/>
                <w:szCs w:val="18"/>
                <w:color w:val="auto"/>
              </w:rPr>
              <w:t>Financing activities</w:t>
            </w: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244,664</w:t>
            </w:r>
          </w:p>
        </w:tc>
        <w:tc>
          <w:tcPr>
            <w:tcW w:w="380" w:type="dxa"/>
            <w:vAlign w:val="bottom"/>
          </w:tcPr>
          <w:p>
            <w:pPr>
              <w:spacing w:after="0"/>
              <w:rPr>
                <w:sz w:val="17"/>
                <w:szCs w:val="17"/>
                <w:color w:val="auto"/>
              </w:rPr>
            </w:pPr>
          </w:p>
        </w:tc>
        <w:tc>
          <w:tcPr>
            <w:tcW w:w="13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w:t>
            </w:r>
          </w:p>
        </w:tc>
      </w:tr>
      <w:tr>
        <w:trPr>
          <w:trHeight w:val="20"/>
        </w:trPr>
        <w:tc>
          <w:tcPr>
            <w:tcW w:w="6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5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(decrease) increase in cash, cash equivalents, and restricted cash</w:t>
            </w: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240"/>
              <w:spacing w:after="0" w:line="182" w:lineRule="exact"/>
              <w:rPr>
                <w:sz w:val="20"/>
                <w:szCs w:val="20"/>
                <w:color w:val="auto"/>
              </w:rPr>
            </w:pPr>
            <w:r>
              <w:rPr>
                <w:rFonts w:ascii="Arial" w:cs="Arial" w:eastAsia="Arial" w:hAnsi="Arial"/>
                <w:sz w:val="18"/>
                <w:szCs w:val="18"/>
                <w:color w:val="auto"/>
              </w:rPr>
              <w:t>(26,549)</w:t>
            </w:r>
          </w:p>
        </w:tc>
        <w:tc>
          <w:tcPr>
            <w:tcW w:w="380" w:type="dxa"/>
            <w:vAlign w:val="bottom"/>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2,743</w:t>
            </w: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Cash used in operating activities was $27.4 million during the three months ended March 31, 2026, primarily resulting from a net loss of $183.4 million, changes in operating assets and liabilities of $2.3 million, and accretion on marketable securities of $ 0.7 million, partially reduced by in-process research and development expenses of $150.0 million related to our exercise of the option to expand our territory under the license agreement with Joyo which are reflected in investing activities, stock-based compensation expense of $8.5 million, and depreciation and amortization expense of $0.7 million. Net cash used from changes in operating assets and liabilities consisted primarily of a decrease in accrued expenses and other current and long-term liabilities of $3.3 million, partially offset by an increase in accounts payable of $1.2 million.</w:t>
      </w:r>
    </w:p>
    <w:p>
      <w:pPr>
        <w:spacing w:after="0" w:line="171" w:lineRule="exact"/>
        <w:rPr>
          <w:sz w:val="20"/>
          <w:szCs w:val="20"/>
          <w:color w:val="auto"/>
        </w:rPr>
      </w:pPr>
    </w:p>
    <w:p>
      <w:pPr>
        <w:ind w:right="360"/>
        <w:spacing w:after="0" w:line="244" w:lineRule="auto"/>
        <w:rPr>
          <w:sz w:val="20"/>
          <w:szCs w:val="20"/>
          <w:color w:val="auto"/>
        </w:rPr>
      </w:pPr>
      <w:r>
        <w:rPr>
          <w:rFonts w:ascii="Arial" w:cs="Arial" w:eastAsia="Arial" w:hAnsi="Arial"/>
          <w:sz w:val="18"/>
          <w:szCs w:val="18"/>
          <w:color w:val="auto"/>
        </w:rPr>
        <w:t>Cash used in operating activities was $31.6 million during the three months ended March 31, 2025, primarily resulting from a net loss of $31.0 million, changes in operating assets and liabilities of $6.1 million, and accretion on marketable securities of $2.0 million, partially reduced by stock-based compensation expense of $6.7 million and depreciation and amortization expense of $0.8 million. Net cash used from changes in operating assets and liabilities consisted primarily of a decrease in accrued expenses and other current and long-term liabilities of $8.0 million, partially offset by an increase in accounts payable of $1.8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Net cash used in investing activities was $243.8 million during the three months ended March 31, 2026 as compared to net cash provided by investing activities of $34.3 million during the three months ended March 31, 2025. The increase in cash used in investing activities of $278.1 million was primarily the result of increases in purchases of marketable securities of $242.5 million and in-process research and development of $150.0 million, partially offset by increases in sales of marketable securities of $100.8 million and maturities of marketable securities of $13.6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98"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Net cash provided by financing activities was $244.7 million during the three months ended March 31, 2026 and less than $ 0.1 million during the three months ended March 31, 2025. During the three months ended March 31, 2026, we received $242.7 million in net proceeds for the issuance of common stock from the 2026 Offering and $2.0 million from the exercise of stock options.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98"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As of March 31, 2026, there have been no material changes outside the ordinary course of our business to the contractual obligations we reported in “Management’s discussion and analysis of financial condition and results of operations – Cash requirements due to contractual obligations and other commitments,” included in our Annual Report on Form 10-K for the year ended December 31, 2025 filed with the SEC on March 12, 2026.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This management discussion and analysis of financial condition and results of operations is based on our condensed consolidated financial statements, which have been prepared in accordance with US GAAP. The preparation of these condensed consolidated financial statements requires us to make estimates and judgments that affect the reported amounts of assets, liabilities, revenue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revenue and expenses that are not readily apparent from other sources. Actual results may differ materially from these estimates. As of March 31, 2026, there have been no material changes to our critical accounting policies and estimates from those disclosed in “Management’s discussion and analysis of financial condition and results of operations – Critical accounting policies and estimates,” included in our Annual Report on Form 10-K for the year ended December 31, 2025 filed with the SEC on March 12, 2026.</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See Note 2 to our condensed consolidated financial statements included elsewhere in this Quarterly Report on Form 10-Q for recently issued and adopted accounting pronouncements.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As an emerging growth company under the Jumpstart Our Business Startups Act of 2012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our condensed consolidated financial statements may not be comparable to companies that comply with new or revised accounting pronouncements as of public company effective dates. We also intend to rely on other exemptions provided by the JOBS Act, including without limitation, not being required to comply with the auditor attestation requirements of Section 404(b) of the Sarbanes-Oxley Act of 2002 (Sarbanes-Oxley).</w:t>
      </w:r>
    </w:p>
    <w:p>
      <w:pPr>
        <w:spacing w:after="0" w:line="17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6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As of March 31, 2026,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our Annual Report on Form 10-K for the year ended December 31, 2025 filed with the SEC on March 12, 2026.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5"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6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have concluded that, as of March 31, 2026, our disclosure controls and procedures were effective at the reasonable assurance level.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2026 that have materially affected, or are reasonably likely to materially affect, our internal control over financial reporting.</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95" w:right="41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are not currently a party to any material proceedings. From time to time, we may become involved in legal proceedings or be subject to claims arising in the ordinary course of our business. Regardless of outcome, such proceedings or claims can have an adverse impact on us because of defense and settlement costs, diversion of resources and other factors, and there can be no assurances that favorable outcomes will be obtained.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There have been no material changes to the risk factors set forth in Part I, Item 1A of our Annual Report on Form 10-K for the year ended December 31, 2025 filed with the SEC on March 12, 2026, other than as set forth below.</w:t>
      </w:r>
    </w:p>
    <w:p>
      <w:pPr>
        <w:spacing w:after="0" w:line="14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violations against us or our collaborators may negatively impact our business, including the prevention or delay of the development and commercialization of our product candidates.</w:t>
      </w:r>
    </w:p>
    <w:p>
      <w:pPr>
        <w:spacing w:after="0" w:line="14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April 24, 2026, we received a letter from legal counsel for Revolution Medicines, Inc. (RevMed). In the letter, RevMed alleged that (1) ERAS-0015 is “substantially equivalent” to certain compositions claimed in RevMed’s U.S. Patent No. 12,409,225 (the ‘225 Patent) and that ERAS-0015 infringes the ‘225 Patent under the doctrine of equivalents; (2) a third party misappropriated RevMed’s alleged trade secrets in connection with a patent relating to ERAS-0015, and that we are allegedly liable under the trade secret laws as a licensee; and (3) we have improperly compared preclinical data of ERAS-0015 and RMC-6236 in public disclosures. RevMed demanded that, among other things, we immediately cease all making, using, offering for sale, selling, and importation of ERAS-0015 in the United States for any purpose not protected by the Hatch-Waxman safe harbor and cease making any deceptive and untrue comparative statements comparing ERAS-0015 and RMC-6236. Although we believe such claims are without merit and intend to defend our position vigorously, RevMed may seek to initiate litigation against us. Any such proceedings could result in determinations that are materially adverse to us, including findings that RevMed's patents are valid, enforceable, and infringed by us or that ERAS-0015 was derived from RevMed's trade secrets. While we believe that we have strong defenses, litigation is inherently uncertain and may involve substantial costs and diversion of management’s attention. In the event of a successful claim of infringement or derivation against us, remedies could include injunctive relief or monetary damages, which could have a material adverse effect on our business, financial condition, results of operations, and prospects. In addition, we may be required to obtain licenses, modify our products or processes, or otherwise adjust our development or commercialization plans. We believe there are multiple potential pathways to address such outcomes, including licenses or other strategic alternatives; however, there can be no assurance as to the availability or terms of any such options. Any of these developments, if they were to occur, could have a materially adverse effect on our business, financial condition, results of operations, or prospects.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5"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three months ended March 31, 2026, none of our officers (as defined in Rule 16a–1(f)) or directors adopted, materially modified or terminated any Rule 10b5-1 trading arrangement or non-Rule 10b5-1 trading arrangement, as each such term is defined in Item 408 of Regulation S-K.</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900" w:type="dxa"/>
            <w:vAlign w:val="bottom"/>
            <w:tcBorders>
              <w:bottom w:val="single" w:sz="8" w:color="auto"/>
            </w:tcBorders>
            <w:gridSpan w:val="17"/>
          </w:tcPr>
          <w:p>
            <w:pPr>
              <w:ind w:left="154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55"/>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3"/>
                <w:szCs w:val="13"/>
                <w:color w:val="auto"/>
              </w:rPr>
            </w:pPr>
          </w:p>
        </w:tc>
        <w:tc>
          <w:tcPr>
            <w:tcW w:w="5340" w:type="dxa"/>
            <w:vAlign w:val="bottom"/>
            <w:gridSpan w:val="19"/>
            <w:vMerge w:val="restart"/>
          </w:tcPr>
          <w:p>
            <w:pPr>
              <w:spacing w:after="0"/>
              <w:rPr>
                <w:rFonts w:ascii="Arial" w:cs="Arial" w:eastAsia="Arial" w:hAnsi="Arial"/>
                <w:sz w:val="18"/>
                <w:szCs w:val="18"/>
                <w:color w:val="0000FF"/>
              </w:rPr>
            </w:pPr>
            <w:hyperlink r:id="rId184">
              <w:r>
                <w:rPr>
                  <w:rFonts w:ascii="Arial" w:cs="Arial" w:eastAsia="Arial" w:hAnsi="Arial"/>
                  <w:sz w:val="18"/>
                  <w:szCs w:val="18"/>
                  <w:color w:val="0000FF"/>
                </w:rPr>
                <w:t>Amended and Restated Certificate of Incorporation of Erasca, Inc.</w:t>
              </w:r>
            </w:hyperlink>
          </w:p>
        </w:tc>
        <w:tc>
          <w:tcPr>
            <w:tcW w:w="40" w:type="dxa"/>
            <w:vAlign w:val="bottom"/>
          </w:tcPr>
          <w:p>
            <w:pPr>
              <w:spacing w:after="0"/>
              <w:rPr>
                <w:sz w:val="13"/>
                <w:szCs w:val="13"/>
                <w:color w:val="auto"/>
              </w:rPr>
            </w:pPr>
          </w:p>
        </w:tc>
        <w:tc>
          <w:tcPr>
            <w:tcW w:w="660" w:type="dxa"/>
            <w:vAlign w:val="bottom"/>
            <w:tcBorders>
              <w:bottom w:val="single" w:sz="8" w:color="auto"/>
            </w:tcBorders>
          </w:tcPr>
          <w:p>
            <w:pPr>
              <w:jc w:val="center"/>
              <w:ind w:left="93"/>
              <w:spacing w:after="0" w:line="155" w:lineRule="exact"/>
              <w:rPr>
                <w:sz w:val="20"/>
                <w:szCs w:val="20"/>
                <w:color w:val="auto"/>
              </w:rPr>
            </w:pPr>
            <w:r>
              <w:rPr>
                <w:rFonts w:ascii="Arial" w:cs="Arial" w:eastAsia="Arial" w:hAnsi="Arial"/>
                <w:sz w:val="14"/>
                <w:szCs w:val="14"/>
                <w:b w:val="1"/>
                <w:bCs w:val="1"/>
                <w:color w:val="auto"/>
              </w:rPr>
              <w:t>Form</w:t>
            </w:r>
          </w:p>
        </w:tc>
        <w:tc>
          <w:tcPr>
            <w:tcW w:w="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3"/>
                <w:szCs w:val="13"/>
                <w:color w:val="auto"/>
              </w:rPr>
            </w:pPr>
          </w:p>
        </w:tc>
        <w:tc>
          <w:tcPr>
            <w:tcW w:w="11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340" w:type="dxa"/>
            <w:vAlign w:val="bottom"/>
            <w:gridSpan w:val="19"/>
            <w:vMerge w:val="continue"/>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center"/>
              <w:ind w:left="93"/>
              <w:spacing w:after="0" w:line="169" w:lineRule="exact"/>
              <w:rPr>
                <w:sz w:val="20"/>
                <w:szCs w:val="20"/>
                <w:color w:val="auto"/>
              </w:rPr>
            </w:pPr>
            <w:r>
              <w:rPr>
                <w:rFonts w:ascii="Arial" w:cs="Arial" w:eastAsia="Arial" w:hAnsi="Arial"/>
                <w:sz w:val="18"/>
                <w:szCs w:val="18"/>
                <w:color w:val="auto"/>
                <w:w w:val="99"/>
              </w:rPr>
              <w:t>8-K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line="169" w:lineRule="exact"/>
              <w:rPr>
                <w:sz w:val="20"/>
                <w:szCs w:val="20"/>
                <w:color w:val="auto"/>
              </w:rPr>
            </w:pPr>
            <w:r>
              <w:rPr>
                <w:rFonts w:ascii="Arial" w:cs="Arial" w:eastAsia="Arial" w:hAnsi="Arial"/>
                <w:sz w:val="18"/>
                <w:szCs w:val="18"/>
                <w:color w:val="auto"/>
                <w:w w:val="99"/>
              </w:rPr>
              <w:t>7/20/2021</w:t>
            </w:r>
          </w:p>
        </w:tc>
        <w:tc>
          <w:tcPr>
            <w:tcW w:w="120" w:type="dxa"/>
            <w:vAlign w:val="bottom"/>
          </w:tcPr>
          <w:p>
            <w:pPr>
              <w:spacing w:after="0"/>
              <w:rPr>
                <w:sz w:val="14"/>
                <w:szCs w:val="14"/>
                <w:color w:val="auto"/>
              </w:rPr>
            </w:pPr>
          </w:p>
        </w:tc>
        <w:tc>
          <w:tcPr>
            <w:tcW w:w="1100" w:type="dxa"/>
            <w:vAlign w:val="bottom"/>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15"/>
                <w:szCs w:val="15"/>
                <w:color w:val="auto"/>
              </w:rPr>
            </w:pPr>
          </w:p>
        </w:tc>
        <w:tc>
          <w:tcPr>
            <w:tcW w:w="530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185">
              <w:r>
                <w:rPr>
                  <w:rFonts w:ascii="Arial" w:cs="Arial" w:eastAsia="Arial" w:hAnsi="Arial"/>
                  <w:sz w:val="18"/>
                  <w:szCs w:val="18"/>
                  <w:color w:val="0000FF"/>
                </w:rPr>
                <w:t>Amended and Restated Bylaws of Erasca,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center"/>
              <w:ind w:left="93"/>
              <w:spacing w:after="0" w:line="182" w:lineRule="exact"/>
              <w:rPr>
                <w:sz w:val="20"/>
                <w:szCs w:val="20"/>
                <w:color w:val="auto"/>
              </w:rPr>
            </w:pPr>
            <w:r>
              <w:rPr>
                <w:rFonts w:ascii="Arial" w:cs="Arial" w:eastAsia="Arial" w:hAnsi="Arial"/>
                <w:sz w:val="18"/>
                <w:szCs w:val="18"/>
                <w:color w:val="auto"/>
                <w:w w:val="99"/>
              </w:rPr>
              <w:t>8-K</w:t>
            </w:r>
          </w:p>
        </w:tc>
        <w:tc>
          <w:tcPr>
            <w:tcW w:w="1420" w:type="dxa"/>
            <w:vAlign w:val="bottom"/>
            <w:gridSpan w:val="3"/>
          </w:tcPr>
          <w:p>
            <w:pPr>
              <w:jc w:val="center"/>
              <w:ind w:left="214"/>
              <w:spacing w:after="0" w:line="182" w:lineRule="exact"/>
              <w:rPr>
                <w:sz w:val="20"/>
                <w:szCs w:val="20"/>
                <w:color w:val="auto"/>
              </w:rPr>
            </w:pPr>
            <w:r>
              <w:rPr>
                <w:rFonts w:ascii="Arial" w:cs="Arial" w:eastAsia="Arial" w:hAnsi="Arial"/>
                <w:sz w:val="18"/>
                <w:szCs w:val="18"/>
                <w:color w:val="auto"/>
                <w:w w:val="99"/>
              </w:rPr>
              <w:t>7/20/2021</w:t>
            </w:r>
          </w:p>
        </w:tc>
        <w:tc>
          <w:tcPr>
            <w:tcW w:w="1220" w:type="dxa"/>
            <w:vAlign w:val="bottom"/>
            <w:gridSpan w:val="2"/>
          </w:tcPr>
          <w:p>
            <w:pPr>
              <w:jc w:val="center"/>
              <w:ind w:left="10"/>
              <w:spacing w:after="0" w:line="182" w:lineRule="exact"/>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5"/>
              </w:rPr>
              <w:t>4.1</w:t>
            </w: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restart"/>
          </w:tcPr>
          <w:p>
            <w:pPr>
              <w:jc w:val="center"/>
              <w:ind w:left="93"/>
              <w:spacing w:after="0" w:line="202" w:lineRule="exact"/>
              <w:rPr>
                <w:sz w:val="20"/>
                <w:szCs w:val="20"/>
                <w:color w:val="auto"/>
              </w:rPr>
            </w:pPr>
            <w:r>
              <w:rPr>
                <w:rFonts w:ascii="Arial" w:cs="Arial" w:eastAsia="Arial" w:hAnsi="Arial"/>
                <w:sz w:val="18"/>
                <w:szCs w:val="18"/>
                <w:color w:val="auto"/>
                <w:w w:val="99"/>
              </w:rPr>
              <w:t>S-1</w:t>
            </w:r>
          </w:p>
        </w:tc>
        <w:tc>
          <w:tcPr>
            <w:tcW w:w="1420" w:type="dxa"/>
            <w:vAlign w:val="bottom"/>
            <w:gridSpan w:val="3"/>
            <w:vMerge w:val="restart"/>
          </w:tcPr>
          <w:p>
            <w:pPr>
              <w:jc w:val="center"/>
              <w:ind w:left="214"/>
              <w:spacing w:after="0" w:line="202" w:lineRule="exact"/>
              <w:rPr>
                <w:sz w:val="20"/>
                <w:szCs w:val="20"/>
                <w:color w:val="auto"/>
              </w:rPr>
            </w:pPr>
            <w:r>
              <w:rPr>
                <w:rFonts w:ascii="Arial" w:cs="Arial" w:eastAsia="Arial" w:hAnsi="Arial"/>
                <w:sz w:val="18"/>
                <w:szCs w:val="18"/>
                <w:color w:val="auto"/>
                <w:w w:val="99"/>
              </w:rPr>
              <w:t>6/25/2021</w:t>
            </w:r>
          </w:p>
        </w:tc>
        <w:tc>
          <w:tcPr>
            <w:tcW w:w="1220" w:type="dxa"/>
            <w:vAlign w:val="bottom"/>
            <w:gridSpan w:val="2"/>
            <w:vMerge w:val="restart"/>
          </w:tcPr>
          <w:p>
            <w:pPr>
              <w:jc w:val="center"/>
              <w:ind w:left="10"/>
              <w:spacing w:after="0" w:line="202" w:lineRule="exact"/>
              <w:rPr>
                <w:sz w:val="20"/>
                <w:szCs w:val="20"/>
                <w:color w:val="auto"/>
              </w:rPr>
            </w:pPr>
            <w:r>
              <w:rPr>
                <w:rFonts w:ascii="Arial" w:cs="Arial" w:eastAsia="Arial" w:hAnsi="Arial"/>
                <w:sz w:val="18"/>
                <w:szCs w:val="18"/>
                <w:color w:val="auto"/>
                <w:w w:val="95"/>
              </w:rPr>
              <w:t>4.1</w:t>
            </w: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gridSpan w:val="19"/>
          </w:tcPr>
          <w:p>
            <w:pPr>
              <w:spacing w:after="0" w:line="182" w:lineRule="exact"/>
              <w:rPr>
                <w:rFonts w:ascii="Arial" w:cs="Arial" w:eastAsia="Arial" w:hAnsi="Arial"/>
                <w:sz w:val="18"/>
                <w:szCs w:val="18"/>
                <w:color w:val="0000FF"/>
              </w:rPr>
            </w:pPr>
            <w:hyperlink r:id="rId186">
              <w:r>
                <w:rPr>
                  <w:rFonts w:ascii="Arial" w:cs="Arial" w:eastAsia="Arial" w:hAnsi="Arial"/>
                  <w:sz w:val="18"/>
                  <w:szCs w:val="18"/>
                  <w:color w:val="0000FF"/>
                </w:rPr>
                <w:t>Specimen stock certificate evidencing the shares of common</w:t>
              </w:r>
            </w:hyperlink>
          </w:p>
        </w:tc>
        <w:tc>
          <w:tcPr>
            <w:tcW w:w="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15"/>
                <w:szCs w:val="15"/>
                <w:color w:val="auto"/>
              </w:rPr>
            </w:pPr>
          </w:p>
        </w:tc>
        <w:tc>
          <w:tcPr>
            <w:tcW w:w="4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5"/>
              </w:rPr>
            </w:pPr>
            <w:hyperlink r:id="rId186">
              <w:r>
                <w:rPr>
                  <w:rFonts w:ascii="Arial" w:cs="Arial" w:eastAsia="Arial" w:hAnsi="Arial"/>
                  <w:sz w:val="18"/>
                  <w:szCs w:val="18"/>
                  <w:color w:val="0000FF"/>
                  <w:w w:val="95"/>
                </w:rPr>
                <w:t>stock</w:t>
              </w:r>
            </w:hyperlink>
          </w:p>
        </w:tc>
        <w:tc>
          <w:tcPr>
            <w:tcW w:w="20" w:type="dxa"/>
            <w:vAlign w:val="bottom"/>
            <w:tcBorders>
              <w:top w:val="single" w:sz="8" w:color="0000FF"/>
              <w:bottom w:val="single" w:sz="8" w:color="0000EE"/>
            </w:tcBorders>
          </w:tcPr>
          <w:p>
            <w:pPr>
              <w:spacing w:after="0"/>
              <w:rPr>
                <w:sz w:val="15"/>
                <w:szCs w:val="15"/>
                <w:color w:val="auto"/>
              </w:rPr>
            </w:pPr>
          </w:p>
        </w:tc>
        <w:tc>
          <w:tcPr>
            <w:tcW w:w="444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vMerge w:val="restart"/>
          </w:tcPr>
          <w:p>
            <w:pPr>
              <w:jc w:val="center"/>
              <w:ind w:left="93"/>
              <w:spacing w:after="0"/>
              <w:rPr>
                <w:sz w:val="20"/>
                <w:szCs w:val="20"/>
                <w:color w:val="auto"/>
              </w:rPr>
            </w:pPr>
            <w:r>
              <w:rPr>
                <w:rFonts w:ascii="Arial" w:cs="Arial" w:eastAsia="Arial" w:hAnsi="Arial"/>
                <w:sz w:val="18"/>
                <w:szCs w:val="18"/>
                <w:color w:val="auto"/>
                <w:w w:val="99"/>
              </w:rPr>
              <w:t>S-1</w:t>
            </w:r>
          </w:p>
        </w:tc>
        <w:tc>
          <w:tcPr>
            <w:tcW w:w="1420" w:type="dxa"/>
            <w:vAlign w:val="bottom"/>
            <w:gridSpan w:val="3"/>
            <w:vMerge w:val="restart"/>
          </w:tcPr>
          <w:p>
            <w:pPr>
              <w:jc w:val="center"/>
              <w:ind w:left="214"/>
              <w:spacing w:after="0"/>
              <w:rPr>
                <w:sz w:val="20"/>
                <w:szCs w:val="20"/>
                <w:color w:val="auto"/>
              </w:rPr>
            </w:pPr>
            <w:r>
              <w:rPr>
                <w:rFonts w:ascii="Arial" w:cs="Arial" w:eastAsia="Arial" w:hAnsi="Arial"/>
                <w:sz w:val="18"/>
                <w:szCs w:val="18"/>
                <w:color w:val="auto"/>
                <w:w w:val="99"/>
              </w:rPr>
              <w:t>6/25/2021</w:t>
            </w:r>
          </w:p>
        </w:tc>
        <w:tc>
          <w:tcPr>
            <w:tcW w:w="12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340" w:type="dxa"/>
            <w:vAlign w:val="bottom"/>
            <w:gridSpan w:val="19"/>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Amended and Restated Stockholders Agreement, dated April 15,</w:t>
              </w:r>
            </w:hyperlink>
          </w:p>
        </w:tc>
        <w:tc>
          <w:tcPr>
            <w:tcW w:w="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524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187">
              <w:r>
                <w:rPr>
                  <w:rFonts w:ascii="Arial" w:cs="Arial" w:eastAsia="Arial" w:hAnsi="Arial"/>
                  <w:sz w:val="18"/>
                  <w:szCs w:val="18"/>
                  <w:color w:val="0000FF"/>
                  <w:w w:val="99"/>
                </w:rPr>
                <w:t>2020, by and among the Registrant and certain of its stockholders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vMerge w:val="restart"/>
          </w:tcPr>
          <w:p>
            <w:pPr>
              <w:jc w:val="center"/>
              <w:ind w:left="93"/>
              <w:spacing w:after="0"/>
              <w:rPr>
                <w:sz w:val="20"/>
                <w:szCs w:val="20"/>
                <w:color w:val="auto"/>
              </w:rPr>
            </w:pPr>
            <w:r>
              <w:rPr>
                <w:rFonts w:ascii="Arial" w:cs="Arial" w:eastAsia="Arial" w:hAnsi="Arial"/>
                <w:sz w:val="18"/>
                <w:szCs w:val="18"/>
                <w:color w:val="auto"/>
                <w:w w:val="99"/>
              </w:rPr>
              <w:t>8-K</w:t>
            </w:r>
          </w:p>
        </w:tc>
        <w:tc>
          <w:tcPr>
            <w:tcW w:w="1420" w:type="dxa"/>
            <w:vAlign w:val="bottom"/>
            <w:gridSpan w:val="3"/>
            <w:vMerge w:val="restart"/>
          </w:tcPr>
          <w:p>
            <w:pPr>
              <w:jc w:val="center"/>
              <w:ind w:left="214"/>
              <w:spacing w:after="0"/>
              <w:rPr>
                <w:sz w:val="20"/>
                <w:szCs w:val="20"/>
                <w:color w:val="auto"/>
              </w:rPr>
            </w:pPr>
            <w:r>
              <w:rPr>
                <w:rFonts w:ascii="Arial" w:cs="Arial" w:eastAsia="Arial" w:hAnsi="Arial"/>
                <w:sz w:val="18"/>
                <w:szCs w:val="18"/>
                <w:color w:val="auto"/>
                <w:w w:val="99"/>
              </w:rPr>
              <w:t>1/22/2026</w:t>
            </w:r>
          </w:p>
        </w:tc>
        <w:tc>
          <w:tcPr>
            <w:tcW w:w="12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5"/>
              </w:rPr>
              <w:t>1.1</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80" w:type="dxa"/>
            <w:vAlign w:val="bottom"/>
            <w:gridSpan w:val="16"/>
          </w:tcPr>
          <w:p>
            <w:pPr>
              <w:spacing w:after="0" w:line="182" w:lineRule="exact"/>
              <w:rPr>
                <w:rFonts w:ascii="Arial" w:cs="Arial" w:eastAsia="Arial" w:hAnsi="Arial"/>
                <w:sz w:val="18"/>
                <w:szCs w:val="18"/>
                <w:color w:val="0000FF"/>
              </w:rPr>
            </w:pPr>
            <w:hyperlink r:id="rId188">
              <w:r>
                <w:rPr>
                  <w:rFonts w:ascii="Arial" w:cs="Arial" w:eastAsia="Arial" w:hAnsi="Arial"/>
                  <w:sz w:val="18"/>
                  <w:szCs w:val="18"/>
                  <w:color w:val="0000FF"/>
                </w:rPr>
                <w:t>Underwriting Agreement, dated January 21, 2026, by and among</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4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188">
              <w:r>
                <w:rPr>
                  <w:rFonts w:ascii="Arial" w:cs="Arial" w:eastAsia="Arial" w:hAnsi="Arial"/>
                  <w:sz w:val="18"/>
                  <w:szCs w:val="18"/>
                  <w:color w:val="0000FF"/>
                  <w:w w:val="99"/>
                </w:rPr>
                <w:t>the Registrant and J.P. Morgan Securities LLC, Morgan Stanley &amp;</w:t>
              </w:r>
            </w:hyperlink>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60" w:type="dxa"/>
            <w:vAlign w:val="bottom"/>
            <w:tcBorders>
              <w:bottom w:val="single" w:sz="8" w:color="0000FF"/>
            </w:tcBorders>
            <w:gridSpan w:val="7"/>
          </w:tcPr>
          <w:p>
            <w:pPr>
              <w:spacing w:after="0" w:line="182" w:lineRule="exact"/>
              <w:rPr>
                <w:rFonts w:ascii="Arial" w:cs="Arial" w:eastAsia="Arial" w:hAnsi="Arial"/>
                <w:sz w:val="18"/>
                <w:szCs w:val="18"/>
                <w:color w:val="0000FF"/>
              </w:rPr>
            </w:pPr>
            <w:hyperlink r:id="rId188">
              <w:r>
                <w:rPr>
                  <w:rFonts w:ascii="Arial" w:cs="Arial" w:eastAsia="Arial" w:hAnsi="Arial"/>
                  <w:sz w:val="18"/>
                  <w:szCs w:val="18"/>
                  <w:color w:val="0000FF"/>
                </w:rPr>
                <w:t>Co. LLC, Jefferies LLC and Evercore Group L.L.C., as</w:t>
              </w:r>
            </w:hyperlink>
          </w:p>
        </w:tc>
        <w:tc>
          <w:tcPr>
            <w:tcW w:w="96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460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188">
              <w:r>
                <w:rPr>
                  <w:rFonts w:ascii="Arial" w:cs="Arial" w:eastAsia="Arial" w:hAnsi="Arial"/>
                  <w:sz w:val="18"/>
                  <w:szCs w:val="18"/>
                  <w:color w:val="0000FF"/>
                  <w:w w:val="99"/>
                </w:rPr>
                <w:t>representatives of the several underwriters named therein</w:t>
              </w:r>
            </w:hyperlink>
          </w:p>
        </w:tc>
        <w:tc>
          <w:tcPr>
            <w:tcW w:w="20" w:type="dxa"/>
            <w:vAlign w:val="bottom"/>
            <w:tcBorders>
              <w:bottom w:val="single" w:sz="8" w:color="0000EE"/>
            </w:tcBorders>
          </w:tcPr>
          <w:p>
            <w:pPr>
              <w:spacing w:after="0"/>
              <w:rPr>
                <w:sz w:val="15"/>
                <w:szCs w:val="15"/>
                <w:color w:val="auto"/>
              </w:rPr>
            </w:pPr>
          </w:p>
        </w:tc>
        <w:tc>
          <w:tcPr>
            <w:tcW w:w="720" w:type="dxa"/>
            <w:vAlign w:val="bottom"/>
            <w:gridSpan w:val="10"/>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20" w:type="dxa"/>
            <w:vAlign w:val="bottom"/>
            <w:gridSpan w:val="9"/>
          </w:tcPr>
          <w:p>
            <w:pPr>
              <w:spacing w:after="0" w:line="182" w:lineRule="exact"/>
              <w:rPr>
                <w:sz w:val="20"/>
                <w:szCs w:val="20"/>
                <w:color w:val="auto"/>
              </w:rPr>
            </w:pPr>
            <w:r>
              <w:rPr>
                <w:rFonts w:ascii="Arial" w:cs="Arial" w:eastAsia="Arial" w:hAnsi="Arial"/>
                <w:sz w:val="18"/>
                <w:szCs w:val="18"/>
                <w:color w:val="0000FF"/>
              </w:rPr>
              <w:t>Certification of Chief Executive Officer of Erasca, Inc., as</w:t>
            </w:r>
          </w:p>
        </w:tc>
        <w:tc>
          <w:tcPr>
            <w:tcW w:w="720" w:type="dxa"/>
            <w:vAlign w:val="bottom"/>
            <w:gridSpan w:val="10"/>
          </w:tcPr>
          <w:p>
            <w:pPr>
              <w:spacing w:after="0" w:line="182" w:lineRule="exact"/>
              <w:rPr>
                <w:sz w:val="20"/>
                <w:szCs w:val="20"/>
                <w:color w:val="auto"/>
              </w:rPr>
            </w:pPr>
            <w:r>
              <w:rPr>
                <w:rFonts w:ascii="Arial" w:cs="Arial" w:eastAsia="Arial" w:hAnsi="Arial"/>
                <w:sz w:val="18"/>
                <w:szCs w:val="18"/>
                <w:color w:val="0000FF"/>
              </w:rPr>
              <w:t>required</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32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rPr>
              <w:t>by Rule 13a-14(a) or Rule 15d-14(a), as adopted pursuant to</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490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Section 302 of the Sarbanes-Oxley Act of 2002</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74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7"/>
              </w:rPr>
              <w:t>Certification of Chief Financial Officer of Erasca,</w:t>
            </w:r>
          </w:p>
        </w:tc>
        <w:tc>
          <w:tcPr>
            <w:tcW w:w="20" w:type="dxa"/>
            <w:vAlign w:val="bottom"/>
            <w:tcBorders>
              <w:top w:val="single" w:sz="8" w:color="0000EE"/>
            </w:tcBorders>
          </w:tcPr>
          <w:p>
            <w:pPr>
              <w:spacing w:after="0"/>
              <w:rPr>
                <w:sz w:val="15"/>
                <w:szCs w:val="15"/>
                <w:color w:val="auto"/>
              </w:rPr>
            </w:pPr>
          </w:p>
        </w:tc>
        <w:tc>
          <w:tcPr>
            <w:tcW w:w="1580" w:type="dxa"/>
            <w:vAlign w:val="bottom"/>
            <w:gridSpan w:val="13"/>
          </w:tcPr>
          <w:p>
            <w:pPr>
              <w:jc w:val="center"/>
              <w:ind w:right="60"/>
              <w:spacing w:after="0" w:line="182" w:lineRule="exact"/>
              <w:rPr>
                <w:sz w:val="20"/>
                <w:szCs w:val="20"/>
                <w:color w:val="auto"/>
              </w:rPr>
            </w:pPr>
            <w:r>
              <w:rPr>
                <w:rFonts w:ascii="Arial" w:cs="Arial" w:eastAsia="Arial" w:hAnsi="Arial"/>
                <w:sz w:val="18"/>
                <w:szCs w:val="18"/>
                <w:color w:val="0000FF"/>
                <w:w w:val="99"/>
              </w:rPr>
              <w:t>Inc., as required</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2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rPr>
              <w:t>by Rule 13a-14(a) or Rule 15d-14(a), as adopted pursuant to</w:t>
            </w: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32.1*</w:t>
            </w:r>
          </w:p>
        </w:tc>
        <w:tc>
          <w:tcPr>
            <w:tcW w:w="120" w:type="dxa"/>
            <w:vAlign w:val="bottom"/>
          </w:tcPr>
          <w:p>
            <w:pPr>
              <w:spacing w:after="0"/>
              <w:rPr>
                <w:sz w:val="15"/>
                <w:szCs w:val="15"/>
                <w:color w:val="auto"/>
              </w:rPr>
            </w:pPr>
          </w:p>
        </w:tc>
        <w:tc>
          <w:tcPr>
            <w:tcW w:w="490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Section 302 of the Sarbanes-Oxley Act of 2002</w:t>
            </w:r>
          </w:p>
        </w:tc>
        <w:tc>
          <w:tcPr>
            <w:tcW w:w="26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74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8"/>
              </w:rPr>
              <w:t>Certification of Chief Executive Officer pursuant</w:t>
            </w:r>
          </w:p>
        </w:tc>
        <w:tc>
          <w:tcPr>
            <w:tcW w:w="20" w:type="dxa"/>
            <w:vAlign w:val="bottom"/>
            <w:tcBorders>
              <w:top w:val="single" w:sz="8" w:color="0000EE"/>
            </w:tcBorders>
          </w:tcPr>
          <w:p>
            <w:pPr>
              <w:spacing w:after="0"/>
              <w:rPr>
                <w:sz w:val="15"/>
                <w:szCs w:val="15"/>
                <w:color w:val="auto"/>
              </w:rPr>
            </w:pPr>
          </w:p>
        </w:tc>
        <w:tc>
          <w:tcPr>
            <w:tcW w:w="1580" w:type="dxa"/>
            <w:vAlign w:val="bottom"/>
            <w:gridSpan w:val="13"/>
          </w:tcPr>
          <w:p>
            <w:pPr>
              <w:jc w:val="center"/>
              <w:ind w:right="100"/>
              <w:spacing w:after="0" w:line="182" w:lineRule="exact"/>
              <w:rPr>
                <w:sz w:val="20"/>
                <w:szCs w:val="20"/>
                <w:color w:val="auto"/>
              </w:rPr>
            </w:pPr>
            <w:r>
              <w:rPr>
                <w:rFonts w:ascii="Arial" w:cs="Arial" w:eastAsia="Arial" w:hAnsi="Arial"/>
                <w:sz w:val="18"/>
                <w:szCs w:val="18"/>
                <w:color w:val="0000FF"/>
              </w:rPr>
              <w:t>to Section 906 of</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9"/>
              </w:rPr>
              <w:t>32.2*</w:t>
            </w:r>
          </w:p>
        </w:tc>
        <w:tc>
          <w:tcPr>
            <w:tcW w:w="120" w:type="dxa"/>
            <w:vAlign w:val="bottom"/>
          </w:tcPr>
          <w:p>
            <w:pPr>
              <w:spacing w:after="0"/>
              <w:rPr>
                <w:sz w:val="15"/>
                <w:szCs w:val="15"/>
                <w:color w:val="auto"/>
              </w:rPr>
            </w:pPr>
          </w:p>
        </w:tc>
        <w:tc>
          <w:tcPr>
            <w:tcW w:w="526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the Sarbanes-Oxley Act of 2002</w:t>
            </w:r>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Borders>
              <w:top w:val="single" w:sz="8" w:color="0000FF"/>
            </w:tcBorders>
            <w:gridSpan w:val="3"/>
          </w:tcPr>
          <w:p>
            <w:pPr>
              <w:spacing w:after="0" w:line="182" w:lineRule="exact"/>
              <w:rPr>
                <w:sz w:val="20"/>
                <w:szCs w:val="20"/>
                <w:color w:val="auto"/>
              </w:rPr>
            </w:pPr>
            <w:r>
              <w:rPr>
                <w:rFonts w:ascii="Arial" w:cs="Arial" w:eastAsia="Arial" w:hAnsi="Arial"/>
                <w:sz w:val="18"/>
                <w:szCs w:val="18"/>
                <w:color w:val="0000FF"/>
              </w:rPr>
              <w:t>Certification of Chief Financial</w:t>
            </w:r>
          </w:p>
        </w:tc>
        <w:tc>
          <w:tcPr>
            <w:tcW w:w="2800" w:type="dxa"/>
            <w:vAlign w:val="bottom"/>
            <w:gridSpan w:val="16"/>
          </w:tcPr>
          <w:p>
            <w:pPr>
              <w:spacing w:after="0" w:line="182" w:lineRule="exact"/>
              <w:rPr>
                <w:sz w:val="20"/>
                <w:szCs w:val="20"/>
                <w:color w:val="auto"/>
              </w:rPr>
            </w:pPr>
            <w:r>
              <w:rPr>
                <w:rFonts w:ascii="Arial" w:cs="Arial" w:eastAsia="Arial" w:hAnsi="Arial"/>
                <w:sz w:val="18"/>
                <w:szCs w:val="18"/>
                <w:color w:val="0000FF"/>
              </w:rPr>
              <w:t>Officer pursuant to Section 906 of</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8"/>
              </w:rPr>
              <w:t>101.INS</w:t>
            </w:r>
          </w:p>
        </w:tc>
        <w:tc>
          <w:tcPr>
            <w:tcW w:w="120" w:type="dxa"/>
            <w:vAlign w:val="bottom"/>
          </w:tcPr>
          <w:p>
            <w:pPr>
              <w:spacing w:after="0"/>
              <w:rPr>
                <w:sz w:val="15"/>
                <w:szCs w:val="15"/>
                <w:color w:val="auto"/>
              </w:rPr>
            </w:pPr>
          </w:p>
        </w:tc>
        <w:tc>
          <w:tcPr>
            <w:tcW w:w="516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the Sarbanes-Oxley Act of 2002</w:t>
            </w:r>
          </w:p>
        </w:tc>
        <w:tc>
          <w:tcPr>
            <w:tcW w:w="180" w:type="dxa"/>
            <w:vAlign w:val="bottom"/>
            <w:gridSpan w:val="7"/>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Borders>
              <w:top w:val="single" w:sz="8" w:color="0000FF"/>
            </w:tcBorders>
            <w:gridSpan w:val="3"/>
          </w:tcPr>
          <w:p>
            <w:pPr>
              <w:spacing w:after="0" w:line="191" w:lineRule="exact"/>
              <w:rPr>
                <w:sz w:val="20"/>
                <w:szCs w:val="20"/>
                <w:color w:val="auto"/>
              </w:rPr>
            </w:pPr>
            <w:r>
              <w:rPr>
                <w:rFonts w:ascii="Arial" w:cs="Arial" w:eastAsia="Arial" w:hAnsi="Arial"/>
                <w:sz w:val="18"/>
                <w:szCs w:val="18"/>
                <w:color w:val="auto"/>
                <w:w w:val="98"/>
              </w:rPr>
              <w:t>Inline XBRL Instance Document</w:t>
            </w:r>
          </w:p>
        </w:tc>
        <w:tc>
          <w:tcPr>
            <w:tcW w:w="2800" w:type="dxa"/>
            <w:vAlign w:val="bottom"/>
            <w:gridSpan w:val="16"/>
          </w:tcPr>
          <w:p>
            <w:pPr>
              <w:ind w:left="60"/>
              <w:spacing w:after="0" w:line="191" w:lineRule="exact"/>
              <w:rPr>
                <w:sz w:val="20"/>
                <w:szCs w:val="20"/>
                <w:color w:val="auto"/>
              </w:rPr>
            </w:pPr>
            <w:r>
              <w:rPr>
                <w:rFonts w:ascii="Arial" w:cs="Arial" w:eastAsia="Arial" w:hAnsi="Arial"/>
                <w:sz w:val="18"/>
                <w:szCs w:val="18"/>
                <w:color w:val="auto"/>
              </w:rPr>
              <w:t>– the instance document does</w:t>
            </w: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40" w:type="dxa"/>
            <w:vAlign w:val="bottom"/>
            <w:gridSpan w:val="19"/>
          </w:tcPr>
          <w:p>
            <w:pPr>
              <w:spacing w:after="0" w:line="202" w:lineRule="exact"/>
              <w:rPr>
                <w:sz w:val="20"/>
                <w:szCs w:val="20"/>
                <w:color w:val="auto"/>
              </w:rPr>
            </w:pPr>
            <w:r>
              <w:rPr>
                <w:rFonts w:ascii="Arial" w:cs="Arial" w:eastAsia="Arial" w:hAnsi="Arial"/>
                <w:sz w:val="18"/>
                <w:szCs w:val="18"/>
                <w:color w:val="auto"/>
              </w:rPr>
              <w:t>not appear in the Interactive Data File because XBRL tags are</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40" w:type="dxa"/>
            <w:vAlign w:val="bottom"/>
            <w:gridSpan w:val="19"/>
          </w:tcPr>
          <w:p>
            <w:pPr>
              <w:spacing w:after="0" w:line="202" w:lineRule="exact"/>
              <w:rPr>
                <w:sz w:val="20"/>
                <w:szCs w:val="20"/>
                <w:color w:val="auto"/>
              </w:rPr>
            </w:pPr>
            <w:r>
              <w:rPr>
                <w:rFonts w:ascii="Arial" w:cs="Arial" w:eastAsia="Arial" w:hAnsi="Arial"/>
                <w:sz w:val="18"/>
                <w:szCs w:val="18"/>
                <w:color w:val="auto"/>
              </w:rPr>
              <w:t>embedded within the Inline XBRL document.</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8"/>
              </w:rPr>
              <w:t>101.SCH</w:t>
            </w:r>
          </w:p>
        </w:tc>
        <w:tc>
          <w:tcPr>
            <w:tcW w:w="120" w:type="dxa"/>
            <w:vAlign w:val="bottom"/>
          </w:tcPr>
          <w:p>
            <w:pPr>
              <w:spacing w:after="0"/>
              <w:rPr>
                <w:sz w:val="17"/>
                <w:szCs w:val="17"/>
                <w:color w:val="auto"/>
              </w:rPr>
            </w:pPr>
          </w:p>
        </w:tc>
        <w:tc>
          <w:tcPr>
            <w:tcW w:w="5340" w:type="dxa"/>
            <w:vAlign w:val="bottom"/>
            <w:gridSpan w:val="19"/>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3"/>
        </w:trPr>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9"/>
              </w:rPr>
              <w:t>104</w:t>
            </w:r>
          </w:p>
        </w:tc>
        <w:tc>
          <w:tcPr>
            <w:tcW w:w="120" w:type="dxa"/>
            <w:vAlign w:val="bottom"/>
          </w:tcPr>
          <w:p>
            <w:pPr>
              <w:spacing w:after="0"/>
              <w:rPr>
                <w:sz w:val="17"/>
                <w:szCs w:val="17"/>
                <w:color w:val="auto"/>
              </w:rPr>
            </w:pPr>
          </w:p>
        </w:tc>
        <w:tc>
          <w:tcPr>
            <w:tcW w:w="5340" w:type="dxa"/>
            <w:vAlign w:val="bottom"/>
            <w:gridSpan w:val="19"/>
          </w:tcPr>
          <w:p>
            <w:pPr>
              <w:spacing w:after="0" w:line="202" w:lineRule="exact"/>
              <w:rPr>
                <w:sz w:val="20"/>
                <w:szCs w:val="20"/>
                <w:color w:val="auto"/>
              </w:rPr>
            </w:pPr>
            <w:r>
              <w:rPr>
                <w:rFonts w:ascii="Arial" w:cs="Arial" w:eastAsia="Arial" w:hAnsi="Arial"/>
                <w:sz w:val="18"/>
                <w:szCs w:val="18"/>
                <w:color w:val="auto"/>
              </w:rPr>
              <w:t>Cover Page Interactive Data File (embedded within the Inline</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9"/>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gridSpan w:val="19"/>
          </w:tcPr>
          <w:p>
            <w:pPr>
              <w:spacing w:after="0"/>
              <w:rPr>
                <w:sz w:val="20"/>
                <w:szCs w:val="20"/>
                <w:color w:val="auto"/>
              </w:rPr>
            </w:pPr>
            <w:r>
              <w:rPr>
                <w:rFonts w:ascii="Arial" w:cs="Arial" w:eastAsia="Arial" w:hAnsi="Arial"/>
                <w:sz w:val="18"/>
                <w:szCs w:val="18"/>
                <w:color w:val="auto"/>
              </w:rPr>
              <w:t>XBRL document)</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9512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20" w:right="20" w:hanging="512"/>
        <w:spacing w:after="0" w:line="271" w:lineRule="auto"/>
        <w:tabs>
          <w:tab w:leader="none" w:pos="4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8" w:name="page39"/>
    <w:bookmarkEnd w:id="38"/>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840"/>
          </w:cols>
          <w:pgMar w:left="320" w:top="971" w:right="7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2026</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Erasca, Inc.</w:t>
      </w:r>
    </w:p>
    <w:p>
      <w:pPr>
        <w:spacing w:after="0" w:line="198"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8890</wp:posOffset>
            </wp:positionV>
            <wp:extent cx="33089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Jonathan E. Lim, M.D.</w:t>
      </w:r>
    </w:p>
    <w:p>
      <w:pPr>
        <w:jc w:val="center"/>
        <w:ind w:right="-719"/>
        <w:spacing w:after="0"/>
        <w:rPr>
          <w:sz w:val="20"/>
          <w:szCs w:val="20"/>
          <w:color w:val="auto"/>
        </w:rPr>
      </w:pPr>
      <w:r>
        <w:rPr>
          <w:rFonts w:ascii="Arial" w:cs="Arial" w:eastAsia="Arial" w:hAnsi="Arial"/>
          <w:sz w:val="17"/>
          <w:szCs w:val="17"/>
          <w:color w:val="auto"/>
        </w:rPr>
        <w:t>Chairman, Chief Executive Officer and Co-Founder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(Principal Executive Officer)</w:t>
      </w:r>
    </w:p>
    <w:p>
      <w:pPr>
        <w:spacing w:after="0" w:line="187"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 Chacko,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8890</wp:posOffset>
            </wp:positionV>
            <wp:extent cx="330898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David M. Chacko, M.D.</w:t>
      </w:r>
    </w:p>
    <w:p>
      <w:pPr>
        <w:jc w:val="center"/>
        <w:ind w:right="-719"/>
        <w:spacing w:after="0"/>
        <w:rPr>
          <w:sz w:val="20"/>
          <w:szCs w:val="20"/>
          <w:color w:val="auto"/>
        </w:rPr>
      </w:pPr>
      <w:r>
        <w:rPr>
          <w:rFonts w:ascii="Arial" w:cs="Arial" w:eastAsia="Arial" w:hAnsi="Arial"/>
          <w:sz w:val="18"/>
          <w:szCs w:val="18"/>
          <w:color w:val="auto"/>
        </w:rPr>
        <w:t>Chief Financial Officer and Chief Business Officer</w:t>
      </w:r>
    </w:p>
    <w:p>
      <w:pPr>
        <w:spacing w:after="0" w:line="12"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ectPr>
          <w:pgSz w:w="11900" w:h="16838" w:orient="portrait"/>
          <w:cols w:equalWidth="0" w:num="2">
            <w:col w:w="4980" w:space="720"/>
            <w:col w:w="5140"/>
          </w:cols>
          <w:pgMar w:left="320" w:top="971"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971" w:right="739" w:bottom="1440" w:gutter="0" w:footer="0" w:header="0"/>
          <w:type w:val="continuous"/>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 Jonathan E. Lim, M.D., certify that:</w:t>
      </w:r>
    </w:p>
    <w:p>
      <w:pPr>
        <w:spacing w:after="0" w:line="59"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Erasca, Inc.;</w:t>
      </w:r>
    </w:p>
    <w:p>
      <w:pPr>
        <w:spacing w:after="0" w:line="59"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Arial" w:cs="Arial" w:eastAsia="Arial" w:hAnsi="Arial"/>
          <w:sz w:val="16"/>
          <w:szCs w:val="16"/>
          <w:color w:val="auto"/>
        </w:rPr>
      </w:pPr>
    </w:p>
    <w:p>
      <w:pPr>
        <w:ind w:left="380" w:right="520" w:hanging="372"/>
        <w:spacing w:after="0" w:line="281"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Arial" w:cs="Arial" w:eastAsia="Arial" w:hAnsi="Arial"/>
          <w:sz w:val="16"/>
          <w:szCs w:val="16"/>
          <w:color w:val="auto"/>
        </w:rPr>
      </w:pPr>
    </w:p>
    <w:p>
      <w:pPr>
        <w:jc w:val="both"/>
        <w:ind w:left="940" w:right="120" w:hanging="370"/>
        <w:spacing w:after="0" w:line="266" w:lineRule="auto"/>
        <w:tabs>
          <w:tab w:leader="none" w:pos="9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Arial" w:cs="Arial" w:eastAsia="Arial" w:hAnsi="Arial"/>
          <w:sz w:val="16"/>
          <w:szCs w:val="16"/>
          <w:color w:val="auto"/>
        </w:rPr>
      </w:pPr>
    </w:p>
    <w:p>
      <w:pPr>
        <w:ind w:left="940" w:right="520" w:hanging="370"/>
        <w:spacing w:after="0" w:line="266" w:lineRule="auto"/>
        <w:tabs>
          <w:tab w:leader="none" w:pos="9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Arial" w:cs="Arial" w:eastAsia="Arial" w:hAnsi="Arial"/>
          <w:sz w:val="16"/>
          <w:szCs w:val="16"/>
          <w:color w:val="auto"/>
        </w:rPr>
      </w:pPr>
    </w:p>
    <w:p>
      <w:pPr>
        <w:jc w:val="both"/>
        <w:ind w:left="940" w:right="520" w:hanging="370"/>
        <w:spacing w:after="0" w:line="281" w:lineRule="auto"/>
        <w:tabs>
          <w:tab w:leader="none" w:pos="9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40" w:right="220" w:hanging="370"/>
        <w:spacing w:after="0" w:line="266" w:lineRule="auto"/>
        <w:tabs>
          <w:tab w:leader="none" w:pos="9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Arial" w:cs="Arial" w:eastAsia="Arial" w:hAnsi="Arial"/>
          <w:sz w:val="16"/>
          <w:szCs w:val="16"/>
          <w:color w:val="auto"/>
        </w:rPr>
      </w:pPr>
    </w:p>
    <w:p>
      <w:pPr>
        <w:ind w:left="380" w:right="260" w:hanging="372"/>
        <w:spacing w:after="0" w:line="281"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60" w:right="160" w:hanging="383"/>
        <w:spacing w:after="0" w:line="281" w:lineRule="auto"/>
        <w:tabs>
          <w:tab w:leader="none" w:pos="9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960" w:right="100" w:hanging="383"/>
        <w:spacing w:after="0" w:line="286" w:lineRule="auto"/>
        <w:tabs>
          <w:tab w:leader="none" w:pos="9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60"/>
        <w:spacing w:after="0"/>
        <w:tabs>
          <w:tab w:leader="none" w:pos="5580" w:val="left"/>
          <w:tab w:leader="none" w:pos="7700" w:val="left"/>
        </w:tabs>
        <w:rPr>
          <w:sz w:val="20"/>
          <w:szCs w:val="20"/>
          <w:color w:val="auto"/>
        </w:rPr>
      </w:pPr>
      <w:r>
        <w:rPr>
          <w:rFonts w:ascii="Arial" w:cs="Arial" w:eastAsia="Arial" w:hAnsi="Arial"/>
          <w:sz w:val="16"/>
          <w:szCs w:val="16"/>
          <w:color w:val="auto"/>
        </w:rPr>
        <w:t>Date: May 11,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29210</wp:posOffset>
            </wp:positionV>
            <wp:extent cx="33089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80" w:lineRule="exact"/>
        <w:rPr>
          <w:sz w:val="20"/>
          <w:szCs w:val="20"/>
          <w:color w:val="auto"/>
        </w:rPr>
      </w:pPr>
    </w:p>
    <w:p>
      <w:pPr>
        <w:ind w:left="7840"/>
        <w:spacing w:after="0"/>
        <w:rPr>
          <w:sz w:val="20"/>
          <w:szCs w:val="20"/>
          <w:color w:val="auto"/>
        </w:rPr>
      </w:pPr>
      <w:r>
        <w:rPr>
          <w:rFonts w:ascii="Arial" w:cs="Arial" w:eastAsia="Arial" w:hAnsi="Arial"/>
          <w:sz w:val="16"/>
          <w:szCs w:val="16"/>
          <w:color w:val="auto"/>
        </w:rPr>
        <w:t>Jonathan E. Lim, M.D.</w:t>
      </w:r>
    </w:p>
    <w:p>
      <w:pPr>
        <w:spacing w:after="0" w:line="86"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Chairman, Chief Executive Officer and Co-Founder</w:t>
      </w:r>
    </w:p>
    <w:p>
      <w:pPr>
        <w:spacing w:after="0" w:line="32" w:lineRule="exact"/>
        <w:rPr>
          <w:sz w:val="20"/>
          <w:szCs w:val="20"/>
          <w:color w:val="auto"/>
        </w:rPr>
      </w:pPr>
    </w:p>
    <w:p>
      <w:pPr>
        <w:ind w:left="764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1045210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 David M. Chacko, M.D., certify that:</w:t>
      </w:r>
    </w:p>
    <w:p>
      <w:pPr>
        <w:spacing w:after="0" w:line="59"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Erasca, Inc.;</w:t>
      </w:r>
    </w:p>
    <w:p>
      <w:pPr>
        <w:spacing w:after="0" w:line="59" w:lineRule="exact"/>
        <w:rPr>
          <w:rFonts w:ascii="Arial" w:cs="Arial" w:eastAsia="Arial" w:hAnsi="Arial"/>
          <w:sz w:val="16"/>
          <w:szCs w:val="16"/>
          <w:color w:val="auto"/>
        </w:rPr>
      </w:pPr>
    </w:p>
    <w:p>
      <w:pPr>
        <w:jc w:val="both"/>
        <w:ind w:left="380" w:right="380" w:hanging="372"/>
        <w:spacing w:after="0" w:line="266"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Arial" w:cs="Arial" w:eastAsia="Arial" w:hAnsi="Arial"/>
          <w:sz w:val="16"/>
          <w:szCs w:val="16"/>
          <w:color w:val="auto"/>
        </w:rPr>
      </w:pPr>
    </w:p>
    <w:p>
      <w:pPr>
        <w:ind w:left="380" w:right="520" w:hanging="372"/>
        <w:spacing w:after="0" w:line="281"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380" w:right="140" w:hanging="372"/>
        <w:spacing w:after="0" w:line="266"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Arial" w:cs="Arial" w:eastAsia="Arial" w:hAnsi="Arial"/>
          <w:sz w:val="16"/>
          <w:szCs w:val="16"/>
          <w:color w:val="auto"/>
        </w:rPr>
      </w:pPr>
    </w:p>
    <w:p>
      <w:pPr>
        <w:jc w:val="both"/>
        <w:ind w:left="960" w:right="120" w:hanging="383"/>
        <w:spacing w:after="0" w:line="266" w:lineRule="auto"/>
        <w:tabs>
          <w:tab w:leader="none" w:pos="9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Arial" w:cs="Arial" w:eastAsia="Arial" w:hAnsi="Arial"/>
          <w:sz w:val="16"/>
          <w:szCs w:val="16"/>
          <w:color w:val="auto"/>
        </w:rPr>
      </w:pPr>
    </w:p>
    <w:p>
      <w:pPr>
        <w:ind w:left="940" w:right="520" w:hanging="370"/>
        <w:spacing w:after="0" w:line="266" w:lineRule="auto"/>
        <w:tabs>
          <w:tab w:leader="none" w:pos="9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Arial" w:cs="Arial" w:eastAsia="Arial" w:hAnsi="Arial"/>
          <w:sz w:val="16"/>
          <w:szCs w:val="16"/>
          <w:color w:val="auto"/>
        </w:rPr>
      </w:pPr>
    </w:p>
    <w:p>
      <w:pPr>
        <w:jc w:val="both"/>
        <w:ind w:left="960" w:right="520" w:hanging="383"/>
        <w:spacing w:after="0" w:line="281" w:lineRule="auto"/>
        <w:tabs>
          <w:tab w:leader="none" w:pos="9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60" w:right="220" w:hanging="383"/>
        <w:spacing w:after="0" w:line="266" w:lineRule="auto"/>
        <w:tabs>
          <w:tab w:leader="none" w:pos="9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Arial" w:cs="Arial" w:eastAsia="Arial" w:hAnsi="Arial"/>
          <w:sz w:val="16"/>
          <w:szCs w:val="16"/>
          <w:color w:val="auto"/>
        </w:rPr>
      </w:pPr>
    </w:p>
    <w:p>
      <w:pPr>
        <w:ind w:left="380" w:right="260" w:hanging="372"/>
        <w:spacing w:after="0" w:line="281"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60" w:right="160" w:hanging="383"/>
        <w:spacing w:after="0" w:line="281" w:lineRule="auto"/>
        <w:tabs>
          <w:tab w:leader="none" w:pos="9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960" w:right="100" w:hanging="383"/>
        <w:spacing w:after="0" w:line="286" w:lineRule="auto"/>
        <w:tabs>
          <w:tab w:leader="none" w:pos="9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ind w:left="60"/>
        <w:spacing w:after="0"/>
        <w:tabs>
          <w:tab w:leader="none" w:pos="5580" w:val="left"/>
          <w:tab w:leader="none" w:pos="7680" w:val="left"/>
        </w:tabs>
        <w:rPr>
          <w:sz w:val="20"/>
          <w:szCs w:val="20"/>
          <w:color w:val="auto"/>
        </w:rPr>
      </w:pPr>
      <w:r>
        <w:rPr>
          <w:rFonts w:ascii="Arial" w:cs="Arial" w:eastAsia="Arial" w:hAnsi="Arial"/>
          <w:sz w:val="16"/>
          <w:szCs w:val="16"/>
          <w:color w:val="auto"/>
        </w:rPr>
        <w:t>Date: May 11,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David M. Chacko,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29210</wp:posOffset>
            </wp:positionV>
            <wp:extent cx="33089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80" w:lineRule="exact"/>
        <w:rPr>
          <w:sz w:val="20"/>
          <w:szCs w:val="20"/>
          <w:color w:val="auto"/>
        </w:rPr>
      </w:pPr>
    </w:p>
    <w:p>
      <w:pPr>
        <w:ind w:left="7800"/>
        <w:spacing w:after="0"/>
        <w:rPr>
          <w:sz w:val="20"/>
          <w:szCs w:val="20"/>
          <w:color w:val="auto"/>
        </w:rPr>
      </w:pPr>
      <w:r>
        <w:rPr>
          <w:rFonts w:ascii="Arial" w:cs="Arial" w:eastAsia="Arial" w:hAnsi="Arial"/>
          <w:sz w:val="16"/>
          <w:szCs w:val="16"/>
          <w:color w:val="auto"/>
        </w:rPr>
        <w:t>David M. Chacko, M.D.</w:t>
      </w:r>
    </w:p>
    <w:p>
      <w:pPr>
        <w:spacing w:after="0" w:line="11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Chief Financial Officer and Chief Business Officer</w:t>
      </w:r>
    </w:p>
    <w:p>
      <w:pPr>
        <w:spacing w:after="0" w:line="21"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18 U.S.C. SECTION 1350, AS ADOPTED PURSUANT TO</w:t>
      </w:r>
    </w:p>
    <w:p>
      <w:pPr>
        <w:ind w:left="33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4" w:lineRule="exact"/>
        <w:rPr>
          <w:sz w:val="20"/>
          <w:szCs w:val="20"/>
          <w:color w:val="auto"/>
        </w:rPr>
      </w:pPr>
    </w:p>
    <w:p>
      <w:pPr>
        <w:jc w:val="both"/>
        <w:ind w:right="100" w:firstLine="562"/>
        <w:spacing w:after="0" w:line="249" w:lineRule="auto"/>
        <w:rPr>
          <w:sz w:val="20"/>
          <w:szCs w:val="20"/>
          <w:color w:val="auto"/>
        </w:rPr>
      </w:pPr>
      <w:r>
        <w:rPr>
          <w:rFonts w:ascii="Arial" w:cs="Arial" w:eastAsia="Arial" w:hAnsi="Arial"/>
          <w:sz w:val="17"/>
          <w:szCs w:val="17"/>
          <w:color w:val="auto"/>
        </w:rPr>
        <w:t>In connection with the Quarterly Report on Form 10-Q of Erasca, Inc. (the “Company”) for the period ended March 31, 2026 as filed with the Securities and Exchange Commission on the date hereof (the “Report”), I certify, pursuant to 18 U.S.C. § 1350, as adopted pursuant to § 906 of the Sarbanes-Oxley Act of 2002, that, to the best of my knowledge:</w:t>
      </w:r>
    </w:p>
    <w:p>
      <w:pPr>
        <w:spacing w:after="0" w:line="175" w:lineRule="exact"/>
        <w:rPr>
          <w:sz w:val="20"/>
          <w:szCs w:val="20"/>
          <w:color w:val="auto"/>
        </w:rPr>
      </w:pPr>
    </w:p>
    <w:p>
      <w:pPr>
        <w:ind w:left="940" w:hanging="370"/>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9" w:lineRule="exact"/>
        <w:rPr>
          <w:rFonts w:ascii="Arial" w:cs="Arial" w:eastAsia="Arial" w:hAnsi="Arial"/>
          <w:sz w:val="17"/>
          <w:szCs w:val="17"/>
          <w:color w:val="auto"/>
        </w:rPr>
      </w:pPr>
    </w:p>
    <w:p>
      <w:pPr>
        <w:ind w:left="940" w:right="260" w:hanging="370"/>
        <w:spacing w:after="0" w:line="267" w:lineRule="auto"/>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p>
      <w:pPr>
        <w:ind w:left="60"/>
        <w:spacing w:after="0"/>
        <w:tabs>
          <w:tab w:leader="none" w:pos="5200" w:val="left"/>
          <w:tab w:leader="none" w:pos="7520" w:val="left"/>
        </w:tabs>
        <w:rPr>
          <w:sz w:val="20"/>
          <w:szCs w:val="20"/>
          <w:color w:val="auto"/>
        </w:rPr>
      </w:pPr>
      <w:r>
        <w:rPr>
          <w:rFonts w:ascii="Arial" w:cs="Arial" w:eastAsia="Arial" w:hAnsi="Arial"/>
          <w:sz w:val="17"/>
          <w:szCs w:val="17"/>
          <w:color w:val="auto"/>
        </w:rPr>
        <w:t>Date: May 11, 2026</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Jonathan E. Lim,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27305</wp:posOffset>
            </wp:positionV>
            <wp:extent cx="3488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68" w:lineRule="exact"/>
        <w:rPr>
          <w:sz w:val="20"/>
          <w:szCs w:val="20"/>
          <w:color w:val="auto"/>
        </w:rPr>
      </w:pPr>
    </w:p>
    <w:p>
      <w:pPr>
        <w:jc w:val="center"/>
        <w:ind w:left="5720"/>
        <w:spacing w:after="0"/>
        <w:rPr>
          <w:sz w:val="20"/>
          <w:szCs w:val="20"/>
          <w:color w:val="auto"/>
        </w:rPr>
      </w:pPr>
      <w:r>
        <w:rPr>
          <w:rFonts w:ascii="Arial" w:cs="Arial" w:eastAsia="Arial" w:hAnsi="Arial"/>
          <w:sz w:val="17"/>
          <w:szCs w:val="17"/>
          <w:color w:val="auto"/>
        </w:rPr>
        <w:t>Jonathan E. Lim, M.D.</w:t>
      </w:r>
    </w:p>
    <w:p>
      <w:pPr>
        <w:spacing w:after="0" w:line="183" w:lineRule="exact"/>
        <w:rPr>
          <w:sz w:val="20"/>
          <w:szCs w:val="20"/>
          <w:color w:val="auto"/>
        </w:rPr>
      </w:pPr>
    </w:p>
    <w:p>
      <w:pPr>
        <w:jc w:val="center"/>
        <w:ind w:left="5720"/>
        <w:spacing w:after="0"/>
        <w:rPr>
          <w:sz w:val="20"/>
          <w:szCs w:val="20"/>
          <w:color w:val="auto"/>
        </w:rPr>
      </w:pPr>
      <w:r>
        <w:rPr>
          <w:rFonts w:ascii="Arial" w:cs="Arial" w:eastAsia="Arial" w:hAnsi="Arial"/>
          <w:sz w:val="17"/>
          <w:szCs w:val="17"/>
          <w:color w:val="auto"/>
        </w:rPr>
        <w:t>Chairman, Chief Executive Officer and Co-Founder</w:t>
      </w:r>
    </w:p>
    <w:p>
      <w:pPr>
        <w:spacing w:after="0" w:line="29" w:lineRule="exact"/>
        <w:rPr>
          <w:sz w:val="20"/>
          <w:szCs w:val="20"/>
          <w:color w:val="auto"/>
        </w:rPr>
      </w:pPr>
    </w:p>
    <w:p>
      <w:pPr>
        <w:ind w:left="750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1045210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18 U.S.C. SECTION 1350, AS ADOPTED PURSUANT TO</w:t>
      </w:r>
    </w:p>
    <w:p>
      <w:pPr>
        <w:ind w:left="33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4" w:lineRule="exact"/>
        <w:rPr>
          <w:sz w:val="20"/>
          <w:szCs w:val="20"/>
          <w:color w:val="auto"/>
        </w:rPr>
      </w:pPr>
    </w:p>
    <w:p>
      <w:pPr>
        <w:jc w:val="both"/>
        <w:ind w:right="100" w:firstLine="562"/>
        <w:spacing w:after="0" w:line="249" w:lineRule="auto"/>
        <w:rPr>
          <w:sz w:val="20"/>
          <w:szCs w:val="20"/>
          <w:color w:val="auto"/>
        </w:rPr>
      </w:pPr>
      <w:r>
        <w:rPr>
          <w:rFonts w:ascii="Arial" w:cs="Arial" w:eastAsia="Arial" w:hAnsi="Arial"/>
          <w:sz w:val="17"/>
          <w:szCs w:val="17"/>
          <w:color w:val="auto"/>
        </w:rPr>
        <w:t>In connection with the Quarterly Report on Form 10-Q of Erasca, Inc. (the “Company”) for the period ended March 31, 2026 as filed with the Securities and Exchange Commission on the date hereof (the “Report”), I certify, pursuant to 18 U.S.C. § 1350, as adopted pursuant to § 906 of the Sarbanes-Oxley Act of 2002, that, to the best of my knowledge:</w:t>
      </w:r>
    </w:p>
    <w:p>
      <w:pPr>
        <w:spacing w:after="0" w:line="175" w:lineRule="exact"/>
        <w:rPr>
          <w:sz w:val="20"/>
          <w:szCs w:val="20"/>
          <w:color w:val="auto"/>
        </w:rPr>
      </w:pPr>
    </w:p>
    <w:p>
      <w:pPr>
        <w:ind w:left="940" w:hanging="370"/>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9" w:lineRule="exact"/>
        <w:rPr>
          <w:rFonts w:ascii="Arial" w:cs="Arial" w:eastAsia="Arial" w:hAnsi="Arial"/>
          <w:sz w:val="17"/>
          <w:szCs w:val="17"/>
          <w:color w:val="auto"/>
        </w:rPr>
      </w:pPr>
    </w:p>
    <w:p>
      <w:pPr>
        <w:ind w:left="940" w:right="260" w:hanging="370"/>
        <w:spacing w:after="0" w:line="267" w:lineRule="auto"/>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p>
      <w:pPr>
        <w:ind w:left="60"/>
        <w:spacing w:after="0"/>
        <w:tabs>
          <w:tab w:leader="none" w:pos="5580" w:val="left"/>
          <w:tab w:leader="none" w:pos="7620" w:val="left"/>
        </w:tabs>
        <w:rPr>
          <w:sz w:val="20"/>
          <w:szCs w:val="20"/>
          <w:color w:val="auto"/>
        </w:rPr>
      </w:pPr>
      <w:r>
        <w:rPr>
          <w:rFonts w:ascii="Arial" w:cs="Arial" w:eastAsia="Arial" w:hAnsi="Arial"/>
          <w:sz w:val="17"/>
          <w:szCs w:val="17"/>
          <w:color w:val="auto"/>
        </w:rPr>
        <w:t>Date: May 11, 2026</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David M. Chacko,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27305</wp:posOffset>
            </wp:positionV>
            <wp:extent cx="33089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68"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David M. Chacko, M.D.</w:t>
      </w:r>
    </w:p>
    <w:p>
      <w:pPr>
        <w:spacing w:after="0" w:line="223"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Chief Financial Officer and Chief Business Officer</w:t>
      </w:r>
    </w:p>
    <w:p>
      <w:pPr>
        <w:spacing w:after="0" w:line="18"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6">
    <w:nsid w:val="109CF92E"/>
    <w:multiLevelType w:val="hybridMultilevel"/>
    <w:lvl w:ilvl="0">
      <w:lvlJc w:val="left"/>
      <w:lvlText w:val="1"/>
      <w:numFmt w:val="bullet"/>
      <w:start w:val="1"/>
    </w:lvl>
  </w:abstractNum>
  <w:abstractNum w:abstractNumId="7">
    <w:nsid w:val="DED7263"/>
    <w:multiLevelType w:val="hybridMultilevel"/>
    <w:lvl w:ilvl="0">
      <w:lvlJc w:val="left"/>
      <w:lvlText w:val="2"/>
      <w:numFmt w:val="bullet"/>
      <w:start w:val="1"/>
    </w:lvl>
  </w:abstractNum>
  <w:abstractNum w:abstractNumId="8">
    <w:nsid w:val="7FDCC233"/>
    <w:multiLevelType w:val="hybridMultilevel"/>
    <w:lvl w:ilvl="0">
      <w:lvlJc w:val="left"/>
      <w:lvlText w:val="3"/>
      <w:numFmt w:val="bullet"/>
      <w:start w:val="1"/>
    </w:lvl>
  </w:abstractNum>
  <w:abstractNum w:abstractNumId="9">
    <w:nsid w:val="1BEFD79F"/>
    <w:multiLevelType w:val="hybridMultilevel"/>
    <w:lvl w:ilvl="0">
      <w:lvlJc w:val="left"/>
      <w:lvlText w:val="1"/>
      <w:numFmt w:val="bullet"/>
      <w:start w:val="1"/>
    </w:lvl>
  </w:abstractNum>
  <w:abstractNum w:abstractNumId="10">
    <w:nsid w:val="41A7C4C9"/>
    <w:multiLevelType w:val="hybridMultilevel"/>
    <w:lvl w:ilvl="0">
      <w:lvlJc w:val="left"/>
      <w:lvlText w:val="1"/>
      <w:numFmt w:val="bullet"/>
      <w:start w:val="1"/>
    </w:lvl>
  </w:abstractNum>
  <w:abstractNum w:abstractNumId="11">
    <w:nsid w:val="6B68079A"/>
    <w:multiLevelType w:val="hybridMultilevel"/>
    <w:lvl w:ilvl="0">
      <w:lvlJc w:val="left"/>
      <w:lvlText w:val="2"/>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184" Type="http://schemas.openxmlformats.org/officeDocument/2006/relationships/hyperlink" Target="https://www.sec.gov/Archives/edgar/data/1761918/000119312521219642/d81810dex31.htm" TargetMode="External"/><Relationship Id="rId185" Type="http://schemas.openxmlformats.org/officeDocument/2006/relationships/hyperlink" Target="https://www.sec.gov/Archives/edgar/data/1761918/000119312521219642/d81810dex32.htm" TargetMode="External"/><Relationship Id="rId186" Type="http://schemas.openxmlformats.org/officeDocument/2006/relationships/hyperlink" Target="https://www.sec.gov/Archives/edgar/data/1761918/000119312521200537/d176019dex41.htm" TargetMode="External"/><Relationship Id="rId187" Type="http://schemas.openxmlformats.org/officeDocument/2006/relationships/hyperlink" Target="https://www.sec.gov/Archives/edgar/data/1761918/000119312521200537/d176019dex42.htm" TargetMode="External"/><Relationship Id="rId188" Type="http://schemas.openxmlformats.org/officeDocument/2006/relationships/hyperlink" Target="https://www.sec.gov/Archives/edgar/data/1761918/000119312526019651/d51429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2026-05-11T15:25:38Z</dcterms:created>
  <dcterms:modified xsi:type="dcterms:W3CDTF">2026-05-11T15:25:38Z</dcterms:modified>
</cp:coreProperties>
</file>