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97760ddef14a.htm"/>
        <w:bookmarkStart w:id="1" w:name="ksd697760ddef14a"/>
        <w:bookmarkEnd w:id="0"/>
        <w:bookmarkEnd w:id="1"/>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Erasca,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210185" cy="355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185" cy="355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2024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June 20, 2024 </w:t>
      </w:r>
    </w:p>
    <w:p>
      <w:pPr>
        <w:pStyle w:val="TextBody"/>
        <w:bidi w:val="0"/>
        <w:spacing w:before="240" w:after="0"/>
        <w:jc w:val="center"/>
        <w:rPr>
          <w:rFonts w:ascii="Times New Roman" w:hAnsi="Times New Roman"/>
          <w:b/>
          <w:sz w:val="20"/>
        </w:rPr>
      </w:pPr>
      <w:r>
        <w:rPr>
          <w:rFonts w:ascii="Times New Roman" w:hAnsi="Times New Roman"/>
          <w:b/>
          <w:sz w:val="20"/>
        </w:rPr>
        <w:t xml:space="preserve">ERASCA, INC. </w:t>
      </w:r>
    </w:p>
    <w:p>
      <w:pPr>
        <w:pStyle w:val="TextBody"/>
        <w:bidi w:val="0"/>
        <w:spacing w:before="0" w:after="0"/>
        <w:jc w:val="center"/>
        <w:rPr>
          <w:rFonts w:ascii="Times New Roman" w:hAnsi="Times New Roman"/>
          <w:b/>
          <w:sz w:val="20"/>
        </w:rPr>
      </w:pPr>
      <w:r>
        <w:rPr>
          <w:rFonts w:ascii="Times New Roman" w:hAnsi="Times New Roman"/>
          <w:b/>
          <w:sz w:val="20"/>
        </w:rPr>
        <w:t xml:space="preserve">3115 Merryfield Row,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April 26, 2024 </w:t>
      </w:r>
    </w:p>
    <w:p>
      <w:pPr>
        <w:pStyle w:val="TextBody"/>
        <w:bidi w:val="0"/>
        <w:spacing w:before="12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Annual Meeting of Stockholders (the Annual Meeting) of Erasca, Inc., a Delaware corporation (the Company), at 11:30 a.m. Pacific Time on Thursday, June 20, 2024. The Annual Meeting will be a completely virtual meeting, which will be conducted via live webcast.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 </w:t>
      </w:r>
    </w:p>
    <w:p>
      <w:pPr>
        <w:pStyle w:val="TextBody"/>
        <w:bidi w:val="0"/>
        <w:spacing w:before="240" w:after="0"/>
        <w:jc w:val="left"/>
        <w:rPr>
          <w:rFonts w:ascii="Times New Roman" w:hAnsi="Times New Roman"/>
          <w:sz w:val="20"/>
        </w:rPr>
      </w:pPr>
      <w:r>
        <w:rPr>
          <w:rFonts w:ascii="Times New Roman" w:hAnsi="Times New Roman"/>
          <w:sz w:val="20"/>
        </w:rPr>
        <w:t xml:space="preserve">The Notice of Annual Meeting of Stockholders and Proxy Statement on the following pages describe the matters to be presented at the Annual Meeting. Please see the section entitled How can I attend the Annual Meeting? of the proxy statement for more information about how to attend the virtual-only meeting.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your proxy materials and vote are contained on the proxy card. If you decide to attend the Annual Meeting, you will be able to vote online, even if you have previously submitted your proxy. If you hold your shares through a bank or broker, you will need a proxy from your bank or broker to vote your shares online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support.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15" w:type="dxa"/>
        <w:jc w:val="left"/>
        <w:tblInd w:w="0" w:type="dxa"/>
        <w:tblLayout w:type="fixed"/>
        <w:tblCellMar>
          <w:top w:w="0" w:type="dxa"/>
          <w:left w:w="0" w:type="dxa"/>
          <w:bottom w:w="0" w:type="dxa"/>
          <w:right w:w="0" w:type="dxa"/>
        </w:tblCellMar>
      </w:tblPr>
      <w:tblGrid>
        <w:gridCol w:w="5015"/>
      </w:tblGrid>
      <w:tr>
        <w:trPr/>
        <w:tc>
          <w:tcPr>
            <w:tcW w:w="501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015" w:type="dxa"/>
            <w:tcBorders/>
            <w:vAlign w:val="center"/>
          </w:tcPr>
          <w:p>
            <w:pPr>
              <w:pStyle w:val="TableContents"/>
              <w:bidi w:val="0"/>
              <w:spacing w:before="0" w:after="283"/>
              <w:jc w:val="left"/>
              <w:rPr>
                <w:sz w:val="4"/>
                <w:szCs w:val="4"/>
              </w:rPr>
            </w:pPr>
            <w:r>
              <w:rPr>
                <w:sz w:val="4"/>
                <w:szCs w:val="4"/>
              </w:rPr>
            </w:r>
          </w:p>
        </w:tc>
      </w:tr>
      <w:tr>
        <w:trPr/>
        <w:tc>
          <w:tcPr>
            <w:tcW w:w="501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E. Lim</w:t>
            </w:r>
          </w:p>
        </w:tc>
      </w:tr>
      <w:tr>
        <w:trPr/>
        <w:tc>
          <w:tcPr>
            <w:tcW w:w="5015" w:type="dxa"/>
            <w:tcBorders/>
            <w:vAlign w:val="bottom"/>
          </w:tcPr>
          <w:p>
            <w:pPr>
              <w:pStyle w:val="TableContents"/>
              <w:bidi w:val="0"/>
              <w:spacing w:before="0" w:after="283"/>
              <w:jc w:val="left"/>
              <w:rPr/>
            </w:pPr>
            <w:r>
              <w:rPr/>
              <w:t>Jonathan E. Lim, M.D.</w:t>
            </w:r>
          </w:p>
        </w:tc>
      </w:tr>
      <w:tr>
        <w:trPr/>
        <w:tc>
          <w:tcPr>
            <w:tcW w:w="5015" w:type="dxa"/>
            <w:tcBorders/>
            <w:vAlign w:val="bottom"/>
          </w:tcPr>
          <w:p>
            <w:pPr>
              <w:pStyle w:val="TableContents"/>
              <w:bidi w:val="0"/>
              <w:spacing w:before="0" w:after="283"/>
              <w:jc w:val="left"/>
              <w:rPr/>
            </w:pPr>
            <w:r>
              <w:rPr/>
              <w:t>Chairman, Chief Executive Officer, and Co-Founder</w:t>
            </w:r>
          </w:p>
        </w:tc>
      </w:tr>
      <w:tr>
        <w:trPr/>
        <w:tc>
          <w:tcPr>
            <w:tcW w:w="5015" w:type="dxa"/>
            <w:tcBorders/>
            <w:vAlign w:val="bottom"/>
          </w:tcPr>
          <w:p>
            <w:pPr>
              <w:pStyle w:val="TableContents"/>
              <w:bidi w:val="0"/>
              <w:spacing w:before="0" w:after="283"/>
              <w:jc w:val="left"/>
              <w:rPr/>
            </w:pPr>
            <w:r>
              <w:rPr/>
              <w:t>San Diego, California</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210185" cy="355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0185" cy="35560"/>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120" w:after="0"/>
        <w:jc w:val="left"/>
        <w:rPr>
          <w:rFonts w:ascii="Times New Roman" w:hAnsi="Times New Roman"/>
          <w:b/>
          <w:sz w:val="20"/>
        </w:rPr>
      </w:pPr>
      <w:r>
        <w:rPr>
          <w:rFonts w:ascii="Times New Roman" w:hAnsi="Times New Roman"/>
          <w:b/>
          <w:sz w:val="20"/>
        </w:rPr>
        <w:t xml:space="preserve">To be Held Thursday, June 20, 2024 </w:t>
      </w:r>
    </w:p>
    <w:p>
      <w:pPr>
        <w:pStyle w:val="TextBody"/>
        <w:bidi w:val="0"/>
        <w:spacing w:before="120" w:after="0"/>
        <w:jc w:val="left"/>
        <w:rPr>
          <w:rFonts w:ascii="Times New Roman" w:hAnsi="Times New Roman"/>
          <w:b/>
          <w:sz w:val="20"/>
        </w:rPr>
      </w:pPr>
      <w:r>
        <w:rPr>
          <w:rFonts w:ascii="Times New Roman" w:hAnsi="Times New Roman"/>
          <w:b/>
          <w:sz w:val="20"/>
        </w:rPr>
        <w:t xml:space="preserve">ERASCA, INC. </w:t>
      </w:r>
    </w:p>
    <w:p>
      <w:pPr>
        <w:pStyle w:val="TextBody"/>
        <w:bidi w:val="0"/>
        <w:spacing w:before="0" w:after="0"/>
        <w:jc w:val="left"/>
        <w:rPr>
          <w:rFonts w:ascii="Times New Roman" w:hAnsi="Times New Roman"/>
          <w:b/>
          <w:sz w:val="20"/>
        </w:rPr>
      </w:pPr>
      <w:r>
        <w:rPr>
          <w:rFonts w:ascii="Times New Roman" w:hAnsi="Times New Roman"/>
          <w:b/>
          <w:sz w:val="20"/>
        </w:rPr>
        <w:t xml:space="preserve">3115 Merryfield Row, Suite 300, San Diego, California 92121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of Stockholders (the Annual Meeting) of Erasca, Inc., a Delaware corporation (the Company), will be held at 11:30 a.m. Pacific Time on Thursday, June 20, 2024. The Annual Meeting will be a completely virtual meeting, which will be conducted via live webcast. There will not be a physical meeting location, and stockholders will not be able to attend the Annual Meeting in person. This means that you can attend the Annual Meeting online, vote your shares during the online meeting, and submit questions for consideration at the online meeting. To be admitted to the Annual Meetings live webcast, you must register at www.proxydocs.com/ERAS as described in the proxy materials or your proxy card. As part of the registration process, you must enter the Control Number included in your Notice of Internet Availability of Proxy Materials, your proxy card or on the instructions that accompanied your proxy materials. After completion of your registration, further instructions, including a unique link to access the Annual Meeting, will be emailed to you. The Annual Meeting will be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two directors to serve as Class III directors for a three-year term expiring at the 2027 Annual Meeting of Stockholders and until their respective successors shall have been duly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KPMG LLP as our independent registered public accounting firm for the fiscal year ending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or any continuation, postponement or adjournment of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of Internet Availability of Proxy Materials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of Proxy Materials that is being sent to you.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items of business are more fully described in the attached proxy statement, which forms a part of this notice and is incorporated herein by reference. Holders of record of our common stock as of the close of business on April 24, 2024 are entitled to notice of and to vote at the Annual Meeting, or any continuation, postponement or adjournment of the Annual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It is important that your shares be represented regardless of the number of shares you may hold. Whether or not you plan to attend the Annual Meeting online, we urge you to vote your shares as soon as possible via the toll-free telephone number or over the Internet, as described in the enclosed proxy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 specific voting instructions, please refer to the information provided in the accompanying Proxy Statement and in the Notice of Internet Availability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231"/>
        <w:gridCol w:w="3476"/>
      </w:tblGrid>
      <w:tr>
        <w:trPr/>
        <w:tc>
          <w:tcPr>
            <w:tcW w:w="37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Ebun S. Garner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Ebun S. Garner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General Counsel and Corporate Secretary</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San Diego, California</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April 26, 2024</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3"/>
        <w:gridCol w:w="351"/>
        <w:gridCol w:w="96"/>
        <w:gridCol w:w="423"/>
        <w:gridCol w:w="62"/>
      </w:tblGrid>
      <w:tr>
        <w:trPr/>
        <w:tc>
          <w:tcPr>
            <w:tcW w:w="9273"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7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697760_1">
              <w:r>
                <w:rPr>
                  <w:rStyle w:val="InternetLink"/>
                  <w:rFonts w:ascii="Times New Roman" w:hAnsi="Times New Roman"/>
                  <w:sz w:val="20"/>
                </w:rPr>
                <w:t>GENERAL</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697760_2">
              <w:r>
                <w:rPr>
                  <w:rStyle w:val="InternetLink"/>
                  <w:rFonts w:ascii="Times New Roman" w:hAnsi="Times New Roman"/>
                  <w:sz w:val="20"/>
                </w:rPr>
                <w:t>PROPOSAL 1: ELECTION OF DIRECTORS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697760_3">
              <w:r>
                <w:rPr>
                  <w:rStyle w:val="InternetLink"/>
                  <w:rFonts w:ascii="Times New Roman" w:hAnsi="Times New Roman"/>
                  <w:sz w:val="20"/>
                </w:rPr>
                <w:t>PROPOSAL 2: RATIFICATION OF APPOINTMENT OF INDEPENDENT REGISTERED PUBLIC ACCOUNTING FIRM</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697760_4">
              <w:r>
                <w:rPr>
                  <w:rStyle w:val="InternetLink"/>
                  <w:rFonts w:ascii="Times New Roman" w:hAnsi="Times New Roman"/>
                  <w:sz w:val="20"/>
                </w:rPr>
                <w:t>EXECUTIVE AND DIRECTOR COMPENSATION</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697760_5">
              <w:r>
                <w:rPr>
                  <w:rStyle w:val="InternetLink"/>
                  <w:rFonts w:ascii="Times New Roman" w:hAnsi="Times New Roman"/>
                  <w:sz w:val="20"/>
                </w:rPr>
                <w:t>SECURITY OWNERSHIP OF CERTAIN BENEFICIAL OWNERS AND MANAGEMENT</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697760_6">
              <w:r>
                <w:rPr>
                  <w:rStyle w:val="InternetLink"/>
                  <w:rFonts w:ascii="Times New Roman" w:hAnsi="Times New Roman"/>
                  <w:sz w:val="20"/>
                </w:rPr>
                <w:t>CERTAIN RELATIONSHIPS AND RELATED PERSON TRANSACTIONS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697760_7">
              <w:r>
                <w:rPr>
                  <w:rStyle w:val="InternetLink"/>
                  <w:rFonts w:ascii="Times New Roman" w:hAnsi="Times New Roman"/>
                  <w:sz w:val="20"/>
                </w:rPr>
                <w:t>2025 STOCKHOLDER PROPOSALS</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73" w:type="dxa"/>
            <w:tcBorders/>
            <w:vAlign w:val="bottom"/>
          </w:tcPr>
          <w:p>
            <w:pPr>
              <w:pStyle w:val="TableContents"/>
              <w:bidi w:val="0"/>
              <w:spacing w:before="0" w:after="0"/>
              <w:jc w:val="left"/>
              <w:rPr/>
            </w:pPr>
            <w:hyperlink w:anchor="toc697760_8">
              <w:r>
                <w:rPr>
                  <w:rStyle w:val="InternetLink"/>
                  <w:rFonts w:ascii="Times New Roman" w:hAnsi="Times New Roman"/>
                  <w:sz w:val="20"/>
                </w:rPr>
                <w:t xml:space="preserve">ERASCAS ANNUAL REPORT ON FORM 10-K </w:t>
              </w:r>
            </w:hyperlink>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ERASCA, INC. </w:t>
      </w:r>
    </w:p>
    <w:p>
      <w:pPr>
        <w:pStyle w:val="TextBody"/>
        <w:bidi w:val="0"/>
        <w:spacing w:before="0" w:after="0"/>
        <w:jc w:val="left"/>
        <w:rPr>
          <w:rFonts w:ascii="Times New Roman" w:hAnsi="Times New Roman"/>
          <w:b/>
          <w:sz w:val="20"/>
        </w:rPr>
      </w:pPr>
      <w:r>
        <w:rPr>
          <w:rFonts w:ascii="Times New Roman" w:hAnsi="Times New Roman"/>
          <w:b/>
          <w:sz w:val="20"/>
        </w:rPr>
        <w:t xml:space="preserve">3115 Merryfield Row, Suite 300, San Diego, California 92121 </w:t>
      </w:r>
    </w:p>
    <w:p>
      <w:pPr>
        <w:pStyle w:val="TextBody"/>
        <w:bidi w:val="0"/>
        <w:spacing w:before="360" w:after="0"/>
        <w:jc w:val="left"/>
        <w:rPr>
          <w:rFonts w:ascii="Times New Roman" w:hAnsi="Times New Roman"/>
          <w:b/>
          <w:sz w:val="20"/>
        </w:rPr>
      </w:pPr>
      <w:bookmarkStart w:id="3" w:name="toc697760_1"/>
      <w:bookmarkEnd w:id="3"/>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is furnished in connection with the solicitation by the board of directors (the Board) of Erasca, Inc. of proxies to be voted at our Annual Meeting of Stockholders to be held virtually on Thursday, June 20, 2024 (the Annual Meeting), at 11:30 a.m., Pacific Time, and at any continuation, postponement or adjournment thereof. Holders of record of shares of our common stock, $0.0001 par value per share, as of the close of business on April 24, 2024 (the Record Date), will be entitled to notice of and to vote at the Annual Meeting and any continuation, postponement or adjournment thereof. As of the Record Date, there were 173,358,966 shares of our common stock outstanding and entitled to vote at the Annual Meeting. Each share of common stock is entitled to one vote on any matter presented to stockholders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Companys Annual Report to Stockholders for the year ended December 31, 2023 (the 2023 Annual Report), or Notice of Internet Availability of Proxy Materials, as applicable, will be sent on or about May 7, 2024 to our stockholders on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In this proxy statement, Erasca, the Company, we, us and our refer to Erasca, Inc.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STOCKHOLDER MEETING TO BE HELD ON THURSDAY, JUNE 20, 2024: </w:t>
      </w:r>
    </w:p>
    <w:p>
      <w:pPr>
        <w:pStyle w:val="TextBody"/>
        <w:bidi w:val="0"/>
        <w:spacing w:before="240" w:after="0"/>
        <w:jc w:val="center"/>
        <w:rPr>
          <w:rFonts w:ascii="Times New Roman" w:hAnsi="Times New Roman"/>
          <w:b/>
          <w:sz w:val="20"/>
        </w:rPr>
      </w:pPr>
      <w:r>
        <w:rPr>
          <w:rFonts w:ascii="Times New Roman" w:hAnsi="Times New Roman"/>
          <w:b/>
          <w:sz w:val="20"/>
        </w:rPr>
        <w:t xml:space="preserve">This Proxy Statement and our 2023 Annual Report to Stockholders are available at: </w:t>
      </w:r>
    </w:p>
    <w:p>
      <w:pPr>
        <w:pStyle w:val="TextBody"/>
        <w:bidi w:val="0"/>
        <w:spacing w:before="0" w:after="0"/>
        <w:jc w:val="center"/>
        <w:rPr>
          <w:rFonts w:ascii="Times New Roman" w:hAnsi="Times New Roman"/>
          <w:b/>
          <w:sz w:val="20"/>
        </w:rPr>
      </w:pPr>
      <w:r>
        <w:rPr>
          <w:rFonts w:ascii="Times New Roman" w:hAnsi="Times New Roman"/>
          <w:b/>
          <w:sz w:val="20"/>
        </w:rPr>
        <w:t xml:space="preserve">www.proxydocs.com/ERAS. </w:t>
      </w:r>
    </w:p>
    <w:p>
      <w:pPr>
        <w:pStyle w:val="TextBody"/>
        <w:bidi w:val="0"/>
        <w:spacing w:before="240" w:after="0"/>
        <w:jc w:val="left"/>
        <w:rPr>
          <w:rFonts w:ascii="Times New Roman" w:hAnsi="Times New Roman"/>
          <w:b/>
          <w:sz w:val="20"/>
        </w:rPr>
      </w:pPr>
      <w:r>
        <w:rPr>
          <w:rFonts w:ascii="Times New Roman" w:hAnsi="Times New Roman"/>
          <w:b/>
          <w:sz w:val="20"/>
        </w:rPr>
        <w:t xml:space="preserve">Proposals </w:t>
      </w:r>
    </w:p>
    <w:p>
      <w:pPr>
        <w:pStyle w:val="TextBody"/>
        <w:bidi w:val="0"/>
        <w:spacing w:before="120" w:after="0"/>
        <w:jc w:val="left"/>
        <w:rPr>
          <w:rFonts w:ascii="Times New Roman" w:hAnsi="Times New Roman"/>
          <w:sz w:val="20"/>
        </w:rPr>
      </w:pPr>
      <w:r>
        <w:rPr>
          <w:rFonts w:ascii="Times New Roman" w:hAnsi="Times New Roman"/>
          <w:sz w:val="20"/>
        </w:rPr>
        <w:t xml:space="preserve">At the Annual Meeting, our stockholders will be asked: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Jean I. Liu, J.D. and Pratik S. Multani, M.D. as Class III directors for a three-year term that expires at the 2027 Annual Meeting of Stockholders and until their respective successors shall have been duly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KPMG LLP as our independent public accounting firm for the fiscal year ending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or any continuation, postponement, or adjournment of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Recommendations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recommends that you vote your shares as indicated below. If you return a properly completed proxy card, or vote your shares by telephone or Internet, your shares of common stock will be voted on your behalf as </w:t>
      </w:r>
    </w:p>
    <w:p>
      <w:pPr>
        <w:pStyle w:val="TextBody"/>
        <w:bidi w:val="0"/>
        <w:spacing w:before="0" w:after="0"/>
        <w:jc w:val="left"/>
        <w:rPr>
          <w:rFonts w:ascii="Times New Roman" w:hAnsi="Times New Roman"/>
          <w:sz w:val="20"/>
        </w:rPr>
      </w:pPr>
      <w:r>
        <w:rPr>
          <w:rFonts w:ascii="Times New Roman" w:hAnsi="Times New Roman"/>
          <w:sz w:val="20"/>
        </w:rPr>
        <w:t xml:space="preserve">you direct. If not otherwise specified, the shares of common stock represented by the proxies will be voted, and the Board recommends that you vote,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of the nominees for election as a Class III director as set forth in this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KPMG LLP as our independent registered public accounting firm for the fiscal year ending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other matter properly comes before the stockholders for a vote at the Annual Meeting, the proxy holders named on the Companys proxy card will vote your shares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about this Proxy Statement </w:t>
      </w:r>
    </w:p>
    <w:p>
      <w:pPr>
        <w:pStyle w:val="TextBody"/>
        <w:bidi w:val="0"/>
        <w:spacing w:before="120" w:after="0"/>
        <w:jc w:val="left"/>
        <w:rPr>
          <w:rFonts w:ascii="Times New Roman" w:hAnsi="Times New Roman"/>
          <w:sz w:val="20"/>
        </w:rPr>
      </w:pPr>
      <w:r>
        <w:rPr>
          <w:rFonts w:ascii="Times New Roman" w:hAnsi="Times New Roman"/>
          <w:b/>
          <w:sz w:val="20"/>
        </w:rPr>
        <w:t xml:space="preserve">Why you received this proxy statement. </w:t>
      </w:r>
      <w:r>
        <w:rPr>
          <w:rFonts w:ascii="Times New Roman" w:hAnsi="Times New Roman"/>
          <w:sz w:val="20"/>
        </w:rPr>
        <w:t xml:space="preserve">You are viewing or have received these proxy materials because the Board is soliciting your proxy to vote your shares at the Annual Meeting. This proxy statement includes information that we are required to provide to you under the rules of the Securities and Exchange Commission (the SEC) and that is designed to assist you in voting your shares. </w:t>
      </w:r>
    </w:p>
    <w:p>
      <w:pPr>
        <w:pStyle w:val="TextBody"/>
        <w:bidi w:val="0"/>
        <w:spacing w:before="240" w:after="0"/>
        <w:jc w:val="left"/>
        <w:rPr>
          <w:rFonts w:ascii="Times New Roman" w:hAnsi="Times New Roman"/>
          <w:sz w:val="20"/>
        </w:rPr>
      </w:pPr>
      <w:r>
        <w:rPr>
          <w:rFonts w:ascii="Times New Roman" w:hAnsi="Times New Roman"/>
          <w:b/>
          <w:sz w:val="20"/>
        </w:rPr>
        <w:t xml:space="preserve">Notice of Internet Availability of Proxy Materials. </w:t>
      </w:r>
      <w:r>
        <w:rPr>
          <w:rFonts w:ascii="Times New Roman" w:hAnsi="Times New Roman"/>
          <w:sz w:val="20"/>
        </w:rPr>
        <w:t xml:space="preserve">As permitted by SEC rules, we are making this proxy statement and our 2023 Annual Report available to our stockholders electronically via the Internet. On or about May 7, 2024, we will mail to our stockholders a Notice of Internet Availability of Proxy Materials (the Internet Notice) containing instructions on how to access this proxy statement and our 2023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2023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We encourage our stockholders to take advantage of the availability of the proxy materials on the Internet to help reduce the environmental impact of its annual meetings and reduce the cost to us associated with the printing and mailing of materials. </w:t>
      </w:r>
    </w:p>
    <w:p>
      <w:pPr>
        <w:pStyle w:val="TextBody"/>
        <w:bidi w:val="0"/>
        <w:spacing w:before="240" w:after="0"/>
        <w:jc w:val="left"/>
        <w:rPr>
          <w:rFonts w:ascii="Times New Roman" w:hAnsi="Times New Roman"/>
          <w:sz w:val="20"/>
        </w:rPr>
      </w:pPr>
      <w:r>
        <w:rPr>
          <w:rFonts w:ascii="Times New Roman" w:hAnsi="Times New Roman"/>
          <w:b/>
          <w:sz w:val="20"/>
        </w:rPr>
        <w:t xml:space="preserve">Printed copies of our proxy materials. </w:t>
      </w:r>
      <w:r>
        <w:rPr>
          <w:rFonts w:ascii="Times New Roman" w:hAnsi="Times New Roman"/>
          <w:sz w:val="20"/>
        </w:rPr>
        <w:t xml:space="preserve">If you received printed copies of our proxy materials, then instructions regarding how you can vote are contained on the proxy card included in the materials. </w:t>
      </w:r>
    </w:p>
    <w:p>
      <w:pPr>
        <w:pStyle w:val="TextBody"/>
        <w:bidi w:val="0"/>
        <w:spacing w:before="240" w:after="0"/>
        <w:jc w:val="left"/>
        <w:rPr>
          <w:rFonts w:ascii="Times New Roman" w:hAnsi="Times New Roman"/>
          <w:sz w:val="20"/>
        </w:rPr>
      </w:pPr>
      <w:r>
        <w:rPr>
          <w:rFonts w:ascii="Times New Roman" w:hAnsi="Times New Roman"/>
          <w:b/>
          <w:sz w:val="20"/>
        </w:rPr>
        <w:t xml:space="preserve">Householding. </w:t>
      </w:r>
      <w:r>
        <w:rPr>
          <w:rFonts w:ascii="Times New Roman" w:hAnsi="Times New Roman"/>
          <w:sz w:val="20"/>
        </w:rPr>
        <w:t xml:space="preserve">The SECs rules permit us to deliver a single Internet Notice or set of proxy materials to one address shared by two or more 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request to Erasca, Inc., 3115 Merryfield Row, Suite 300, San Diego, California 92121, Attention: Corporate Secretary or by calling (858) 465-6511. Such requests by street name holders should be made through their bank, broker or other holder of record.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sharing an address that are receiving multiple copies of the Internet Notice can request delivery of a single copy of the proxy statement or annual report or Internet Notice by contacting their broker, bank or other intermediary or sending a written request to Erasca, Inc. at the above address or by calling (858) 465-6511.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and Answers about the Annual Meeting </w:t>
      </w:r>
    </w:p>
    <w:p>
      <w:pPr>
        <w:pStyle w:val="TextBody"/>
        <w:bidi w:val="0"/>
        <w:spacing w:before="120" w:after="0"/>
        <w:jc w:val="left"/>
        <w:rPr>
          <w:rFonts w:ascii="Times New Roman" w:hAnsi="Times New Roman"/>
          <w:b/>
          <w:sz w:val="20"/>
        </w:rPr>
      </w:pPr>
      <w:r>
        <w:rPr>
          <w:rFonts w:ascii="Times New Roman" w:hAnsi="Times New Roman"/>
          <w:b/>
          <w:sz w:val="20"/>
        </w:rPr>
        <w:t xml:space="preserve">Who is entitled to vote on matters presented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Record Date for the Annual Meeting is April 24, 2024. You are entitled to vote on the matters presented at the Annual Meeting if you were a record holder at the close of business on the Record Date. Each outstanding share of common stock is entitled to one vote for all matters before the Annual Meeting. At the close of business on the Record Date, there were 173,358,966 shares of common stock outstanding and entitled to vote at the Annual Meeting. Common stock is our only class of stock entitled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is the difference between being a record holder and holding shares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then you are a stockholder of record. </w:t>
      </w:r>
    </w:p>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Am I entitled to vote if my shares are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Yes.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how to vote your shares, and the brokerage firm, bank, dealer or other similar organizations is required to vote your shares in accordance with your instructions. If your shares are held in street name, you may not vote your shares in person at the Annual Meeting, unless you obtain, and present at the Annual Meeting, a legal proxy from your brokerage firm, bank, dealer or other similar organization.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shares must be present to hold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quorum must be present at the Annual Meeting for any business to be conducted. Under Delaware law and our Amended and Restated Bylaws (the Bylaws), the presence at the Annual Meeting online, or by proxy, of the holders of a majority in voting power of the common stock issued and outstanding and entitled to vote, on the Record Date will constitute a quorum for the transaction of business at the Annual Meeting. The inspector of election will determine whether a quorum is present and will tabulate the votes cast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we have decided to hold the Annual Meeting entirely online this year. You may attend the Annual Meeting only if you are a record holder or beneficial owner of our common stock as of the Record Date. If you are a record holder you are entitled to vote at the Annual Meeting. If you hold your shares in street name you must obtain a valid proxy from your brokerage firm, bank, dealer or other similar organization to vote at the Annual Meeting. To attend and participate in the Annual Meeting, you will need the Control Number included in your Internet Notice, your proxy card or on the instructions that accompanied your proxy materials. If your shares are held in street name, you should contact your bank or broker to obtain your Control Number or otherwise vote through the bank or broker. To be admitted to the Annual Meeting and vote your shares, you must register to attend the Annual Meeting at www.proxydocs.com/ERAS and provide the Control Number by 2:00 p.m. Pacific Time on June 18, 2024. After completion of your registration, further instructions, including a unique link to access the Annual Meeting, will be emailed to you. </w:t>
      </w:r>
    </w:p>
    <w:p>
      <w:pPr>
        <w:pStyle w:val="TextBody"/>
        <w:bidi w:val="0"/>
        <w:spacing w:before="240" w:after="0"/>
        <w:jc w:val="left"/>
        <w:rPr>
          <w:rFonts w:ascii="Times New Roman" w:hAnsi="Times New Roman"/>
          <w:sz w:val="20"/>
        </w:rPr>
      </w:pPr>
      <w:r>
        <w:rPr>
          <w:rFonts w:ascii="Times New Roman" w:hAnsi="Times New Roman"/>
          <w:sz w:val="20"/>
        </w:rPr>
        <w:t xml:space="preserve">This years stockholder question and answer session will include questions submitted in advance of the Annual Meeting. You may submit a question in advance of the meeting as a part of the registration process. Questions pertinent to meeting matters and that are submitted in accordance with our Rules of Conduct for the Annual Meeting will be answered during the Annual Meeting, subject to applicable time constraints. Questions and answers may be grouped by topic and substantially similar questions may be grouped and answered once. In order to promote fairness, efficient use of time and in order to ensure all stockholders are responded to, we will respond to up to two questions from a single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What if a quorum is not present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not present at the scheduled time of the Annual Meeting, (i) the Chairperson of the Annual Meeting or (ii) the holders of a majority of the shares entitled to vote, present at the virtual meeting,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represented by proxy, at the virtual meeting are authorized by our Amended and Restated Bylaws to adjourn the Annual Meeting until a quorum is present or represented.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Internet Notice or more than one set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election of directors, you may either vote For all the nominees to the Board or you may Withhold your vote for any nominee you specify. With respect to the ratification of the appointment of KPMG LLP as our independent registered public accounting firm, you may vote For, Against or Abstain from voting.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there are several ways for you to vote your shares. Whether or not you plan to attend the virtual Annual Meeting, we urge you to vote by proxy prior to the Annual Meeting to ensure that your vote is counted.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Via the internet</w:t>
            </w:r>
            <w:r>
              <w:rPr>
                <w:rFonts w:ascii="Times New Roman" w:hAnsi="Times New Roman"/>
                <w:sz w:val="20"/>
              </w:rPr>
              <w:t xml:space="preserve">: You may vote at www.proxypush.com/ERAS, 24 hours a day, seven days a week, by following the instructions provided in the Internet Notice. You will need to use the Control Number included in your Internet Notice, your proxy card or on the instructions that accompanied your proxy materials to vote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By telephone</w:t>
            </w:r>
            <w:r>
              <w:rPr>
                <w:rFonts w:ascii="Times New Roman" w:hAnsi="Times New Roman"/>
                <w:sz w:val="20"/>
              </w:rPr>
              <w:t xml:space="preserve">: You may vote using a touch-tone telephone by calling (866) 648-8133, 24 hours a day, seven days a week. You will need to use the Control Number included in your Internet Notice, your proxy card or on the instructions that accompanied your proxy materials to vote by telephone. Votes submitted by telephone must be received by 11:29 a.m., Pacific Time, on June 20,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By mail</w:t>
            </w:r>
            <w:r>
              <w:rPr>
                <w:rFonts w:ascii="Times New Roman" w:hAnsi="Times New Roman"/>
                <w:sz w:val="20"/>
              </w:rPr>
              <w:t xml:space="preserve">: If you request printed copies of the proxy materials by mail, you may vote using your proxy card by completing, signing, dating and returning the proxy card in the self-addressed, postage-paid envelope provided. If you properly complete your proxy card and send it to us in time to vote, your proxy (one of the individuals named on your proxy card) will vote your shares as you have directed.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At the virtual Annual Meeting</w:t>
            </w:r>
            <w:r>
              <w:rPr>
                <w:rFonts w:ascii="Times New Roman" w:hAnsi="Times New Roman"/>
                <w:sz w:val="20"/>
              </w:rPr>
              <w:t xml:space="preserve">: You may vote during the virtual annual meeting through www.proxydocs.com/ERAS. To be admitted to the annual meeting and vote your shares, you must register to attend the annual meeting at www.proxydocs.com/ERAS by 2:00 p.m. Pacific Time on June 18, 2024 and provide the Control Number included in your Internet Notice, your proxy card or on the instructions that accompanied your proxy materials. After completion of your registration, further instructions, including a unique link to access the Annual Meeting, will be emailed to you.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owners: shares registered in the name of a broker, bank or other agent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directly from us. Please check with your bank, broker, or other agent and follow the voting instructions they provide to vote your shares. Generally, you have three options for returning your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By method listed on voting instruction card</w:t>
            </w:r>
            <w:r>
              <w:rPr>
                <w:rFonts w:ascii="Times New Roman" w:hAnsi="Times New Roman"/>
                <w:sz w:val="20"/>
              </w:rPr>
              <w:t xml:space="preserve">: Please refer to your voting instruction card or other information provided by your bank, broker or other agent to determine whether you may vote by telephone or electronically on the Internet, and follow the instructions on the voting instruction card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information provided by your broker, bank or other agent. A large number of banks and brokerage firms offer Internet and telephone voting. If your bank, broker or other agent does not offer Internet or telephone voting information, please follow the other voting instructions they provide to vote your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By mail</w:t>
            </w:r>
            <w:r>
              <w:rPr>
                <w:rFonts w:ascii="Times New Roman" w:hAnsi="Times New Roman"/>
                <w:sz w:val="20"/>
              </w:rPr>
              <w:t xml:space="preserve">: You may vote by signing, dating and returning your voting instruction card in the pre-addressed envelope provided by your broker, bank or other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At the virtual Annual Meeting</w:t>
            </w:r>
            <w:r>
              <w:rPr>
                <w:rFonts w:ascii="Times New Roman" w:hAnsi="Times New Roman"/>
                <w:sz w:val="20"/>
              </w:rPr>
              <w:t xml:space="preserve">: To vote online during the virtual Annual Meeting, you must obtain a valid proxy from your broker, bank or other agent. Follow the instructions from your broker, bank or other agent included with these proxy materials, or contact your broker or bank to request the proxy form authorizing you to vote the shares. You must also register to attend the Annual Meeting at www.proxydocs.com/ERAS and provide the Control Number included in your Internet Notice, your proxy card or on the instructions that accompanied your proxy materials. After completion of your registration, further instructions, including a unique link to access the Annual Meeting, will be emailed to you.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I submit my proxy? </w:t>
      </w:r>
    </w:p>
    <w:p>
      <w:pPr>
        <w:pStyle w:val="TextBody"/>
        <w:bidi w:val="0"/>
        <w:spacing w:before="120" w:after="0"/>
        <w:jc w:val="left"/>
        <w:rPr>
          <w:rFonts w:ascii="Times New Roman" w:hAnsi="Times New Roman"/>
          <w:sz w:val="20"/>
        </w:rPr>
      </w:pPr>
      <w:r>
        <w:rPr>
          <w:rFonts w:ascii="Times New Roman" w:hAnsi="Times New Roman"/>
          <w:sz w:val="20"/>
        </w:rPr>
        <w:t xml:space="preserve">Yes. If you are a record holder, you may revoke your proxy and change your vote any time before the proxy is voted at the Annual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submitting a duly executed proxy bearing a later date than your prior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granting a subsequent proxy through the Internet or telephone;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giving written notice of revocation to the Corporate Secretary of Erasca prior to or at the Annual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voting online at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recent proxy card or telephone or Internet proxy is the one that is counted. Your attendance at the Annual Meeting by itself will not revoke your proxy.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you may change or revoke your voting instructions by following the specific directions provided to you by your bank or broker, or you may vote virtually at the Annual Meeting by obtaining a legal proxy from your bank or broker and submitting the legal proxy along with your ballot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Who will count the votes? </w:t>
      </w:r>
    </w:p>
    <w:p>
      <w:pPr>
        <w:pStyle w:val="TextBody"/>
        <w:bidi w:val="0"/>
        <w:spacing w:before="120" w:after="0"/>
        <w:jc w:val="left"/>
        <w:rPr>
          <w:rFonts w:ascii="Times New Roman" w:hAnsi="Times New Roman"/>
          <w:sz w:val="20"/>
        </w:rPr>
      </w:pPr>
      <w:r>
        <w:rPr>
          <w:rFonts w:ascii="Times New Roman" w:hAnsi="Times New Roman"/>
          <w:sz w:val="20"/>
        </w:rPr>
        <w:t xml:space="preserve">A representative from Mediant Communications, Inc. is expected to tabulate the votes and an employee of the Company is expected to be our inspector of election and will certify the votes.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do not specify how my shares are to be voted?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1 of this proxy statement, along with the description of each proposal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do not provide the organization that holds your shares with specific voting instructions, then, the organization that holds your shares may generally vote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p>
      <w:pPr>
        <w:pStyle w:val="TextBody"/>
        <w:bidi w:val="0"/>
        <w:spacing w:before="120" w:after="0"/>
        <w:jc w:val="left"/>
        <w:rPr>
          <w:rFonts w:ascii="Times New Roman" w:hAnsi="Times New Roman"/>
          <w:sz w:val="20"/>
        </w:rPr>
      </w:pPr>
      <w:r>
        <w:rPr>
          <w:rFonts w:ascii="Times New Roman" w:hAnsi="Times New Roman"/>
          <w:sz w:val="20"/>
        </w:rPr>
        <w:t xml:space="preserve">Shares represented by proxies that reflect a broker non-vote will be counted as present for purposes of determining the presence of a quorum. As discussed above, broker non-votes occur when shares held by a broker in street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KPMG LLP as our independent registered public accounting firm. Thus, broker non-votes are not expected on that proposal. On the other hand, absent instructions from the beneficial owner of such shares, a broker is not entitled to vote shares held for a beneficial owner on non-routine matters. Broker non-votes on the election of directors, which is considered a non-routine matter, will have no effect because they are not considered votes cast, and the two directors that receive the highest number of votes will be elected. </w:t>
      </w:r>
    </w:p>
    <w:p>
      <w:pPr>
        <w:pStyle w:val="TextBody"/>
        <w:bidi w:val="0"/>
        <w:spacing w:before="360" w:after="0"/>
        <w:jc w:val="left"/>
        <w:rPr>
          <w:rFonts w:ascii="Times New Roman" w:hAnsi="Times New Roman"/>
          <w:b/>
          <w:sz w:val="20"/>
        </w:rPr>
      </w:pPr>
      <w:r>
        <w:rPr>
          <w:rFonts w:ascii="Times New Roman" w:hAnsi="Times New Roman"/>
          <w:b/>
          <w:sz w:val="20"/>
        </w:rPr>
        <w:t xml:space="preserve">What is an abstention and how will votes withheld and abstentions be treated? </w:t>
      </w:r>
    </w:p>
    <w:p>
      <w:pPr>
        <w:pStyle w:val="TextBody"/>
        <w:bidi w:val="0"/>
        <w:spacing w:before="120" w:after="0"/>
        <w:jc w:val="left"/>
        <w:rPr>
          <w:rFonts w:ascii="Times New Roman" w:hAnsi="Times New Roman"/>
          <w:sz w:val="20"/>
        </w:rPr>
      </w:pPr>
      <w:r>
        <w:rPr>
          <w:rFonts w:ascii="Times New Roman" w:hAnsi="Times New Roman"/>
          <w:sz w:val="20"/>
        </w:rPr>
        <w:t xml:space="preserve">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KPMG LLP, represents a stockholders affirmative choice to decline to vote on a proposal. Votes withheld have no effect on the election of directors, as the two directors that receive the highest number of votes will be elected, and abstentions are not considered to be a vote cast and will have no effect on the ratification of the appointment of KPMG LLP.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are required for the approval of the proposals to be voted upon and how will abstentions and broker non-votes be treated?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3"/>
        <w:gridCol w:w="3267"/>
        <w:gridCol w:w="203"/>
        <w:gridCol w:w="2961"/>
      </w:tblGrid>
      <w:tr>
        <w:trPr/>
        <w:tc>
          <w:tcPr>
            <w:tcW w:w="357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Proposal</w:t>
            </w:r>
          </w:p>
        </w:tc>
        <w:tc>
          <w:tcPr>
            <w:tcW w:w="203"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Votes Required</w:t>
            </w:r>
          </w:p>
        </w:tc>
        <w:tc>
          <w:tcPr>
            <w:tcW w:w="203"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of Votes Withheld /</w:t>
              <w:br/>
              <w:t>Abstentions and Broker</w:t>
              <w:br/>
              <w:t>Non-Votes</w:t>
            </w:r>
          </w:p>
        </w:tc>
      </w:tr>
      <w:tr>
        <w:trPr/>
        <w:tc>
          <w:tcPr>
            <w:tcW w:w="3571" w:type="dxa"/>
            <w:tcBorders/>
          </w:tcPr>
          <w:p>
            <w:pPr>
              <w:pStyle w:val="TableContents"/>
              <w:bidi w:val="0"/>
              <w:spacing w:before="0" w:after="283"/>
              <w:jc w:val="left"/>
              <w:rPr/>
            </w:pPr>
            <w:r>
              <w:rPr/>
              <w:t>Proposal 1  Election of directors</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The plurality of the votes cast. This means that the two nominees receiving the highest number of affirmative FOR votes will be elected as Class III directors.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Votes withheld and broker non-votes will have no effect.</w:t>
            </w:r>
          </w:p>
        </w:tc>
      </w:tr>
      <w:tr>
        <w:trPr/>
        <w:tc>
          <w:tcPr>
            <w:tcW w:w="3571" w:type="dxa"/>
            <w:tcBorders/>
          </w:tcPr>
          <w:p>
            <w:pPr>
              <w:pStyle w:val="TableContents"/>
              <w:bidi w:val="0"/>
              <w:spacing w:before="0" w:after="283"/>
              <w:jc w:val="left"/>
              <w:rPr/>
            </w:pPr>
            <w:r>
              <w:rPr/>
              <w:t>Proposal 2  Ratification of appointment of independent registered public accounting firm</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The affirmative vote of a majority of the votes cast for or against the matter.</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Abstentions will have no effect. We do not expect any broker non-votes on this proposal.</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Will any other business be conducted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Where can I find the voting results of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plan to announce preliminary voting results at the Annual Meeting and we will report the final results in a Current Report on Form 8-K, which we intend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Proposals To Be Voted On   </w:t>
      </w:r>
    </w:p>
    <w:p>
      <w:pPr>
        <w:pStyle w:val="TextBody"/>
        <w:bidi w:val="0"/>
        <w:spacing w:before="120" w:after="0"/>
        <w:jc w:val="left"/>
        <w:rPr>
          <w:rFonts w:ascii="Times New Roman" w:hAnsi="Times New Roman"/>
          <w:b/>
          <w:sz w:val="20"/>
        </w:rPr>
      </w:pPr>
      <w:bookmarkStart w:id="4" w:name="toc697760_2"/>
      <w:bookmarkEnd w:id="4"/>
      <w:r>
        <w:rPr>
          <w:rFonts w:ascii="Times New Roman" w:hAnsi="Times New Roman"/>
          <w:b/>
          <w:sz w:val="20"/>
        </w:rPr>
        <w:t xml:space="preserve">Proposal 1 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At the Annual Meeting, two Class III directors are to be elected to hold office for a three-year term expiring at the Annual Meeting of Stockholders to be held in 2027 and until such directors successor is elected and qualified or until such directors earlier death, resignation or removal. Based on the recommendation of the Nominating and Corporate Governance Committee, the Board has nominated Jean I. Liu, J.D. and Pratik S. Multani, M.D. for re-election as Class III directors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proposal regarding the election of directors requires the approval of a plurality of the votes cast. This means that the two nominees receiving the highest number of affirmative FOR votes will be elected as Class III directors. Votes withheld and broker non-votes are not considered to be votes cast and, accordingly, will have no effect on the outcome of the vote on this proposal.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(the Charter) and Bylaws provide that the authorized number of directors shall be fixed from time to time exclusively by resolution adopted by a majority of the Board. We currently have eight authorized directors on our Board.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following table summarizes the age, position at the Company, independence, and director class of our directors: </w:t>
      </w:r>
    </w:p>
    <w:p>
      <w:pPr>
        <w:pStyle w:val="TextBody"/>
        <w:bidi w:val="0"/>
        <w:spacing w:before="0" w:after="0"/>
        <w:jc w:val="left"/>
        <w:rPr/>
      </w:pPr>
      <w:r>
        <w:rPr/>
        <w:t> </w:t>
      </w:r>
    </w:p>
    <w:tbl>
      <w:tblPr>
        <w:tblW w:w="12220" w:type="dxa"/>
        <w:jc w:val="center"/>
        <w:tblInd w:w="0" w:type="dxa"/>
        <w:tblLayout w:type="fixed"/>
        <w:tblCellMar>
          <w:top w:w="0" w:type="dxa"/>
          <w:left w:w="0" w:type="dxa"/>
          <w:bottom w:w="0" w:type="dxa"/>
          <w:right w:w="0" w:type="dxa"/>
        </w:tblCellMar>
      </w:tblPr>
      <w:tblGrid>
        <w:gridCol w:w="1160"/>
        <w:gridCol w:w="120"/>
        <w:gridCol w:w="79"/>
        <w:gridCol w:w="346"/>
        <w:gridCol w:w="60"/>
        <w:gridCol w:w="120"/>
        <w:gridCol w:w="7235"/>
        <w:gridCol w:w="60"/>
        <w:gridCol w:w="302"/>
        <w:gridCol w:w="1008"/>
        <w:gridCol w:w="60"/>
        <w:gridCol w:w="60"/>
        <w:gridCol w:w="304"/>
        <w:gridCol w:w="1246"/>
        <w:gridCol w:w="60"/>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Independent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Director Class(1)</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E. Lim, M.D.</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52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35" w:type="dxa"/>
            <w:tcBorders/>
            <w:shd w:fill="CCEEFF" w:val="clear"/>
            <w:vAlign w:val="bottom"/>
          </w:tcPr>
          <w:p>
            <w:pPr>
              <w:pStyle w:val="TableContents"/>
              <w:bidi w:val="0"/>
              <w:spacing w:before="0" w:after="283"/>
              <w:jc w:val="left"/>
              <w:rPr/>
            </w:pPr>
            <w:r>
              <w:rPr/>
              <w:t>Chairman of the Board, Chief Executive Officer, and Co-Founder</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I</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James A. Bristol, Ph.D.</w:t>
            </w:r>
          </w:p>
        </w:tc>
        <w:tc>
          <w:tcPr>
            <w:tcW w:w="12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77</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35" w:type="dxa"/>
            <w:tcBorders/>
            <w:vAlign w:val="bottom"/>
          </w:tcPr>
          <w:p>
            <w:pPr>
              <w:pStyle w:val="TableContents"/>
              <w:bidi w:val="0"/>
              <w:spacing w:before="0" w:after="283"/>
              <w:jc w:val="left"/>
              <w:rPr/>
            </w:pPr>
            <w:r>
              <w:rPr/>
              <w:t>Lead Independent Director</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I</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Valerie Harding-Start, Ph.D.</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64</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35" w:type="dxa"/>
            <w:tcBorders/>
            <w:shd w:fill="CCEEFF" w:val="clear"/>
            <w:vAlign w:val="bottom"/>
          </w:tcPr>
          <w:p>
            <w:pPr>
              <w:pStyle w:val="TableContents"/>
              <w:bidi w:val="0"/>
              <w:spacing w:before="0" w:after="283"/>
              <w:jc w:val="left"/>
              <w:rPr/>
            </w:pPr>
            <w:r>
              <w:rPr/>
              <w:t>Director</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I</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Alexander W. Casdin</w:t>
            </w:r>
          </w:p>
        </w:tc>
        <w:tc>
          <w:tcPr>
            <w:tcW w:w="12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56</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35" w:type="dxa"/>
            <w:tcBorders/>
            <w:vAlign w:val="bottom"/>
          </w:tcPr>
          <w:p>
            <w:pPr>
              <w:pStyle w:val="TableContents"/>
              <w:bidi w:val="0"/>
              <w:spacing w:before="0" w:after="283"/>
              <w:jc w:val="left"/>
              <w:rPr/>
            </w:pPr>
            <w:r>
              <w:rPr/>
              <w:t>Director</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II</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Julie Hambleton, M.D.</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66</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35" w:type="dxa"/>
            <w:tcBorders/>
            <w:shd w:fill="CCEEFF" w:val="clear"/>
            <w:vAlign w:val="bottom"/>
          </w:tcPr>
          <w:p>
            <w:pPr>
              <w:pStyle w:val="TableContents"/>
              <w:bidi w:val="0"/>
              <w:spacing w:before="0" w:after="283"/>
              <w:jc w:val="left"/>
              <w:rPr/>
            </w:pPr>
            <w:r>
              <w:rPr/>
              <w:t>Director</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II</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Michael D. Varney, Ph.D.</w:t>
            </w:r>
          </w:p>
        </w:tc>
        <w:tc>
          <w:tcPr>
            <w:tcW w:w="12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65</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35" w:type="dxa"/>
            <w:tcBorders/>
            <w:vAlign w:val="bottom"/>
          </w:tcPr>
          <w:p>
            <w:pPr>
              <w:pStyle w:val="TableContents"/>
              <w:bidi w:val="0"/>
              <w:spacing w:before="0" w:after="283"/>
              <w:jc w:val="left"/>
              <w:rPr/>
            </w:pPr>
            <w:r>
              <w:rPr/>
              <w:t>Chair of Research and Development and Scientific Advisory Board member</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II</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Jean I. Liu, J.D..</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6" w:type="dxa"/>
            <w:tcBorders/>
            <w:shd w:fill="CCEEFF" w:val="clear"/>
          </w:tcPr>
          <w:p>
            <w:pPr>
              <w:pStyle w:val="TableContents"/>
              <w:bidi w:val="0"/>
              <w:spacing w:before="0" w:after="283"/>
              <w:jc w:val="right"/>
              <w:rPr/>
            </w:pPr>
            <w:r>
              <w:rPr/>
              <w:t>55</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35" w:type="dxa"/>
            <w:tcBorders/>
            <w:shd w:fill="CCEEFF" w:val="clear"/>
            <w:vAlign w:val="bottom"/>
          </w:tcPr>
          <w:p>
            <w:pPr>
              <w:pStyle w:val="TableContents"/>
              <w:bidi w:val="0"/>
              <w:spacing w:before="0" w:after="283"/>
              <w:jc w:val="left"/>
              <w:rPr/>
            </w:pPr>
            <w:r>
              <w:rPr/>
              <w:t>Director</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III</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Pratik S. Multani, M.D.</w:t>
            </w:r>
          </w:p>
        </w:tc>
        <w:tc>
          <w:tcPr>
            <w:tcW w:w="12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57</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35" w:type="dxa"/>
            <w:tcBorders/>
            <w:vAlign w:val="bottom"/>
          </w:tcPr>
          <w:p>
            <w:pPr>
              <w:pStyle w:val="TableContents"/>
              <w:bidi w:val="0"/>
              <w:spacing w:before="0" w:after="283"/>
              <w:jc w:val="left"/>
              <w:rPr/>
            </w:pPr>
            <w:r>
              <w:rPr/>
              <w:t>Director</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III</w:t>
            </w:r>
          </w:p>
        </w:tc>
        <w:tc>
          <w:tcPr>
            <w:tcW w:w="6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III directors are nominated for re-election at the Annual Meeting with a term to expire at the 2027 annual meeting. The terms of Class I directors expire at the 2025 annual meeting. The terms of Class II directors expire at the 2026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division of our Board into three classes with staggered three-year terms may delay or prevent a change of our management or a change in control of our Company. Our directors may be removed only for cause and only by the affirmative vote of the holders of at least two-thirds of the voting power of the then-outstanding shares of capital stock entitled to vote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 </w:t>
      </w:r>
    </w:p>
    <w:p>
      <w:pPr>
        <w:pStyle w:val="TextBody"/>
        <w:bidi w:val="0"/>
        <w:spacing w:before="240" w:after="0"/>
        <w:jc w:val="left"/>
        <w:rPr>
          <w:rFonts w:ascii="Times New Roman" w:hAnsi="Times New Roman"/>
          <w:sz w:val="20"/>
        </w:rPr>
      </w:pPr>
      <w:r>
        <w:rPr>
          <w:rFonts w:ascii="Times New Roman" w:hAnsi="Times New Roman"/>
          <w:sz w:val="20"/>
        </w:rPr>
        <w:t xml:space="preserve">All of the persons whose names and biographies appear below are currently serving as our directors. Each of our directors brings to the Board significant leadership experience derived from their professional experience and service as executives or board members of other corporations and/or private equity and venture capital firms. The process undertaken by the Nominating and Corporate Governance Committee in recommending qualified director candidates is described below under Board diversity and director nomination process. Certain individual qualifications and skills of our directors that contribute to the Boards effectiveness as a whole are described in the following paragraphs.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proposal regarding the election of directors requires the approval of a plurality of the votes cast. This means that the nominees receiving the highest number of affirmative FOR votes will be elected as Class III Directors. Votes withheld and broker non-votes are not considered to be votes cast and, accordingly, will have no effect on the outcome of the vote on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unanimously recommends a vote FOR the election of the two nominees for Class III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Information regarding directors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below as to the directors and nominees for director has been furnished to us by the directors and nominees for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for election to the Board: </w:t>
      </w:r>
    </w:p>
    <w:p>
      <w:pPr>
        <w:pStyle w:val="TextBody"/>
        <w:bidi w:val="0"/>
        <w:spacing w:before="120" w:after="0"/>
        <w:jc w:val="left"/>
        <w:rPr>
          <w:rFonts w:ascii="Times New Roman" w:hAnsi="Times New Roman"/>
          <w:b/>
          <w:sz w:val="20"/>
        </w:rPr>
      </w:pPr>
      <w:r>
        <w:rPr>
          <w:rFonts w:ascii="Times New Roman" w:hAnsi="Times New Roman"/>
          <w:b/>
          <w:sz w:val="20"/>
        </w:rPr>
        <w:t xml:space="preserve">Class III directors (terms to expire at the Annual Meeting) </w:t>
      </w:r>
    </w:p>
    <w:p>
      <w:pPr>
        <w:pStyle w:val="TextBody"/>
        <w:bidi w:val="0"/>
        <w:spacing w:before="120" w:after="0"/>
        <w:jc w:val="left"/>
        <w:rPr>
          <w:rFonts w:ascii="Times New Roman" w:hAnsi="Times New Roman"/>
          <w:sz w:val="20"/>
        </w:rPr>
      </w:pPr>
      <w:r>
        <w:rPr>
          <w:rFonts w:ascii="Times New Roman" w:hAnsi="Times New Roman"/>
          <w:i/>
          <w:sz w:val="20"/>
        </w:rPr>
        <w:t>Jean I. Liu, J.D.</w:t>
      </w:r>
      <w:r>
        <w:rPr>
          <w:rFonts w:ascii="Times New Roman" w:hAnsi="Times New Roman"/>
          <w:sz w:val="20"/>
        </w:rPr>
        <w:t xml:space="preserve"> has served on our Board since April 2022. Ms. Liu was the Chief Legal Officer and Corporate Secretary of Seagen Inc., a publicly-traded, global, multi product biotechnology company, from 2014 until Seagens acquisition by Pfizer in December 2023. Prior to that, she served as Vice President and General Counsel of Halozyme Therapeutics, Inc., a publicly traded biotechnology company, from November 2011 to November 2014. From 1998 to 2011, she was with Durect Corporation, a publicly traded biotechnology company, where she served in positions of increasing responsibility, including most recently Chief Legal Officer and Corporate Secretary. Prior to Durect, Ms. Liu was in private practice at the law firms of Pillsbury, Madison &amp; Sutro (now Pillsbury Winthrop) and Venture Law Group in the areas of intellectual property litigation and corporate transactions. Ms. Liu has served on the board of directors of Connect Biopharma Holdings Limited, a publicly traded biotechnology company developing treatments for T cell-driven inflammatory diseases, since August 2021. Ms. Liu received her B.S. in Cellular and Molecular Biology with highest distinction from the University of Michigan, her M.S. in Biology from Stanford University and her J.D. from Columbia University where she was a Harlan Fiske Stone Scholar. Ms. Lius executive and legal experience in the biopharmaceutical industry and experience with respect to corporate governance matters contributed to our Boards conclusion that she should serve as a director of our Company. </w:t>
      </w:r>
    </w:p>
    <w:p>
      <w:pPr>
        <w:pStyle w:val="TextBody"/>
        <w:bidi w:val="0"/>
        <w:spacing w:before="240" w:after="0"/>
        <w:jc w:val="left"/>
        <w:rPr>
          <w:rFonts w:ascii="Times New Roman" w:hAnsi="Times New Roman"/>
          <w:sz w:val="20"/>
        </w:rPr>
      </w:pPr>
      <w:r>
        <w:rPr>
          <w:rFonts w:ascii="Times New Roman" w:hAnsi="Times New Roman"/>
          <w:i/>
          <w:sz w:val="20"/>
        </w:rPr>
        <w:t xml:space="preserve">Pratik S. Multani, M.D. </w:t>
      </w:r>
      <w:r>
        <w:rPr>
          <w:rFonts w:ascii="Times New Roman" w:hAnsi="Times New Roman"/>
          <w:sz w:val="20"/>
        </w:rPr>
        <w:t xml:space="preserve">has served on our Board since July 2018. Dr. Multani has served as Chief Medical Officer of ORIC Pharmaceuticals, Inc., a public oncology therapeutic company, since September 2018. From 2015 to February 2018, Dr. Multani served as the Chief Medical Officer of Ignyta, Inc. From 2009 to 2015, Dr. Multani was Chief Medical Officer at Fate Therapeutics, Inc., a biopharmaceutical company. Prior to that, Dr. Multani was Vice President of Clinical Development at Kalypsys, Inc. and Senior Vice President of Clinical Development and Chief Medical Officer at Kanisa Pharmaceuticals, Inc. Dr. Multani also held academic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positions at Harvard Medical School and Massachusetts General Hospital, where he was a member of the bone marrow transplant unit. He completed his internship and residency training in internal medicine at Massachusetts General Hospital and his oncology fellowship at the Dana-Farber/Partners combined program. Dr. Multani has served on the board of directors of Chimerix, Inc., a public biopharmaceutical company, since February 2020. Dr. Multani holds an M.D. from Harvard Medical School, an M.S. in epidemiology from the Harvard School of Public Health and a B.S. in chemistry and biology from Yale University. Dr. Multanis executive and academic experience in the biopharmaceutical industry and his medical expertise in oncology and hematology-oncology contributed to our Boards conclusion that he should serve as a director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Continuing members of the Board: </w:t>
      </w:r>
    </w:p>
    <w:p>
      <w:pPr>
        <w:pStyle w:val="TextBody"/>
        <w:bidi w:val="0"/>
        <w:spacing w:before="120" w:after="0"/>
        <w:jc w:val="left"/>
        <w:rPr>
          <w:rFonts w:ascii="Times New Roman" w:hAnsi="Times New Roman"/>
          <w:b/>
          <w:sz w:val="20"/>
        </w:rPr>
      </w:pPr>
      <w:r>
        <w:rPr>
          <w:rFonts w:ascii="Times New Roman" w:hAnsi="Times New Roman"/>
          <w:b/>
          <w:sz w:val="20"/>
        </w:rPr>
        <w:t xml:space="preserve">Class I directors (terms to expire at the 2025 annual meeting) </w:t>
      </w:r>
    </w:p>
    <w:p>
      <w:pPr>
        <w:pStyle w:val="TextBody"/>
        <w:bidi w:val="0"/>
        <w:spacing w:before="120" w:after="0"/>
        <w:jc w:val="left"/>
        <w:rPr>
          <w:rFonts w:ascii="Times New Roman" w:hAnsi="Times New Roman"/>
          <w:sz w:val="20"/>
        </w:rPr>
      </w:pPr>
      <w:r>
        <w:rPr>
          <w:rFonts w:ascii="Times New Roman" w:hAnsi="Times New Roman"/>
          <w:i/>
          <w:sz w:val="20"/>
        </w:rPr>
        <w:t xml:space="preserve">Jonathan E. Lim, M.D. </w:t>
      </w:r>
      <w:r>
        <w:rPr>
          <w:rFonts w:ascii="Times New Roman" w:hAnsi="Times New Roman"/>
          <w:sz w:val="20"/>
        </w:rPr>
        <w:t xml:space="preserve">co-founded Erasca in July 2018, joined us as Executive Chairman in October 2018, and has served as our Chairman and Chief Executive Officer since March 2019. Dr. Lim has also served as a Venture Partner at ARCH Venture Partners since December 2018 and as Managing Partner at City Hill since founding it in 2010. Prior to founding Erasca, in 2011 Dr. Lim co-founded and served as Chairman of Ignyta, Inc., a public precision oncology company, and led it from 2012 as Chairman, Chief Executive Officer and President through its acquisition by Roche in February 2018 and subsequent integration into Roche and Genentech in July 2018. During his tenure at Ignyta, in 2015 Dr. Lim co-founded Bonti, Inc., a private pain management and anesthetics company, and served as its Chairman from February 2016 until its acquisition by Allergan plc in October 2018. Prior to joining Ignyta, Dr. Lim served as Chairman and Chief Executive Officer of Eclipse Therapeutics, Inc., a private oncology company targeting cancer stem cells that he co-founded in March 2011 as a spinout from Biogen Idec and that was sold to Bionomics Ltd. in 2012. Prior to Eclipse, Dr. Lim served as the President, Chief Executive Officer and a Director (including as Chairman from 2004 to 2005) of Halozyme Therapeutics, Inc., a public biotechnology company, from May 2003 to December 2010. Prior to Halozyme, Dr. Lims experience included management consulting at McKinsey &amp; Company, a National Institutes of Health Postdoctoral Fellowship at Harvard Medical School and the Dana-Farber Cancer Institute, and two years of general surgery residency at New York Hospital-Cornell and Memorial Sloan Kettering Cancer Center. Dr. Lim has also served as a member of the board of directors of Maze Therapeutics, Inc., a private company advancing precision medicines for both rare and common diseases, since October 2019, and as Chairman and co-founder of Boundless Bio, Inc., a publicly traded precision oncology company, since December 2018. Dr. Lim has been a member of the Board of Overseers at Scripps Research since October 2018, a member of the Board of Visitors of the Moores Cancer Center at the University of California, San Diego since 2015, and a member of the Stanford Interdisciplinary Biosciences Council since 2014. Dr. Lim has B.S. and M.S. degrees from Stanford University, an M.D. from McGill University, and an M.P.H. from Harvard University. Dr. Lims intimate knowledge of our business as a co-founder of our Company and his extensive experience as an executive officer and director of multiple public and private biotechnology companies contributed to our Boards conclusion that he should serve as a director of our Company. </w:t>
      </w:r>
    </w:p>
    <w:p>
      <w:pPr>
        <w:pStyle w:val="TextBody"/>
        <w:bidi w:val="0"/>
        <w:spacing w:before="240" w:after="0"/>
        <w:jc w:val="left"/>
        <w:rPr>
          <w:rFonts w:ascii="Times New Roman" w:hAnsi="Times New Roman"/>
          <w:sz w:val="20"/>
        </w:rPr>
      </w:pPr>
      <w:r>
        <w:rPr>
          <w:rFonts w:ascii="Times New Roman" w:hAnsi="Times New Roman"/>
          <w:i/>
          <w:sz w:val="20"/>
        </w:rPr>
        <w:t>James A. Bristol, Ph.D.</w:t>
      </w:r>
      <w:r>
        <w:rPr>
          <w:rFonts w:ascii="Times New Roman" w:hAnsi="Times New Roman"/>
          <w:sz w:val="20"/>
        </w:rPr>
        <w:t xml:space="preserve"> has served on our Board since July 2018. Dr. Bristol worked for more than three decades in drug discovery, research and preclinical development at Schering-Plough Corporation, Parke-Davis and Pfizer Inc., serving in various senior research and development roles. From 2003 until his retirement in 2007, Dr. Bristol served as Senior Vice President of Worldwide Drug Discovery Research at Pfizer Global Research &amp; Development. In 2009, Dr. Bristol joined Frazier Healthcare Ventures as a Senior Advisor, and since 2007, Dr. Bristol has been working as a consultant with James Bristol LLC. He has served as Chairperson of Deciphera Pharmaceuticals, Inc. since 2015 and as a director since 2007, as well as a director of Ignyta, Inc. from 2014 to February 2018 and Cadent Therapeutics, Inc. from 2011 to January 2021. Dr. Bristol has been involved with the discovery and development of both drugs that have been approved by the FDA, including Lipitor, Lyrica, and Ibrance, and drug candidates currently in clinical development. Dr. Bristol is the author of over 100 publications, abstracts and patents, and he conducted postdoctoral research at the University of Michigan (NIH Postdoctoral Fellow) and at The Squibb Institute for Medical Research. Dr. Bristol holds a Ph.D. in organic chemistry from the University of New Hampshire and a B.S. in Chemistry from Bates College. Dr. Bristols extensive research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development and board-level experience in the biopharmaceutical industry contributed to our Boards conclusion that he should serve as a director of our Company. </w:t>
      </w:r>
    </w:p>
    <w:p>
      <w:pPr>
        <w:pStyle w:val="TextBody"/>
        <w:bidi w:val="0"/>
        <w:spacing w:before="240" w:after="0"/>
        <w:jc w:val="left"/>
        <w:rPr>
          <w:rFonts w:ascii="Times New Roman" w:hAnsi="Times New Roman"/>
          <w:sz w:val="20"/>
        </w:rPr>
      </w:pPr>
      <w:r>
        <w:rPr>
          <w:rFonts w:ascii="Times New Roman" w:hAnsi="Times New Roman"/>
          <w:i/>
          <w:sz w:val="20"/>
        </w:rPr>
        <w:t xml:space="preserve">Valerie Harding-Start, Ph.D. </w:t>
      </w:r>
      <w:r>
        <w:rPr>
          <w:rFonts w:ascii="Times New Roman" w:hAnsi="Times New Roman"/>
          <w:sz w:val="20"/>
        </w:rPr>
        <w:t xml:space="preserve">has served on our Board since June 2019. Since February 2019, Dr. Harding-Start has been a principal and advisor at Start Pharma Consulting LLC. From 2015 to January 2019, Dr. Harding-Start served as Ignyta, Inc.s Senior Vice President of Chemistry, Manufacturing and Controls (CMC), as well as Site Head during Ignytas acquisition by Roche. Prior to Ignyta, Dr. Harding-Start served as Vice President of Product Differentiation, Pharmaceutical Sciences for Worldwide Research and Development at Pfizer, Inc. Dr. Harding-Start is also a member of the community of practice and thought partner for Smallify LLC, an innovation capacity-building firm. Dr. Harding-Start holds a B. Pharm. from the University of London and a Ph.D. in Pharmaceutical Microbiology from the University of Nottingham. Dr. Harding-Starts extensive experience in the biopharmaceutical industry and her expertise in CMC contributed to our Boards conclusion that she should serve as a director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Class II directors (terms to expire at the 2026 annual meeting) </w:t>
      </w:r>
    </w:p>
    <w:p>
      <w:pPr>
        <w:pStyle w:val="TextBody"/>
        <w:bidi w:val="0"/>
        <w:spacing w:before="120" w:after="0"/>
        <w:jc w:val="left"/>
        <w:rPr>
          <w:rFonts w:ascii="Times New Roman" w:hAnsi="Times New Roman"/>
          <w:sz w:val="20"/>
        </w:rPr>
      </w:pPr>
      <w:r>
        <w:rPr>
          <w:rFonts w:ascii="Times New Roman" w:hAnsi="Times New Roman"/>
          <w:i/>
          <w:sz w:val="20"/>
        </w:rPr>
        <w:t xml:space="preserve">Alexander W. Casdin </w:t>
      </w:r>
      <w:r>
        <w:rPr>
          <w:rFonts w:ascii="Times New Roman" w:hAnsi="Times New Roman"/>
          <w:sz w:val="20"/>
        </w:rPr>
        <w:t xml:space="preserve">has served on our Board since July 2018. Mr. Casdin has served as Chief Financial Officer of Epirium Bio Inc. since October 2020, and he has also served as the Chief Operating Officer of Epirium since November 2021. Previously, Mr. Casdin was the founder and served as the Chief Executive Officer and portfolio manager of Reneo Capital Management LP from January 2015 to October 2020. From September 2012 through December 2014, Mr. Casdin was a private investor focused on the healthcare sector. From October 2011 through September 2012, Mr. Casdin was the Chief Financial Officer of Sophiris Bio, Inc., a Canadian public urology company. Prior to Sophiris Bio, Mr. Casdin served as the Vice President, Finance of Amylin Pharmaceuticals, Inc., a biopharmaceutical company that was acquired by Bristol-Myers Squibb in 2012, a position he held from October 2009 to October 2011. Prior to his position at Amylin Pharmaceuticals, Mr. Casdin founded and operated Casdin Advisors LLC, where he served as a strategic advisor to companies in the life sciences industry. Before founding Casdin Advisors, Mr. Casdin was the Chief Executive Officer and Portfolio Manager of Cooper Hill Partners, LLC, a healthcare investment fund. Mr. Casdin has also held previous positions at Pequot Capital Management and Dreyfus Corporation. Mr. Casdin has served on the board of directors for multiple life sciences companies, including Ignyta, Inc. from 2013 to 2018 and DUSA Pharmaceuticals Inc. from 2009 to 2012. Mr. Casdin holds a B.A. in political science from Brown University and an M.B.A. from Columbia Business School, where he graduated Beta Gamma Sigma. Mr. Casdins extensive financial experience in the biopharmaceutical industry contributed to our Boards conclusion that he should serve as a director of our Company. </w:t>
      </w:r>
    </w:p>
    <w:p>
      <w:pPr>
        <w:pStyle w:val="TextBody"/>
        <w:bidi w:val="0"/>
        <w:spacing w:before="240" w:after="0"/>
        <w:jc w:val="left"/>
        <w:rPr>
          <w:rFonts w:ascii="Times New Roman" w:hAnsi="Times New Roman"/>
          <w:sz w:val="20"/>
        </w:rPr>
      </w:pPr>
      <w:r>
        <w:rPr>
          <w:rFonts w:ascii="Times New Roman" w:hAnsi="Times New Roman"/>
          <w:i/>
          <w:sz w:val="20"/>
        </w:rPr>
        <w:t xml:space="preserve">Julie Hambleton, M.D. </w:t>
      </w:r>
      <w:r>
        <w:rPr>
          <w:rFonts w:ascii="Times New Roman" w:hAnsi="Times New Roman"/>
          <w:sz w:val="20"/>
        </w:rPr>
        <w:t xml:space="preserve">has served on our Board since March 2021. From August 2020 to March 2021, Dr. Hambleton served as interim President and Chief Executive Officer of Arch Therapeutics, Inc., a private biotechnology company. From June 2018 to April 2020, when she retired, Dr. Hambleton was Senior Vice President, Chief Medical Officer, Head of Development at IDEAYA Biosciences, Inc., an oncology medicine company. From September 2017 to May 2018 and from March 2016 to May 2016, Dr. Hambleton served as an independent strategic consultant for various life sciences companies. From May 2016 to September 2017, she served as Vice President, Head US Medical at Bristol-Myers Squibb, a global biopharmaceutical company. From August 2015 to February 2016, Dr. Hambleton served as Executive Vice President, Chief Medical Officer at Five Prime Therapeutics, a biotechnology company, and as Senior Vice President, Chief Medical Officer from December 2012 to August 2015. From April 2010 to November 2012, Dr. Hambleton served as Vice President, Clinical Development at Clovis Oncology, and from 2003 to 2010, Dr. Hambleton held roles of increasing responsibility in BioOncology at Genentech. Dr. Hambleton serves on the boards of two publicly traded biotechnology companies: IGM Biosciences, Inc., since August 2018, and SpringWorks Therapeutics, Inc., since May 2020. Dr. Hambleton completed her hematology-oncology training at the University of California, San Francisco, where she then served on the faculty from 1993 to 2003. Dr. Hambleton holds a B.S. in nursing from Duke University and an M.D. from Case Western Reserve University School of Medicine, and was board-certified in hematology and internal medicine. Dr. Hambletons extensive executive leadership experience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biopharmaceutical industry and her medical expertise in oncology, hematology-oncology and internal medicine contributed to our Boards conclusion that she should serve as a director of our Company. </w:t>
      </w:r>
    </w:p>
    <w:p>
      <w:pPr>
        <w:pStyle w:val="TextBody"/>
        <w:bidi w:val="0"/>
        <w:spacing w:before="240" w:after="0"/>
        <w:jc w:val="left"/>
        <w:rPr>
          <w:rFonts w:ascii="Times New Roman" w:hAnsi="Times New Roman"/>
          <w:sz w:val="20"/>
        </w:rPr>
      </w:pPr>
      <w:r>
        <w:rPr>
          <w:rFonts w:ascii="Times New Roman" w:hAnsi="Times New Roman"/>
          <w:i/>
          <w:sz w:val="20"/>
        </w:rPr>
        <w:t xml:space="preserve">Michael D. Varney, Ph.D. </w:t>
      </w:r>
      <w:r>
        <w:rPr>
          <w:rFonts w:ascii="Times New Roman" w:hAnsi="Times New Roman"/>
          <w:sz w:val="20"/>
        </w:rPr>
        <w:t xml:space="preserve">has served as our Chair of Research and Development and Scientific Advisory Board member since August 2020 and on our Board since December 2020. From 2005 until his retirement in July 2020, Dr. Varney served in progressing roles at Genentech, Inc., most recently as Executive Vice President and Head of Research and Early Development, as well as a member of the Corporate Executive Committee of Roche, Genentechs parent company. Prior to Genentech, from 1987 to 2005 Dr. Varney served as Head of Research at Agouron Pharmaceuticals, Inc., a biotechnology company later acquired by Pfizer, Inc. From January 2021 until July 2023, Dr. Varney served on the board of directors of Pardes Biosciences, Inc., a publicly traded biopharmaceutical company focused on the treatment and prevention of viral diseases. Dr. Varney served on the board of directors of Foundation Medicine, Inc. (acquired by Roche Holdings AG) from 2015 until March 2018. Dr. Varney was an American Cancer Society postdoctoral fellow at Columbia University, and holds a B.S. in chemistry from the University of California, Los Angeles and a Ph.D. in synthetic organic chemistry from the California Institute of Technology. Dr. Varneys extensive executive leadership experience in the biopharmaceutical industry and his extensive drug discovery and development expertise contributed to our Boards conclusion that he should serve as a director of our Company. </w:t>
      </w:r>
    </w:p>
    <w:p>
      <w:pPr>
        <w:pStyle w:val="TextBody"/>
        <w:bidi w:val="0"/>
        <w:spacing w:before="360" w:after="0"/>
        <w:jc w:val="left"/>
        <w:rPr>
          <w:rFonts w:ascii="Times New Roman" w:hAnsi="Times New Roman"/>
          <w:b/>
          <w:sz w:val="20"/>
        </w:rPr>
      </w:pPr>
      <w:bookmarkStart w:id="5" w:name="toc697760_3"/>
      <w:bookmarkEnd w:id="5"/>
      <w:r>
        <w:rPr>
          <w:rFonts w:ascii="Times New Roman" w:hAnsi="Times New Roman"/>
          <w:b/>
          <w:sz w:val="20"/>
        </w:rPr>
        <w:t xml:space="preserve">Proposal 2  Ratification of appointment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appointed KPMG LLP as our independent registered public accounting firm for the fiscal year ending December 31, 2024. The Board has directed that this appointment be submitted to our stockholders for ratification. Although ratification of our appointment of KPMG LLP is not required, we value the opinions of our stockholders and believe that stockholder ratification of our appointment is a good corporate governance practice. </w:t>
      </w:r>
    </w:p>
    <w:p>
      <w:pPr>
        <w:pStyle w:val="TextBody"/>
        <w:bidi w:val="0"/>
        <w:spacing w:before="240" w:after="0"/>
        <w:jc w:val="left"/>
        <w:rPr>
          <w:rFonts w:ascii="Times New Roman" w:hAnsi="Times New Roman"/>
          <w:sz w:val="20"/>
        </w:rPr>
      </w:pPr>
      <w:r>
        <w:rPr>
          <w:rFonts w:ascii="Times New Roman" w:hAnsi="Times New Roman"/>
          <w:sz w:val="20"/>
        </w:rPr>
        <w:t xml:space="preserve">KPMG LLP also served as our independent registered public accounting firm for the fiscal years ended December 31, 2023 and 2022. Neither the accounting firm nor any of its members has any direct or indirect financial interest in or any connection with us in any capacity other than as our auditors, providing audit and non-audit services. A representative of KPMG LLP is expected to attend the Annual Meeting, and to have an opportunity to make a statement and will be available to respond to appropriate questions from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appointment of KPMG LLP is not ratified by the stockholders, the Audit Committee will consider this fact when it appoints the independent registered public accounting firm for the fiscal year ending December 31, 2025. Even if the appointment of KPMG LLP is ratified, the Audit Committee retains the discretion to appoint a different independent registered public accounting firm at any time if it determines that such a change is in the interest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KPMG LLP, we do not expect any broker non-votes in connection with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Board unanimously recommends a vote FOR the ratification of the appointment of KPMG LLP as our independent registered public accounting firm. </w:t>
      </w:r>
    </w:p>
    <w:p>
      <w:pPr>
        <w:pStyle w:val="TextBody"/>
        <w:bidi w:val="0"/>
        <w:spacing w:before="120" w:after="0"/>
        <w:jc w:val="left"/>
        <w:rPr>
          <w:rFonts w:ascii="Times New Roman" w:hAnsi="Times New Roman"/>
          <w:b/>
          <w:sz w:val="20"/>
        </w:rPr>
      </w:pPr>
      <w:r>
        <w:rPr>
          <w:rFonts w:ascii="Times New Roman" w:hAnsi="Times New Roman"/>
          <w:b/>
          <w:sz w:val="20"/>
        </w:rPr>
        <w:t xml:space="preserve">Independent registered public accounting firm fees and other matters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fees of KPMG LLP, our independent registered public accounting firm, billed to us for each of the last two fiscal years for audit services and billed to us in each of the last two fiscal years for other services: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70"/>
        <w:gridCol w:w="360"/>
        <w:gridCol w:w="140"/>
        <w:gridCol w:w="879"/>
        <w:gridCol w:w="60"/>
        <w:gridCol w:w="360"/>
        <w:gridCol w:w="140"/>
        <w:gridCol w:w="879"/>
        <w:gridCol w:w="67"/>
      </w:tblGrid>
      <w:tr>
        <w:trPr/>
        <w:tc>
          <w:tcPr>
            <w:tcW w:w="4870"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87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4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Years Ended</w:t>
              <w:br/>
              <w:t>December 31,</w:t>
            </w:r>
          </w:p>
        </w:tc>
        <w:tc>
          <w:tcPr>
            <w:tcW w:w="67" w:type="dxa"/>
            <w:tcBorders/>
            <w:vAlign w:val="bottom"/>
          </w:tcPr>
          <w:p>
            <w:pPr>
              <w:pStyle w:val="TableContents"/>
              <w:bidi w:val="0"/>
              <w:spacing w:before="0" w:after="283"/>
              <w:jc w:val="left"/>
              <w:rPr/>
            </w:pPr>
            <w:r>
              <w:rPr/>
              <w:t> </w:t>
            </w:r>
          </w:p>
        </w:tc>
      </w:tr>
      <w:tr>
        <w:trPr/>
        <w:tc>
          <w:tcPr>
            <w:tcW w:w="48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 Category</w:t>
            </w:r>
          </w:p>
        </w:tc>
        <w:tc>
          <w:tcPr>
            <w:tcW w:w="360"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4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506,220</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680,675</w:t>
            </w:r>
          </w:p>
        </w:tc>
        <w:tc>
          <w:tcPr>
            <w:tcW w:w="67" w:type="dxa"/>
            <w:tcBorders/>
            <w:shd w:fill="CCEEFF" w:val="clear"/>
            <w:vAlign w:val="bottom"/>
          </w:tcPr>
          <w:p>
            <w:pPr>
              <w:pStyle w:val="TableContents"/>
              <w:bidi w:val="0"/>
              <w:spacing w:before="0" w:after="283"/>
              <w:jc w:val="left"/>
              <w:rPr/>
            </w:pPr>
            <w:r>
              <w:rPr/>
              <w:t> </w:t>
            </w:r>
          </w:p>
        </w:tc>
      </w:tr>
      <w:tr>
        <w:trPr/>
        <w:tc>
          <w:tcPr>
            <w:tcW w:w="4870"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870"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Fees(2)</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1,780</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1,780</w:t>
            </w:r>
          </w:p>
        </w:tc>
        <w:tc>
          <w:tcPr>
            <w:tcW w:w="67" w:type="dxa"/>
            <w:tcBorders/>
            <w:vAlign w:val="bottom"/>
          </w:tcPr>
          <w:p>
            <w:pPr>
              <w:pStyle w:val="TableContents"/>
              <w:bidi w:val="0"/>
              <w:spacing w:before="0" w:after="283"/>
              <w:jc w:val="left"/>
              <w:rPr/>
            </w:pPr>
            <w:r>
              <w:rPr/>
              <w:t> </w:t>
            </w:r>
          </w:p>
        </w:tc>
      </w:tr>
      <w:tr>
        <w:trPr/>
        <w:tc>
          <w:tcPr>
            <w:tcW w:w="487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508,000</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682,455</w:t>
            </w:r>
          </w:p>
        </w:tc>
        <w:tc>
          <w:tcPr>
            <w:tcW w:w="67" w:type="dxa"/>
            <w:tcBorders/>
            <w:shd w:fill="CCEEFF" w:val="clear"/>
            <w:vAlign w:val="bottom"/>
          </w:tcPr>
          <w:p>
            <w:pPr>
              <w:pStyle w:val="TableContents"/>
              <w:bidi w:val="0"/>
              <w:spacing w:before="0" w:after="283"/>
              <w:jc w:val="left"/>
              <w:rPr/>
            </w:pPr>
            <w:r>
              <w:rPr/>
              <w:t> </w:t>
            </w:r>
          </w:p>
        </w:tc>
      </w:tr>
      <w:tr>
        <w:trPr/>
        <w:tc>
          <w:tcPr>
            <w:tcW w:w="487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fees for the audit of our consolidated financial statements, the review of the unaudited interim consolidated financial statements included in our quarterly reports on Form 10-Q and the issuance of consents and comfort letters in connection with registration statements.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Fees consist of fees billed for a subscription to an online accounting research service.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Audit Committee pre-approval of audit and non-audit services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established a policy that all audit and permissible non-audit services provided by our independent registered public accounting firm will be pre-approved by the Audit Committee, and all such services were pre-approved in accordance with this policy during the fiscal year ended December 31, 2023. These services may include audit services, audit-related services, tax services and other services. The Audit Committee considers whether the provision of each non-audit service is compatible with maintaining the independence of our auditors.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w:t>
      </w:r>
    </w:p>
    <w:p>
      <w:pPr>
        <w:pStyle w:val="TextBody"/>
        <w:bidi w:val="0"/>
        <w:spacing w:before="360" w:after="0"/>
        <w:jc w:val="left"/>
        <w:rPr>
          <w:rFonts w:ascii="Times New Roman" w:hAnsi="Times New Roman"/>
          <w:b/>
          <w:sz w:val="20"/>
        </w:rPr>
      </w:pPr>
      <w:r>
        <w:rPr>
          <w:rFonts w:ascii="Times New Roman" w:hAnsi="Times New Roman"/>
          <w:b/>
          <w:sz w:val="20"/>
        </w:rPr>
        <w:t xml:space="preserve">Report of the Audit Committee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reviewed the Companys audited consolidated financial statements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(the PCAOB). The Audit Committee is not employed by the Company, nor does it provide any expert assurance or professional certification regarding the Companys consolidated financial statements. The Audit Committee relies, without independent verification, on the accuracy and integrity of the information provided, and representations made, by management and the Companys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independent registered public accounting firm also provided the Audit Committee with a formal written statement required by PCAOB Rule 3526 (Communications with Audit Committees Concerning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Erasca, Inc. The Audit Committee also considered whether the independent registered public accounting firms provision of certain other non-audit related services to the Company is compatible with maintaining such firms independence.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reviews and discussions referred to above, the Audit Committee recommended to the Board that the audited consolidated financial statements be included in the Companys Annual Report on Form 10-K for the fiscal year ended December 31, 2023. The Audit Committee and the Board also have recommended, subject to stockholder approval, the ratification of the appointment of KPMG LLP as the Companys independent registered public accounting firm for 2024. </w:t>
      </w:r>
    </w:p>
    <w:p>
      <w:pPr>
        <w:pStyle w:val="TextBody"/>
        <w:bidi w:val="0"/>
        <w:spacing w:before="240" w:after="0"/>
        <w:jc w:val="left"/>
        <w:rPr>
          <w:rFonts w:ascii="Times New Roman" w:hAnsi="Times New Roman"/>
          <w:sz w:val="20"/>
        </w:rPr>
      </w:pPr>
      <w:r>
        <w:rPr>
          <w:rFonts w:ascii="Times New Roman" w:hAnsi="Times New Roman"/>
          <w:sz w:val="20"/>
        </w:rPr>
        <w:t xml:space="preserve">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report has been furnished by the Audit Committee. </w:t>
      </w:r>
    </w:p>
    <w:p>
      <w:pPr>
        <w:pStyle w:val="TextBody"/>
        <w:bidi w:val="0"/>
        <w:spacing w:before="240" w:after="0"/>
        <w:jc w:val="right"/>
        <w:rPr>
          <w:rFonts w:ascii="Times New Roman" w:hAnsi="Times New Roman"/>
          <w:sz w:val="20"/>
        </w:rPr>
      </w:pPr>
      <w:r>
        <w:rPr>
          <w:rFonts w:ascii="Times New Roman" w:hAnsi="Times New Roman"/>
          <w:sz w:val="20"/>
        </w:rPr>
        <w:t xml:space="preserve">Respectfully submitted, </w:t>
      </w:r>
    </w:p>
    <w:p>
      <w:pPr>
        <w:pStyle w:val="TextBody"/>
        <w:bidi w:val="0"/>
        <w:spacing w:before="240" w:after="0"/>
        <w:jc w:val="right"/>
        <w:rPr>
          <w:rFonts w:ascii="Times New Roman" w:hAnsi="Times New Roman"/>
          <w:b/>
          <w:sz w:val="20"/>
        </w:rPr>
      </w:pPr>
      <w:r>
        <w:rPr>
          <w:rFonts w:ascii="Times New Roman" w:hAnsi="Times New Roman"/>
          <w:b/>
          <w:sz w:val="20"/>
        </w:rPr>
        <w:t xml:space="preserve">Audit Committee </w:t>
      </w:r>
    </w:p>
    <w:p>
      <w:pPr>
        <w:pStyle w:val="TextBody"/>
        <w:bidi w:val="0"/>
        <w:spacing w:before="0" w:after="0"/>
        <w:jc w:val="right"/>
        <w:rPr>
          <w:rFonts w:ascii="Times New Roman" w:hAnsi="Times New Roman"/>
          <w:sz w:val="20"/>
        </w:rPr>
      </w:pPr>
      <w:r>
        <w:rPr>
          <w:rFonts w:ascii="Times New Roman" w:hAnsi="Times New Roman"/>
          <w:sz w:val="20"/>
        </w:rPr>
        <w:t xml:space="preserve">Alexander W. Casdin, </w:t>
      </w:r>
      <w:r>
        <w:rPr>
          <w:rFonts w:ascii="Times New Roman" w:hAnsi="Times New Roman"/>
          <w:i/>
          <w:sz w:val="20"/>
        </w:rPr>
        <w:t>Chair</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sz w:val="20"/>
        </w:rPr>
        <w:t xml:space="preserve">Julie Hambleton, M.D. </w:t>
      </w:r>
    </w:p>
    <w:p>
      <w:pPr>
        <w:pStyle w:val="TextBody"/>
        <w:bidi w:val="0"/>
        <w:spacing w:before="0" w:after="0"/>
        <w:jc w:val="right"/>
        <w:rPr>
          <w:rFonts w:ascii="Times New Roman" w:hAnsi="Times New Roman"/>
          <w:sz w:val="20"/>
        </w:rPr>
      </w:pPr>
      <w:r>
        <w:rPr>
          <w:rFonts w:ascii="Times New Roman" w:hAnsi="Times New Roman"/>
          <w:sz w:val="20"/>
        </w:rPr>
        <w:t xml:space="preserve">Jean I. Liu, J.D.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identifies our executive officers as of April 26,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03"/>
        <w:gridCol w:w="95"/>
        <w:gridCol w:w="79"/>
        <w:gridCol w:w="354"/>
        <w:gridCol w:w="95"/>
        <w:gridCol w:w="120"/>
        <w:gridCol w:w="6959"/>
      </w:tblGrid>
      <w:tr>
        <w:trPr/>
        <w:tc>
          <w:tcPr>
            <w:tcW w:w="2503"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59" w:type="dxa"/>
            <w:tcBorders/>
            <w:vAlign w:val="center"/>
          </w:tcPr>
          <w:p>
            <w:pPr>
              <w:pStyle w:val="TableContents"/>
              <w:bidi w:val="0"/>
              <w:spacing w:before="0" w:after="283"/>
              <w:jc w:val="left"/>
              <w:rPr>
                <w:sz w:val="4"/>
                <w:szCs w:val="4"/>
              </w:rPr>
            </w:pPr>
            <w:r>
              <w:rPr>
                <w:sz w:val="4"/>
                <w:szCs w:val="4"/>
              </w:rPr>
            </w:r>
          </w:p>
        </w:tc>
      </w:tr>
      <w:tr>
        <w:trPr/>
        <w:tc>
          <w:tcPr>
            <w:tcW w:w="25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95" w:type="dxa"/>
            <w:tcBorders/>
            <w:vAlign w:val="bottom"/>
          </w:tcPr>
          <w:p>
            <w:pPr>
              <w:pStyle w:val="TableContents"/>
              <w:bidi w:val="0"/>
              <w:spacing w:before="0" w:after="283"/>
              <w:jc w:val="left"/>
              <w:rPr/>
            </w:pPr>
            <w:r>
              <w:rPr/>
              <w:t> </w:t>
            </w:r>
          </w:p>
        </w:tc>
        <w:tc>
          <w:tcPr>
            <w:tcW w:w="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E. Lim, M.D.</w:t>
            </w:r>
          </w:p>
        </w:tc>
        <w:tc>
          <w:tcPr>
            <w:tcW w:w="95"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54" w:type="dxa"/>
            <w:tcBorders/>
            <w:shd w:fill="CCEEFF" w:val="clear"/>
          </w:tcPr>
          <w:p>
            <w:pPr>
              <w:pStyle w:val="TableContents"/>
              <w:bidi w:val="0"/>
              <w:spacing w:before="0" w:after="283"/>
              <w:jc w:val="right"/>
              <w:rPr/>
            </w:pPr>
            <w:r>
              <w:rPr/>
              <w:t>52</w:t>
            </w:r>
          </w:p>
        </w:tc>
        <w:tc>
          <w:tcPr>
            <w:tcW w:w="95"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959" w:type="dxa"/>
            <w:tcBorders/>
            <w:shd w:fill="CCEEFF" w:val="clear"/>
            <w:vAlign w:val="bottom"/>
          </w:tcPr>
          <w:p>
            <w:pPr>
              <w:pStyle w:val="TableContents"/>
              <w:bidi w:val="0"/>
              <w:spacing w:before="0" w:after="283"/>
              <w:jc w:val="left"/>
              <w:rPr/>
            </w:pPr>
            <w:r>
              <w:rPr/>
              <w:t>Chairman of the Board, Chief Executive Officer, and Co-Founder</w:t>
            </w:r>
          </w:p>
        </w:tc>
      </w:tr>
      <w:tr>
        <w:trPr/>
        <w:tc>
          <w:tcPr>
            <w:tcW w:w="2503" w:type="dxa"/>
            <w:tcBorders/>
          </w:tcPr>
          <w:p>
            <w:pPr>
              <w:pStyle w:val="TableContents"/>
              <w:bidi w:val="0"/>
              <w:spacing w:before="0" w:after="0"/>
              <w:jc w:val="left"/>
              <w:rPr>
                <w:rFonts w:ascii="Times New Roman" w:hAnsi="Times New Roman"/>
                <w:sz w:val="20"/>
              </w:rPr>
            </w:pPr>
            <w:r>
              <w:rPr>
                <w:rFonts w:ascii="Times New Roman" w:hAnsi="Times New Roman"/>
                <w:sz w:val="20"/>
              </w:rPr>
              <w:t>David M. Chacko, M.D.</w:t>
            </w:r>
          </w:p>
        </w:tc>
        <w:tc>
          <w:tcPr>
            <w:tcW w:w="9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right"/>
              <w:rPr/>
            </w:pPr>
            <w:r>
              <w:rPr/>
              <w:t>41</w:t>
            </w:r>
          </w:p>
        </w:tc>
        <w:tc>
          <w:tcPr>
            <w:tcW w:w="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9" w:type="dxa"/>
            <w:tcBorders/>
            <w:vAlign w:val="bottom"/>
          </w:tcPr>
          <w:p>
            <w:pPr>
              <w:pStyle w:val="TableContents"/>
              <w:bidi w:val="0"/>
              <w:spacing w:before="0" w:after="283"/>
              <w:jc w:val="left"/>
              <w:rPr/>
            </w:pPr>
            <w:r>
              <w:rPr/>
              <w:t>Chief Financial Officer and Chief Business Officer</w:t>
            </w:r>
          </w:p>
        </w:tc>
      </w:tr>
      <w:tr>
        <w:trPr/>
        <w:tc>
          <w:tcPr>
            <w:tcW w:w="2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Shannon R. Morris, M.D., Ph.D.</w:t>
            </w:r>
          </w:p>
        </w:tc>
        <w:tc>
          <w:tcPr>
            <w:tcW w:w="9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right"/>
              <w:rPr/>
            </w:pPr>
            <w:r>
              <w:rPr/>
              <w:t>54</w:t>
            </w:r>
          </w:p>
        </w:tc>
        <w:tc>
          <w:tcPr>
            <w:tcW w:w="9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959" w:type="dxa"/>
            <w:tcBorders/>
            <w:shd w:fill="CCEEFF" w:val="clear"/>
            <w:vAlign w:val="bottom"/>
          </w:tcPr>
          <w:p>
            <w:pPr>
              <w:pStyle w:val="TableContents"/>
              <w:bidi w:val="0"/>
              <w:spacing w:before="0" w:after="283"/>
              <w:jc w:val="left"/>
              <w:rPr/>
            </w:pPr>
            <w:r>
              <w:rPr/>
              <w:t>Chief Medical Officer</w:t>
            </w:r>
          </w:p>
        </w:tc>
      </w:tr>
      <w:tr>
        <w:trPr/>
        <w:tc>
          <w:tcPr>
            <w:tcW w:w="2503" w:type="dxa"/>
            <w:tcBorders/>
          </w:tcPr>
          <w:p>
            <w:pPr>
              <w:pStyle w:val="TableContents"/>
              <w:bidi w:val="0"/>
              <w:spacing w:before="0" w:after="0"/>
              <w:jc w:val="left"/>
              <w:rPr>
                <w:rFonts w:ascii="Times New Roman" w:hAnsi="Times New Roman"/>
                <w:sz w:val="20"/>
              </w:rPr>
            </w:pPr>
            <w:r>
              <w:rPr>
                <w:rFonts w:ascii="Times New Roman" w:hAnsi="Times New Roman"/>
                <w:sz w:val="20"/>
              </w:rPr>
              <w:t>Ebun S. Garner, J.D.</w:t>
            </w:r>
          </w:p>
        </w:tc>
        <w:tc>
          <w:tcPr>
            <w:tcW w:w="9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right"/>
              <w:rPr/>
            </w:pPr>
            <w:r>
              <w:rPr/>
              <w:t>52</w:t>
            </w:r>
          </w:p>
        </w:tc>
        <w:tc>
          <w:tcPr>
            <w:tcW w:w="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9" w:type="dxa"/>
            <w:tcBorders/>
            <w:vAlign w:val="bottom"/>
          </w:tcPr>
          <w:p>
            <w:pPr>
              <w:pStyle w:val="TableContents"/>
              <w:bidi w:val="0"/>
              <w:spacing w:before="0" w:after="283"/>
              <w:jc w:val="left"/>
              <w:rPr/>
            </w:pPr>
            <w:r>
              <w:rPr/>
              <w:t>General Counsel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biographical information for our executive officers other than Dr. Lim, whose biographical information is included under Information regarding directors  Nominees for election to the Board. </w:t>
      </w:r>
    </w:p>
    <w:p>
      <w:pPr>
        <w:pStyle w:val="TextBody"/>
        <w:bidi w:val="0"/>
        <w:spacing w:before="240" w:after="0"/>
        <w:jc w:val="left"/>
        <w:rPr>
          <w:rFonts w:ascii="Times New Roman" w:hAnsi="Times New Roman"/>
          <w:sz w:val="20"/>
        </w:rPr>
      </w:pPr>
      <w:r>
        <w:rPr>
          <w:rFonts w:ascii="Times New Roman" w:hAnsi="Times New Roman"/>
          <w:i/>
          <w:sz w:val="20"/>
        </w:rPr>
        <w:t xml:space="preserve">David M. Chacko, M.D. </w:t>
      </w:r>
      <w:r>
        <w:rPr>
          <w:rFonts w:ascii="Times New Roman" w:hAnsi="Times New Roman"/>
          <w:sz w:val="20"/>
        </w:rPr>
        <w:t xml:space="preserve">has served as our Chief Financial Officer and Chief Business Officer since April 2023, having previously served as Chief Financial Officer since December 2020. Dr. Chacko joined Erasca in August 2019 as our Chief Business Officer. In April 2023 he reassumed his role as Chief Business Officer as well as remaining as our Chief Financial Officer. Prior to Erasca, he was a Principal at Versant Ventures from September 2017 to August 2019, where he held a dual investing/operating role, helping lead investment opportunities across multiple therapeutic areas. Operationally, he was intimately involved in advancing several Versant portfolio companies through company formation, fundraising, business development, and clinical and regulatory activities. Dr. Chacko joined Versant from Alcon, where he was as Chief of Staff to the CEO from 2014 to September 2017. At Alcon he worked alongside the executive leadership team to develop and implement high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corporate initiatives to accelerate growth and innovation. Prior to Alcon, Dr. Chacko was an Engagement Manager at McKinsey &amp; Company from 2011 to 2014. While at McKinsey Dr. Chacko led multiple teams serving pharmaceutical and medical companies across sales, marketing, R&amp;D, finance and other functions. Previously, Dr. Chacko worked at SR One, the venture capital arm of GSK. He also worked at Amgen in commercial operations and at Morgan Stanley in investment banking. Dr. Chacko holds an M.D. from the University of Pennsylvania, where he was a Gamble Scholar and President of the medical student body, and an M.B.A. from the Wharton School. He earned an M. Phil. from Oxford University, where he was a Marshall Scholar, and B.A. and B.S. degrees in biology and business from the University of Southern California, where he graduated as the University Valedictorian. </w:t>
      </w:r>
    </w:p>
    <w:p>
      <w:pPr>
        <w:pStyle w:val="TextBody"/>
        <w:bidi w:val="0"/>
        <w:spacing w:before="240" w:after="0"/>
        <w:jc w:val="left"/>
        <w:rPr>
          <w:rFonts w:ascii="Times New Roman" w:hAnsi="Times New Roman"/>
          <w:sz w:val="20"/>
        </w:rPr>
      </w:pPr>
      <w:r>
        <w:rPr>
          <w:rFonts w:ascii="Times New Roman" w:hAnsi="Times New Roman"/>
          <w:i/>
          <w:sz w:val="20"/>
        </w:rPr>
        <w:t xml:space="preserve">Shannon R. Morris, M.D., Ph.D. </w:t>
      </w:r>
      <w:r>
        <w:rPr>
          <w:rFonts w:ascii="Times New Roman" w:hAnsi="Times New Roman"/>
          <w:sz w:val="20"/>
        </w:rPr>
        <w:t xml:space="preserve">has served as our Chief Medical Officer since April 2023. Dr. Morris joined Erasca in May 2022 as Senior Vice President, Clinical Development. Dr. Morris brings over 20 years of experience in the life sciences industry with a focus in oncology. Prior to joining Erasca, from September 2020 to March 2022, Dr. Morris was Vice President, Head of Clinical Development, and a member of the Executive Committee at Istari Oncology, Inc. Prior to Istari Oncology, from April 2017 to September 2020, Dr. Morris was Vice President of Clinical Development at G1 Therapeutics, Inc., where she led the development of Cosela, achieving breakthrough therapy designation as well as a successful new drug application submission. Prior to G1 Therapeutics, from October 2014 to March 2017, Dr. Morris was a Senior Director at MedImmune, the global biologics research and development arm of AstraZeneca PLC, where she supported the successful biologics license application for Imfinzi® and led the development of multiple early phase immuno-oncology assets. Prior to MedImmune, Dr. Morris held roles of increasing responsibility at GSK plc (formerly known as GlaxoSmithKline plc), where her efforts focused on the early phase development of small molecule inhibitors of AKT, PI3K, and MEK, including the approved MEK inhibitor Mekinist. During her time at GSK and MedImmune, Dr. Morris maintained an adjunct appointment at the University of North Carolina where her practice focused on the clinical care of patients with breast and gastrointestinal cancers. Dr. Morris completed her internal medicine residency and oncology fellowship at the University of North Carolina, earned an M.D. and Ph.D. in molecular virology from Case Western Reserve University, and received a B.S. in biological sciences from Stanford University. </w:t>
      </w:r>
    </w:p>
    <w:p>
      <w:pPr>
        <w:pStyle w:val="TextBody"/>
        <w:bidi w:val="0"/>
        <w:spacing w:before="240" w:after="0"/>
        <w:jc w:val="left"/>
        <w:rPr>
          <w:rFonts w:ascii="Times New Roman" w:hAnsi="Times New Roman"/>
          <w:sz w:val="20"/>
        </w:rPr>
      </w:pPr>
      <w:r>
        <w:rPr>
          <w:rFonts w:ascii="Times New Roman" w:hAnsi="Times New Roman"/>
          <w:i/>
          <w:sz w:val="20"/>
        </w:rPr>
        <w:t xml:space="preserve">Ebun S. Garner, J.D. </w:t>
      </w:r>
      <w:r>
        <w:rPr>
          <w:rFonts w:ascii="Times New Roman" w:hAnsi="Times New Roman"/>
          <w:sz w:val="20"/>
        </w:rPr>
        <w:t xml:space="preserve">has served as our General Counsel and Corporate Secretary since April 2021. Prior to joining us, Mr. Garner served as Assistant General Counsel of Acadia Pharmaceuticals, Inc., a publicly traded biopharmaceutical company, where he was the primary legal support for business development and public company reporting, from August 2020 until April 2021. Prior to Acadia, Mr. Garner served as the Chief Legal Officer and Corporate Secretary of Imbria Pharmaceuticals, Inc., a private therapeutics company, where he oversaw all legal and intellectual property matters from April 2019 to July 2020. Prior to Imbria, Mr. Garner served as Associate General Counsel at Neurocrine Biosciences, Inc., a publicly traded biopharmaceutical company, where he was the primary legal support for all non-commercial legal matters and public company reporting from March 2017 to April 2019 . Prior to that, Mr. Garner served as the Senior Vice President, General Counsel and Corporate Secretary of Alphatec Spine, Inc., a publicly traded medical device company, where he worked from 2005 until February 2017. Mr. Garner was a corporate associate in the New York office of Mintz, Levin, Cohn, Ferris, Glovsky and Popeo, P.C. from 2000 to 2005. He received a B.A. in Economics from the University of Pennsylvania and a J.D. from New York University School of Law.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page of our website located at www.erasca.com, or by writing to our Secretary at our offices at 3115 Merryfield Row,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Suite 300, San Diego, California 92121. Please note, however, that the information contained on the website is not incorporated by reference in, or considered part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Board currently consists of eight members. The Board has determined that all of our directors, other than Drs. Lim and Varney, are independent directors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that no relationships exist, which, in the opinion of the Board, would interfere with the exercise of independent judgment in carrying out the responsibilities of a director. In making these determinations, the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and director nomination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for election or appointment, the Nominating and Corporate Governance Committee, in recommending candidates for election, and the Board will take into account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 and professional integrity, strong ethics and values and the ability to make mature business judgments;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in corporate management, such as serving as an officer or former officer of a publicly-held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as a board member or executive officer of another publicly-held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in finance and accounting and/or executive compensation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strong leadership skills;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diversity of expertise and experience in substantive matters pertaining to our business relative to other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diversity of background and perspective, including, but not limited to, with respect to age, gender, race, place of residence and specialized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relevant academic expertise or other proficiency in an area of our business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candidate has the time required for preparation, participation and attendance at Board meetings and committee meetings,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foregoing, there are no stated minimum criteria for director nominees, although the Nominating and Corporate Governance Committee may also consider such other factors as it may deem to be in the best interests of our Company and our stockholders. The Nominating and Corporate Governance Committee does, however, believe it appropriate for at least one member of our Board to meet the criteria for an audit committee financial expert as defined by SEC rules, and that a majority of the members of our Board meet the definition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independent director under Nasdaq qualification standards. The Nominating and Corporate Governance Committee also believes it is appropriate for our Chief Executive Officer to serve as a member of our Board and as our Chairman.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Board Diversity Matrix presents our Board diversity statistics in accordance with Nasdaq Rule 5606, as self-disclosed by our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Board Diversity Matrix (As of April 26,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37"/>
        <w:gridCol w:w="544"/>
        <w:gridCol w:w="226"/>
        <w:gridCol w:w="530"/>
        <w:gridCol w:w="60"/>
        <w:gridCol w:w="544"/>
        <w:gridCol w:w="159"/>
        <w:gridCol w:w="371"/>
        <w:gridCol w:w="60"/>
        <w:gridCol w:w="545"/>
        <w:gridCol w:w="370"/>
        <w:gridCol w:w="865"/>
        <w:gridCol w:w="61"/>
      </w:tblGrid>
      <w:tr>
        <w:trPr/>
        <w:tc>
          <w:tcPr>
            <w:tcW w:w="4237"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2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Total Number of Directors</w:t>
            </w:r>
          </w:p>
        </w:tc>
        <w:tc>
          <w:tcPr>
            <w:tcW w:w="544" w:type="dxa"/>
            <w:tcBorders/>
            <w:vAlign w:val="bottom"/>
          </w:tcPr>
          <w:p>
            <w:pPr>
              <w:pStyle w:val="TableContents"/>
              <w:bidi w:val="0"/>
              <w:spacing w:before="0" w:after="283"/>
              <w:jc w:val="left"/>
              <w:rPr/>
            </w:pPr>
            <w:r>
              <w:rPr/>
              <w:t>  </w:t>
            </w:r>
          </w:p>
        </w:tc>
        <w:tc>
          <w:tcPr>
            <w:tcW w:w="37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8</w:t>
            </w:r>
          </w:p>
        </w:tc>
        <w:tc>
          <w:tcPr>
            <w:tcW w:w="61" w:type="dxa"/>
            <w:tcBorders/>
            <w:vAlign w:val="bottom"/>
          </w:tcPr>
          <w:p>
            <w:pPr>
              <w:pStyle w:val="TableContents"/>
              <w:bidi w:val="0"/>
              <w:spacing w:before="0" w:after="283"/>
              <w:jc w:val="left"/>
              <w:rPr/>
            </w:pPr>
            <w:r>
              <w:rPr/>
              <w:t> </w:t>
            </w:r>
          </w:p>
        </w:tc>
      </w:tr>
      <w:tr>
        <w:trPr/>
        <w:tc>
          <w:tcPr>
            <w:tcW w:w="4237"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Female</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Male</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Non-Binary</w:t>
            </w:r>
          </w:p>
        </w:tc>
        <w:tc>
          <w:tcPr>
            <w:tcW w:w="61" w:type="dxa"/>
            <w:tcBorders/>
            <w:vAlign w:val="bottom"/>
          </w:tcPr>
          <w:p>
            <w:pPr>
              <w:pStyle w:val="TableContents"/>
              <w:bidi w:val="0"/>
              <w:spacing w:before="0" w:after="283"/>
              <w:jc w:val="left"/>
              <w:rPr/>
            </w:pPr>
            <w:r>
              <w:rPr/>
              <w:t> </w:t>
            </w:r>
          </w:p>
        </w:tc>
      </w:tr>
      <w:tr>
        <w:trPr/>
        <w:tc>
          <w:tcPr>
            <w:tcW w:w="42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 Gender Identity</w:t>
            </w:r>
          </w:p>
        </w:tc>
        <w:tc>
          <w:tcPr>
            <w:tcW w:w="54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Directors</w:t>
            </w:r>
          </w:p>
        </w:tc>
        <w:tc>
          <w:tcPr>
            <w:tcW w:w="54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r>
        <w:trPr/>
        <w:tc>
          <w:tcPr>
            <w:tcW w:w="42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II: Demographic Background</w:t>
            </w:r>
          </w:p>
        </w:tc>
        <w:tc>
          <w:tcPr>
            <w:tcW w:w="54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54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r>
        <w:trPr/>
        <w:tc>
          <w:tcPr>
            <w:tcW w:w="4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54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0</w:t>
            </w:r>
          </w:p>
        </w:tc>
        <w:tc>
          <w:tcPr>
            <w:tcW w:w="61" w:type="dxa"/>
            <w:tcBorders/>
            <w:shd w:fill="CCEEFF" w:val="clear"/>
            <w:vAlign w:val="bottom"/>
          </w:tcPr>
          <w:p>
            <w:pPr>
              <w:pStyle w:val="TableContents"/>
              <w:bidi w:val="0"/>
              <w:spacing w:before="0" w:after="283"/>
              <w:jc w:val="left"/>
              <w:rPr/>
            </w:pPr>
            <w:r>
              <w:rPr/>
              <w:t> </w:t>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54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r>
        <w:trPr/>
        <w:tc>
          <w:tcPr>
            <w:tcW w:w="4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Two or More Races or Ethnicities</w:t>
            </w:r>
          </w:p>
        </w:tc>
        <w:tc>
          <w:tcPr>
            <w:tcW w:w="54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0</w:t>
            </w:r>
          </w:p>
        </w:tc>
        <w:tc>
          <w:tcPr>
            <w:tcW w:w="61" w:type="dxa"/>
            <w:tcBorders/>
            <w:shd w:fill="CCEEFF" w:val="clear"/>
            <w:vAlign w:val="bottom"/>
          </w:tcPr>
          <w:p>
            <w:pPr>
              <w:pStyle w:val="TableContents"/>
              <w:bidi w:val="0"/>
              <w:spacing w:before="0" w:after="283"/>
              <w:jc w:val="left"/>
              <w:rPr/>
            </w:pPr>
            <w:r>
              <w:rPr/>
              <w:t> </w:t>
            </w:r>
          </w:p>
        </w:tc>
      </w:tr>
      <w:tr>
        <w:trPr/>
        <w:tc>
          <w:tcPr>
            <w:tcW w:w="4237" w:type="dxa"/>
            <w:tcBorders/>
          </w:tcPr>
          <w:p>
            <w:pPr>
              <w:pStyle w:val="TableContents"/>
              <w:bidi w:val="0"/>
              <w:spacing w:before="0" w:after="0"/>
              <w:jc w:val="left"/>
              <w:rPr>
                <w:rFonts w:ascii="Times New Roman" w:hAnsi="Times New Roman"/>
                <w:sz w:val="20"/>
              </w:rPr>
            </w:pPr>
            <w:r>
              <w:rPr>
                <w:rFonts w:ascii="Times New Roman" w:hAnsi="Times New Roman"/>
                <w:sz w:val="20"/>
              </w:rPr>
              <w:t>Did Not Disclose Demographic Background</w:t>
            </w:r>
          </w:p>
        </w:tc>
        <w:tc>
          <w:tcPr>
            <w:tcW w:w="54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Identification and evaluation of nominees for directors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identifies nominees for director by first evaluating the current members of our Board willing to continue in service. Current members with qualifications and skills that are consistent with the Nominating and Corporate Governance Committees criteria for Board service and who are willing to continue in service are considered for re-nomination, balancing the value of continuity of service by existing members of our Board with that of obtaining a new perspective or expertise. </w:t>
      </w:r>
    </w:p>
    <w:p>
      <w:pPr>
        <w:pStyle w:val="TextBody"/>
        <w:bidi w:val="0"/>
        <w:spacing w:before="240" w:after="0"/>
        <w:jc w:val="left"/>
        <w:rPr>
          <w:rFonts w:ascii="Times New Roman" w:hAnsi="Times New Roman"/>
          <w:sz w:val="20"/>
        </w:rPr>
      </w:pPr>
      <w:r>
        <w:rPr>
          <w:rFonts w:ascii="Times New Roman" w:hAnsi="Times New Roman"/>
          <w:sz w:val="20"/>
        </w:rPr>
        <w:t xml:space="preserve">If any member of our Board does not wish to continue in service or if our Board decides not to re-nominate a member for re-election or if the Board decides to expand the size of the board, the Nominating and Corporate Governance Committee identifies the desired skills and experience of a new nominee in light of the criteria above. The Nominating and Corporate Governance Committee generally polls our Board and members of management for their recommendations. The Nominating and Corporate Governance Committee may also review the composition and qualification of the boards of directors of our competitors and may seek input from industry experts or analysts. The Nominating and Corporate Governance Committee reviews the qualifications, experience and background of the candidates. Final candidates are interviewed by the members of the Nominating and Corporate Governance Committee and by certain of our other independent directors and executive management. In making its determinations, the Nominating and Corporate Governance Committee evaluates each individual in the context of our Board as a whole, with the objective of assembling a group that can best contribute to the success of our Company and represent stockholder interests through the exercise of sound business judgment. After review and deliberation of all feedback and data, the Nominating and Corporate Governance Committee makes its recommendation to our Board.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evaluates nominees recommended by stockholders in the same manner as it evaluates other nominees. We have not received director candidate recommendations from our stockholders, and we do not have a formal policy regarding consideration of such recommendations. However, any recommendations received from stockholders will be evaluated in the same manner that potential nominees suggested by members of our Board, management or other parties are evaluated. </w:t>
      </w:r>
    </w:p>
    <w:p>
      <w:pPr>
        <w:pStyle w:val="TextBody"/>
        <w:bidi w:val="0"/>
        <w:spacing w:before="240" w:after="0"/>
        <w:jc w:val="left"/>
        <w:rPr>
          <w:rFonts w:ascii="Times New Roman" w:hAnsi="Times New Roman"/>
          <w:sz w:val="20"/>
        </w:rPr>
      </w:pPr>
      <w:r>
        <w:rPr>
          <w:rFonts w:ascii="Times New Roman" w:hAnsi="Times New Roman"/>
          <w:sz w:val="20"/>
        </w:rPr>
        <w:t xml:space="preserve">Under our Bylaws, a stockholder wishing to suggest a candidate for director should write to our Secretary and provide such information about the stockholder and the proposed candidate as is set forth in our Bylaws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be required by SEC rules to be included in a proxy statement. In addition, the stockholder must include the consent of the candidate and describe any arrangements or undertakings between the stockholder and the candidate regarding the nomination. In order to give the Nominating and Corporate Governance Committee sufficient time to evaluate a recommended candidate and include the candidate in our proxy statement for the annual meeting, the recommendation should be received by our Corporate Secretary at our principal executive offices in accordance with our procedures detailed in the section below entitled Stockholder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Board skills and experience </w:t>
      </w:r>
    </w:p>
    <w:p>
      <w:pPr>
        <w:pStyle w:val="TextBody"/>
        <w:bidi w:val="0"/>
        <w:spacing w:before="120" w:after="0"/>
        <w:jc w:val="left"/>
        <w:rPr>
          <w:rFonts w:ascii="Times New Roman" w:hAnsi="Times New Roman"/>
          <w:sz w:val="20"/>
        </w:rPr>
      </w:pPr>
      <w:r>
        <w:rPr>
          <w:rFonts w:ascii="Times New Roman" w:hAnsi="Times New Roman"/>
          <w:sz w:val="20"/>
        </w:rPr>
        <w:t xml:space="preserve">Our Board comprises a diverse group of individual, each of whom possess various complementary skills and business experience. We believe that our Board collectively has an appropriate mix of skills to guide and assist Erasca as we seek to achieve our long-term goals.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6"/>
        <w:gridCol w:w="132"/>
        <w:gridCol w:w="449"/>
        <w:gridCol w:w="132"/>
        <w:gridCol w:w="703"/>
        <w:gridCol w:w="132"/>
        <w:gridCol w:w="740"/>
        <w:gridCol w:w="132"/>
        <w:gridCol w:w="1202"/>
        <w:gridCol w:w="132"/>
        <w:gridCol w:w="998"/>
        <w:gridCol w:w="132"/>
        <w:gridCol w:w="398"/>
        <w:gridCol w:w="132"/>
        <w:gridCol w:w="857"/>
        <w:gridCol w:w="132"/>
        <w:gridCol w:w="826"/>
      </w:tblGrid>
      <w:tr>
        <w:trPr/>
        <w:tc>
          <w:tcPr>
            <w:tcW w:w="2976"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9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Expertise</w:t>
            </w:r>
          </w:p>
        </w:tc>
        <w:tc>
          <w:tcPr>
            <w:tcW w:w="132" w:type="dxa"/>
            <w:tcBorders/>
            <w:vAlign w:val="bottom"/>
          </w:tcPr>
          <w:p>
            <w:pPr>
              <w:pStyle w:val="TableContents"/>
              <w:bidi w:val="0"/>
              <w:spacing w:before="0" w:after="283"/>
              <w:jc w:val="left"/>
              <w:rPr/>
            </w:pPr>
            <w:r>
              <w:rPr/>
              <w:t> </w:t>
            </w:r>
          </w:p>
        </w:tc>
        <w:tc>
          <w:tcPr>
            <w:tcW w:w="449" w:type="dxa"/>
            <w:tcBorders>
              <w:bottom w:val="single" w:sz="8" w:space="0" w:color="000000"/>
            </w:tcBorders>
            <w:tcMar>
              <w:bottom w:w="28" w:type="dxa"/>
            </w:tcMar>
            <w:vAlign w:val="bottom"/>
          </w:tcPr>
          <w:p>
            <w:pPr>
              <w:pStyle w:val="TableContents"/>
              <w:bidi w:val="0"/>
              <w:spacing w:before="0" w:after="283"/>
              <w:jc w:val="center"/>
              <w:rPr>
                <w:b/>
              </w:rPr>
            </w:pPr>
            <w:r>
              <w:rPr>
                <w:b/>
              </w:rPr>
              <w:t>Lim</w:t>
            </w:r>
          </w:p>
        </w:tc>
        <w:tc>
          <w:tcPr>
            <w:tcW w:w="132" w:type="dxa"/>
            <w:tcBorders/>
            <w:vAlign w:val="bottom"/>
          </w:tcPr>
          <w:p>
            <w:pPr>
              <w:pStyle w:val="TableContents"/>
              <w:bidi w:val="0"/>
              <w:spacing w:before="0" w:after="283"/>
              <w:jc w:val="left"/>
              <w:rPr/>
            </w:pPr>
            <w:r>
              <w:rPr/>
              <w:t> </w:t>
            </w:r>
          </w:p>
        </w:tc>
        <w:tc>
          <w:tcPr>
            <w:tcW w:w="703" w:type="dxa"/>
            <w:tcBorders>
              <w:bottom w:val="single" w:sz="8" w:space="0" w:color="000000"/>
            </w:tcBorders>
            <w:tcMar>
              <w:bottom w:w="28" w:type="dxa"/>
            </w:tcMar>
            <w:vAlign w:val="bottom"/>
          </w:tcPr>
          <w:p>
            <w:pPr>
              <w:pStyle w:val="TableContents"/>
              <w:bidi w:val="0"/>
              <w:spacing w:before="0" w:after="283"/>
              <w:jc w:val="center"/>
              <w:rPr>
                <w:b/>
              </w:rPr>
            </w:pPr>
            <w:r>
              <w:rPr>
                <w:b/>
              </w:rPr>
              <w:t>Bristol</w:t>
            </w:r>
          </w:p>
        </w:tc>
        <w:tc>
          <w:tcPr>
            <w:tcW w:w="132" w:type="dxa"/>
            <w:tcBorders/>
            <w:vAlign w:val="bottom"/>
          </w:tcPr>
          <w:p>
            <w:pPr>
              <w:pStyle w:val="TableContents"/>
              <w:bidi w:val="0"/>
              <w:spacing w:before="0" w:after="283"/>
              <w:jc w:val="left"/>
              <w:rPr/>
            </w:pPr>
            <w:r>
              <w:rPr/>
              <w:t> </w:t>
            </w:r>
          </w:p>
        </w:tc>
        <w:tc>
          <w:tcPr>
            <w:tcW w:w="740" w:type="dxa"/>
            <w:tcBorders>
              <w:bottom w:val="single" w:sz="8" w:space="0" w:color="000000"/>
            </w:tcBorders>
            <w:tcMar>
              <w:bottom w:w="28" w:type="dxa"/>
            </w:tcMar>
            <w:vAlign w:val="bottom"/>
          </w:tcPr>
          <w:p>
            <w:pPr>
              <w:pStyle w:val="TableContents"/>
              <w:bidi w:val="0"/>
              <w:spacing w:before="0" w:after="283"/>
              <w:jc w:val="center"/>
              <w:rPr>
                <w:b/>
              </w:rPr>
            </w:pPr>
            <w:r>
              <w:rPr>
                <w:b/>
              </w:rPr>
              <w:t>Casdin</w:t>
            </w:r>
          </w:p>
        </w:tc>
        <w:tc>
          <w:tcPr>
            <w:tcW w:w="132" w:type="dxa"/>
            <w:tcBorders/>
            <w:vAlign w:val="bottom"/>
          </w:tcPr>
          <w:p>
            <w:pPr>
              <w:pStyle w:val="TableContents"/>
              <w:bidi w:val="0"/>
              <w:spacing w:before="0" w:after="283"/>
              <w:jc w:val="left"/>
              <w:rPr/>
            </w:pPr>
            <w:r>
              <w:rPr/>
              <w:t> </w:t>
            </w:r>
          </w:p>
        </w:tc>
        <w:tc>
          <w:tcPr>
            <w:tcW w:w="1202" w:type="dxa"/>
            <w:tcBorders>
              <w:bottom w:val="single" w:sz="8" w:space="0" w:color="000000"/>
            </w:tcBorders>
            <w:tcMar>
              <w:bottom w:w="28" w:type="dxa"/>
            </w:tcMar>
            <w:vAlign w:val="bottom"/>
          </w:tcPr>
          <w:p>
            <w:pPr>
              <w:pStyle w:val="TableContents"/>
              <w:bidi w:val="0"/>
              <w:spacing w:before="0" w:after="283"/>
              <w:jc w:val="center"/>
              <w:rPr>
                <w:b/>
              </w:rPr>
            </w:pPr>
            <w:r>
              <w:rPr>
                <w:b/>
              </w:rPr>
              <w:t>Hambleton</w:t>
            </w:r>
          </w:p>
        </w:tc>
        <w:tc>
          <w:tcPr>
            <w:tcW w:w="132" w:type="dxa"/>
            <w:tcBorders/>
            <w:vAlign w:val="bottom"/>
          </w:tcPr>
          <w:p>
            <w:pPr>
              <w:pStyle w:val="TableContents"/>
              <w:bidi w:val="0"/>
              <w:spacing w:before="0" w:after="283"/>
              <w:jc w:val="left"/>
              <w:rPr/>
            </w:pPr>
            <w:r>
              <w:rPr/>
              <w:t> </w:t>
            </w:r>
          </w:p>
        </w:tc>
        <w:tc>
          <w:tcPr>
            <w:tcW w:w="998" w:type="dxa"/>
            <w:tcBorders>
              <w:bottom w:val="single" w:sz="8" w:space="0" w:color="000000"/>
            </w:tcBorders>
            <w:tcMar>
              <w:bottom w:w="28" w:type="dxa"/>
            </w:tcMar>
            <w:vAlign w:val="bottom"/>
          </w:tcPr>
          <w:p>
            <w:pPr>
              <w:pStyle w:val="TableContents"/>
              <w:bidi w:val="0"/>
              <w:spacing w:before="0" w:after="283"/>
              <w:jc w:val="center"/>
              <w:rPr>
                <w:b/>
              </w:rPr>
            </w:pPr>
            <w:r>
              <w:rPr>
                <w:b/>
              </w:rPr>
              <w:t>Harding-</w:t>
              <w:br/>
              <w:t>Start</w:t>
            </w:r>
          </w:p>
        </w:tc>
        <w:tc>
          <w:tcPr>
            <w:tcW w:w="132" w:type="dxa"/>
            <w:tcBorders/>
            <w:vAlign w:val="bottom"/>
          </w:tcPr>
          <w:p>
            <w:pPr>
              <w:pStyle w:val="TableContents"/>
              <w:bidi w:val="0"/>
              <w:spacing w:before="0" w:after="283"/>
              <w:jc w:val="left"/>
              <w:rPr/>
            </w:pPr>
            <w:r>
              <w:rPr/>
              <w:t> </w:t>
            </w:r>
          </w:p>
        </w:tc>
        <w:tc>
          <w:tcPr>
            <w:tcW w:w="398" w:type="dxa"/>
            <w:tcBorders>
              <w:bottom w:val="single" w:sz="8" w:space="0" w:color="000000"/>
            </w:tcBorders>
            <w:tcMar>
              <w:bottom w:w="28" w:type="dxa"/>
            </w:tcMar>
            <w:vAlign w:val="bottom"/>
          </w:tcPr>
          <w:p>
            <w:pPr>
              <w:pStyle w:val="TableContents"/>
              <w:bidi w:val="0"/>
              <w:spacing w:before="0" w:after="283"/>
              <w:jc w:val="center"/>
              <w:rPr>
                <w:b/>
              </w:rPr>
            </w:pPr>
            <w:r>
              <w:rPr>
                <w:b/>
              </w:rPr>
              <w:t>Liu</w:t>
            </w:r>
          </w:p>
        </w:tc>
        <w:tc>
          <w:tcPr>
            <w:tcW w:w="132" w:type="dxa"/>
            <w:tcBorders/>
            <w:vAlign w:val="bottom"/>
          </w:tcPr>
          <w:p>
            <w:pPr>
              <w:pStyle w:val="TableContents"/>
              <w:bidi w:val="0"/>
              <w:spacing w:before="0" w:after="283"/>
              <w:jc w:val="left"/>
              <w:rPr/>
            </w:pPr>
            <w:r>
              <w:rPr/>
              <w:t> </w:t>
            </w:r>
          </w:p>
        </w:tc>
        <w:tc>
          <w:tcPr>
            <w:tcW w:w="857" w:type="dxa"/>
            <w:tcBorders>
              <w:bottom w:val="single" w:sz="8" w:space="0" w:color="000000"/>
            </w:tcBorders>
            <w:tcMar>
              <w:bottom w:w="28" w:type="dxa"/>
            </w:tcMar>
            <w:vAlign w:val="bottom"/>
          </w:tcPr>
          <w:p>
            <w:pPr>
              <w:pStyle w:val="TableContents"/>
              <w:bidi w:val="0"/>
              <w:spacing w:before="0" w:after="283"/>
              <w:jc w:val="center"/>
              <w:rPr>
                <w:b/>
              </w:rPr>
            </w:pPr>
            <w:r>
              <w:rPr>
                <w:b/>
              </w:rPr>
              <w:t>Multani</w:t>
            </w:r>
          </w:p>
        </w:tc>
        <w:tc>
          <w:tcPr>
            <w:tcW w:w="132" w:type="dxa"/>
            <w:tcBorders/>
            <w:vAlign w:val="bottom"/>
          </w:tcPr>
          <w:p>
            <w:pPr>
              <w:pStyle w:val="TableContents"/>
              <w:bidi w:val="0"/>
              <w:spacing w:before="0" w:after="283"/>
              <w:jc w:val="left"/>
              <w:rPr/>
            </w:pPr>
            <w:r>
              <w:rPr/>
              <w:t> </w:t>
            </w:r>
          </w:p>
        </w:tc>
        <w:tc>
          <w:tcPr>
            <w:tcW w:w="826" w:type="dxa"/>
            <w:tcBorders>
              <w:bottom w:val="single" w:sz="8" w:space="0" w:color="000000"/>
            </w:tcBorders>
            <w:tcMar>
              <w:bottom w:w="28" w:type="dxa"/>
            </w:tcMar>
            <w:vAlign w:val="bottom"/>
          </w:tcPr>
          <w:p>
            <w:pPr>
              <w:pStyle w:val="TableContents"/>
              <w:bidi w:val="0"/>
              <w:spacing w:before="0" w:after="283"/>
              <w:jc w:val="center"/>
              <w:rPr>
                <w:b/>
              </w:rPr>
            </w:pPr>
            <w:r>
              <w:rPr>
                <w:b/>
              </w:rPr>
              <w:t>Varney</w:t>
            </w:r>
          </w:p>
        </w:tc>
      </w:tr>
      <w:tr>
        <w:trPr/>
        <w:tc>
          <w:tcPr>
            <w:tcW w:w="29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Biopharma Industry</w:t>
            </w:r>
          </w:p>
        </w:tc>
        <w:tc>
          <w:tcPr>
            <w:tcW w:w="132"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center"/>
              <w:rPr/>
            </w:pPr>
            <w:r>
              <w:rPr/>
              <w:t>∎</w:t>
            </w:r>
          </w:p>
        </w:tc>
      </w:tr>
      <w:tr>
        <w:trPr/>
        <w:tc>
          <w:tcPr>
            <w:tcW w:w="29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Operational Leadership</w:t>
            </w:r>
          </w:p>
        </w:tc>
        <w:tc>
          <w:tcPr>
            <w:tcW w:w="13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center"/>
              <w:rPr/>
            </w:pPr>
            <w:r>
              <w:rPr/>
              <w:t>∎</w:t>
            </w:r>
          </w:p>
        </w:tc>
      </w:tr>
      <w:tr>
        <w:trPr/>
        <w:tc>
          <w:tcPr>
            <w:tcW w:w="29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Drug Discovery, Development and Regulatory</w:t>
            </w:r>
          </w:p>
        </w:tc>
        <w:tc>
          <w:tcPr>
            <w:tcW w:w="132"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center"/>
              <w:rPr/>
            </w:pPr>
            <w:r>
              <w:rPr/>
              <w:t>∎</w:t>
            </w:r>
          </w:p>
        </w:tc>
      </w:tr>
      <w:tr>
        <w:trPr/>
        <w:tc>
          <w:tcPr>
            <w:tcW w:w="29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3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sz w:val="4"/>
                <w:szCs w:val="4"/>
              </w:rPr>
            </w:pPr>
            <w:r>
              <w:rPr>
                <w:sz w:val="4"/>
                <w:szCs w:val="4"/>
              </w:rPr>
            </w:r>
          </w:p>
        </w:tc>
      </w:tr>
      <w:tr>
        <w:trPr/>
        <w:tc>
          <w:tcPr>
            <w:tcW w:w="29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Financial</w:t>
            </w:r>
          </w:p>
        </w:tc>
        <w:tc>
          <w:tcPr>
            <w:tcW w:w="132"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center"/>
              <w:rPr/>
            </w:pPr>
            <w:r>
              <w:rPr/>
              <w:t>∎</w:t>
            </w:r>
          </w:p>
        </w:tc>
        <w:tc>
          <w:tcPr>
            <w:tcW w:w="132"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sz w:val="4"/>
                <w:szCs w:val="4"/>
              </w:rPr>
            </w:pPr>
            <w:r>
              <w:rPr>
                <w:sz w:val="4"/>
                <w:szCs w:val="4"/>
              </w:rPr>
            </w:r>
          </w:p>
        </w:tc>
      </w:tr>
      <w:tr>
        <w:trPr/>
        <w:tc>
          <w:tcPr>
            <w:tcW w:w="29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Corporate Governance</w:t>
            </w:r>
          </w:p>
        </w:tc>
        <w:tc>
          <w:tcPr>
            <w:tcW w:w="13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center"/>
              <w:rPr/>
            </w:pPr>
            <w:r>
              <w:rPr/>
              <w:t>∎</w:t>
            </w:r>
          </w:p>
        </w:tc>
        <w:tc>
          <w:tcPr>
            <w:tcW w:w="132"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center"/>
              <w:rPr/>
            </w:pPr>
            <w:r>
              <w:rPr/>
              <w: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Communication from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Erasca, Inc., 3115 Merryfield Row, Suite 300, San Diego, California 92121.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attendance at annual meetings </w:t>
      </w:r>
    </w:p>
    <w:p>
      <w:pPr>
        <w:pStyle w:val="TextBody"/>
        <w:bidi w:val="0"/>
        <w:spacing w:before="120" w:after="0"/>
        <w:jc w:val="left"/>
        <w:rPr>
          <w:rFonts w:ascii="Times New Roman" w:hAnsi="Times New Roman"/>
          <w:sz w:val="20"/>
        </w:rPr>
      </w:pPr>
      <w:r>
        <w:rPr>
          <w:rFonts w:ascii="Times New Roman" w:hAnsi="Times New Roman"/>
          <w:sz w:val="20"/>
        </w:rPr>
        <w:t xml:space="preserve">Although we do not have a formal policy regarding attendance by members of our Board at our Annual Meeting, we encourage all of our directors to attend.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Board is currently led by our Chairman, Jonathan E. Lim, M.D. The Board recognizes that it is important to determine an optimal board leadership structure to ensure the independent oversight of management as we continue to grow. We do not currently separate the roles of Chief Executive Officer and Chairman of the Board. The Board has determined that having an employee director serve as Chairman is in the best interest of our stockholders at this time because combining the roles allows one person to drive strategy and agenda-setting at the board level, as well as maintaining responsibility for executing on that strategy. The Board has concluded that our current leadership structure is appropriate at this time. In 2023, in recognition of the importance of independent oversight over management, the Board created the position of Lead Independent Director. The Lead Independent Director is elected by the independent members of the Board. The Board will continue to periodically review our leadership structure and may make such changes in the future as it deems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Lead Independent Director </w:t>
      </w:r>
    </w:p>
    <w:p>
      <w:pPr>
        <w:pStyle w:val="TextBody"/>
        <w:bidi w:val="0"/>
        <w:spacing w:before="120" w:after="0"/>
        <w:jc w:val="left"/>
        <w:rPr>
          <w:rFonts w:ascii="Times New Roman" w:hAnsi="Times New Roman"/>
          <w:sz w:val="20"/>
        </w:rPr>
      </w:pPr>
      <w:r>
        <w:rPr>
          <w:rFonts w:ascii="Times New Roman" w:hAnsi="Times New Roman"/>
          <w:sz w:val="20"/>
        </w:rPr>
        <w:t xml:space="preserve">The responsibilities of the Lead Independent Director, as set forth in our Corporate Governance Guidelines, include, but are not limited to: presiding over all meetings of the Board at which the Chairman of the Board is not present, including any executive sessions of the independent directors; calling separate meetings of the independent directors, if needed; providing feedback on Board meeting schedules and agendas; acting as the liaison between the independent directors and the Chief Executive Officer and Chairman of the Board; providing the Chairman of the Board with feedback and counsel regarding the Chairmans interactions with the Board; providing the Chairman of the Board and management with feedback on the quality, quantity, and timeliness of information provided to the Board; responding to stockholder questions that are directed to the Lead Independent Director or the independent directors as a group; and such other functions and responsibilities as requested by the Board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determined by the Board, the Lead Independent Director shall serve for an initial three-year term or, if earlier than the expiration of such three-year term, until such directors successor has been duly elected and qualified or until such directors earlier death, resignation or removal. James Bristol, Ph.D., was elected as the Lead Independent Director in July 2023, with a term that runs until the 2025 annual meeting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reviews information regarding liquidity and operations, and oversees our management of financial risks. Periodically, the Audit Committee reviews our policies with respect to risk assessment, risk management, loss prevention and regulatory compliance, including with respect to cybersecurity.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 </w:t>
      </w:r>
    </w:p>
    <w:p>
      <w:pPr>
        <w:pStyle w:val="TextBody"/>
        <w:bidi w:val="0"/>
        <w:spacing w:before="360" w:after="0"/>
        <w:jc w:val="left"/>
        <w:rPr>
          <w:rFonts w:ascii="Times New Roman" w:hAnsi="Times New Roman"/>
          <w:b/>
          <w:sz w:val="20"/>
        </w:rPr>
      </w:pPr>
      <w:r>
        <w:rPr>
          <w:rFonts w:ascii="Times New Roman" w:hAnsi="Times New Roman"/>
          <w:b/>
          <w:sz w:val="20"/>
        </w:rPr>
        <w:t xml:space="preserve">Board evaluation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require the Nominating and Corporate Governance Committee to oversee a periodic assessment by the Board of the Boards performance. As provided in our Corporate Governance Guidelines, the Nominating and Corporate Governance Committee is responsible for establishing the evaluation criteria and implementing the process for such evaluation. </w:t>
      </w:r>
    </w:p>
    <w:p>
      <w:pPr>
        <w:pStyle w:val="TextBody"/>
        <w:bidi w:val="0"/>
        <w:spacing w:before="36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of our website located at www.erasca.com. In addition, we intend to post on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website all disclosures that are required by law or the listing standards of Nasdaq concerning any amendments to, or waivers from, any provision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Prohibition against pledging and hedging </w:t>
      </w:r>
    </w:p>
    <w:p>
      <w:pPr>
        <w:pStyle w:val="TextBody"/>
        <w:bidi w:val="0"/>
        <w:spacing w:before="120" w:after="0"/>
        <w:jc w:val="left"/>
        <w:rPr>
          <w:rFonts w:ascii="Times New Roman" w:hAnsi="Times New Roman"/>
          <w:sz w:val="20"/>
        </w:rPr>
      </w:pPr>
      <w:r>
        <w:rPr>
          <w:rFonts w:ascii="Times New Roman" w:hAnsi="Times New Roman"/>
          <w:sz w:val="20"/>
        </w:rPr>
        <w:t xml:space="preserve">We maintain an insider trading compliance policy that prohibits our officers, directors and employees from pledging our stock as collateral to secure loans and from engaging in hedging transactions, including prepaid variable forward contract, equity swaps, collars and exchange funds. It further prohibits margin purchases of our stock or placing our stock in a margin account, short sales of our stock, and any transactions in puts, calls or other derivative securities involving our stock. </w:t>
      </w:r>
    </w:p>
    <w:p>
      <w:pPr>
        <w:pStyle w:val="TextBody"/>
        <w:bidi w:val="0"/>
        <w:spacing w:before="360" w:after="0"/>
        <w:jc w:val="left"/>
        <w:rPr>
          <w:rFonts w:ascii="Times New Roman" w:hAnsi="Times New Roman"/>
          <w:b/>
          <w:sz w:val="20"/>
        </w:rPr>
      </w:pPr>
      <w:r>
        <w:rPr>
          <w:rFonts w:ascii="Times New Roman" w:hAnsi="Times New Roman"/>
          <w:b/>
          <w:sz w:val="20"/>
        </w:rPr>
        <w:t xml:space="preserve">Attendance by members of the Board at meetings </w:t>
      </w:r>
    </w:p>
    <w:p>
      <w:pPr>
        <w:pStyle w:val="TextBody"/>
        <w:bidi w:val="0"/>
        <w:spacing w:before="120" w:after="0"/>
        <w:jc w:val="left"/>
        <w:rPr>
          <w:rFonts w:ascii="Times New Roman" w:hAnsi="Times New Roman"/>
          <w:sz w:val="20"/>
        </w:rPr>
      </w:pPr>
      <w:r>
        <w:rPr>
          <w:rFonts w:ascii="Times New Roman" w:hAnsi="Times New Roman"/>
          <w:sz w:val="20"/>
        </w:rPr>
        <w:t xml:space="preserve">There were seven meetings of the Board during the fiscal year ended December 31, 2023. During the fiscal year ended December 31, 2023, each director attended at least 75% of the aggregate of all meetings of the Board and meetings of the committees on which such director served during the period in which he or she served as a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established three standing committees  Audit, Compensation and Nominating and Corporate Governance  each of which operates under a charter that has been approved by the Board. All of the members of each of the Boards three standing committees are independent as defined under the Nasdaq rules. In addition, all members of the Audit Committee meet the independence requirements for Audit Committee members under Rule 10A-3 under the Securities Exchange Act of 1934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current members of each of the Board committees and committee Chairs are set forth in the following chart.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54"/>
        <w:gridCol w:w="485"/>
        <w:gridCol w:w="605"/>
        <w:gridCol w:w="459"/>
        <w:gridCol w:w="1497"/>
        <w:gridCol w:w="485"/>
        <w:gridCol w:w="2387"/>
      </w:tblGrid>
      <w:tr>
        <w:trPr/>
        <w:tc>
          <w:tcPr>
            <w:tcW w:w="2654"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r>
      <w:tr>
        <w:trPr/>
        <w:tc>
          <w:tcPr>
            <w:tcW w:w="26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485" w:type="dxa"/>
            <w:tcBorders/>
            <w:vAlign w:val="bottom"/>
          </w:tcPr>
          <w:p>
            <w:pPr>
              <w:pStyle w:val="TableContents"/>
              <w:bidi w:val="0"/>
              <w:spacing w:before="0" w:after="283"/>
              <w:jc w:val="left"/>
              <w:rPr/>
            </w:pPr>
            <w:r>
              <w:rPr/>
              <w:t>  </w:t>
            </w:r>
          </w:p>
        </w:tc>
        <w:tc>
          <w:tcPr>
            <w:tcW w:w="605" w:type="dxa"/>
            <w:tcBorders>
              <w:bottom w:val="single" w:sz="8" w:space="0" w:color="000000"/>
            </w:tcBorders>
            <w:tcMar>
              <w:bottom w:w="28" w:type="dxa"/>
            </w:tcMar>
            <w:vAlign w:val="bottom"/>
          </w:tcPr>
          <w:p>
            <w:pPr>
              <w:pStyle w:val="TableContents"/>
              <w:bidi w:val="0"/>
              <w:spacing w:before="0" w:after="283"/>
              <w:jc w:val="center"/>
              <w:rPr>
                <w:b/>
              </w:rPr>
            </w:pPr>
            <w:r>
              <w:rPr>
                <w:b/>
              </w:rPr>
              <w:t>Audit</w:t>
            </w:r>
          </w:p>
        </w:tc>
        <w:tc>
          <w:tcPr>
            <w:tcW w:w="459" w:type="dxa"/>
            <w:tcBorders/>
            <w:vAlign w:val="bottom"/>
          </w:tcPr>
          <w:p>
            <w:pPr>
              <w:pStyle w:val="TableContents"/>
              <w:bidi w:val="0"/>
              <w:spacing w:before="0" w:after="283"/>
              <w:jc w:val="left"/>
              <w:rPr/>
            </w:pPr>
            <w:r>
              <w:rPr/>
              <w:t>  </w:t>
            </w:r>
          </w:p>
        </w:tc>
        <w:tc>
          <w:tcPr>
            <w:tcW w:w="1497" w:type="dxa"/>
            <w:tcBorders>
              <w:bottom w:val="single" w:sz="8" w:space="0" w:color="000000"/>
            </w:tcBorders>
            <w:tcMar>
              <w:bottom w:w="28" w:type="dxa"/>
            </w:tcMar>
            <w:vAlign w:val="bottom"/>
          </w:tcPr>
          <w:p>
            <w:pPr>
              <w:pStyle w:val="TableContents"/>
              <w:bidi w:val="0"/>
              <w:spacing w:before="0" w:after="283"/>
              <w:jc w:val="center"/>
              <w:rPr>
                <w:b/>
              </w:rPr>
            </w:pPr>
            <w:r>
              <w:rPr>
                <w:b/>
              </w:rPr>
              <w:t>Compensation</w:t>
            </w:r>
          </w:p>
        </w:tc>
        <w:tc>
          <w:tcPr>
            <w:tcW w:w="485" w:type="dxa"/>
            <w:tcBorders/>
            <w:vAlign w:val="bottom"/>
          </w:tcPr>
          <w:p>
            <w:pPr>
              <w:pStyle w:val="TableContents"/>
              <w:bidi w:val="0"/>
              <w:spacing w:before="0" w:after="283"/>
              <w:jc w:val="left"/>
              <w:rPr/>
            </w:pPr>
            <w:r>
              <w:rPr/>
              <w:t>  </w:t>
            </w:r>
          </w:p>
        </w:tc>
        <w:tc>
          <w:tcPr>
            <w:tcW w:w="2387" w:type="dxa"/>
            <w:tcBorders>
              <w:bottom w:val="single" w:sz="8" w:space="0" w:color="000000"/>
            </w:tcBorders>
            <w:tcMar>
              <w:bottom w:w="28" w:type="dxa"/>
            </w:tcMar>
            <w:vAlign w:val="bottom"/>
          </w:tcPr>
          <w:p>
            <w:pPr>
              <w:pStyle w:val="TableContents"/>
              <w:bidi w:val="0"/>
              <w:spacing w:before="0" w:after="283"/>
              <w:jc w:val="center"/>
              <w:rPr>
                <w:b/>
              </w:rPr>
            </w:pPr>
            <w:r>
              <w:rPr>
                <w:b/>
              </w:rPr>
              <w:t>Nominating and</w:t>
              <w:br/>
              <w:t>Corporate Governance</w:t>
            </w:r>
          </w:p>
        </w:tc>
      </w:tr>
      <w:tr>
        <w:trPr/>
        <w:tc>
          <w:tcPr>
            <w:tcW w:w="2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A. Bristol, Ph.D.</w:t>
            </w:r>
          </w:p>
        </w:tc>
        <w:tc>
          <w:tcPr>
            <w:tcW w:w="485"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center"/>
              <w:rPr/>
            </w:pPr>
            <w:r>
              <w:rPr/>
              <w:t>C</w:t>
            </w:r>
          </w:p>
        </w:tc>
        <w:tc>
          <w:tcPr>
            <w:tcW w:w="485" w:type="dxa"/>
            <w:tcBorders/>
            <w:shd w:fill="CCEEFF" w:val="clear"/>
            <w:vAlign w:val="bottom"/>
          </w:tcPr>
          <w:p>
            <w:pPr>
              <w:pStyle w:val="TableContents"/>
              <w:bidi w:val="0"/>
              <w:spacing w:before="0" w:after="283"/>
              <w:jc w:val="left"/>
              <w:rPr/>
            </w:pPr>
            <w:r>
              <w:rPr/>
              <w:t>  </w:t>
            </w:r>
          </w:p>
        </w:tc>
        <w:tc>
          <w:tcPr>
            <w:tcW w:w="2387" w:type="dxa"/>
            <w:tcBorders/>
            <w:shd w:fill="CCEEFF" w:val="clear"/>
            <w:vAlign w:val="bottom"/>
          </w:tcPr>
          <w:p>
            <w:pPr>
              <w:pStyle w:val="TableContents"/>
              <w:bidi w:val="0"/>
              <w:spacing w:before="0" w:after="283"/>
              <w:jc w:val="center"/>
              <w:rPr/>
            </w:pPr>
            <w:r>
              <w:rPr/>
              <w:t>X</w:t>
            </w:r>
          </w:p>
        </w:tc>
      </w:tr>
      <w:tr>
        <w:trPr/>
        <w:tc>
          <w:tcPr>
            <w:tcW w:w="2654" w:type="dxa"/>
            <w:tcBorders/>
          </w:tcPr>
          <w:p>
            <w:pPr>
              <w:pStyle w:val="TableContents"/>
              <w:bidi w:val="0"/>
              <w:spacing w:before="0" w:after="0"/>
              <w:jc w:val="left"/>
              <w:rPr>
                <w:rFonts w:ascii="Times New Roman" w:hAnsi="Times New Roman"/>
                <w:sz w:val="20"/>
              </w:rPr>
            </w:pPr>
            <w:r>
              <w:rPr>
                <w:rFonts w:ascii="Times New Roman" w:hAnsi="Times New Roman"/>
                <w:sz w:val="20"/>
              </w:rPr>
              <w:t>Alexander W. Casdin</w:t>
            </w:r>
          </w:p>
        </w:tc>
        <w:tc>
          <w:tcPr>
            <w:tcW w:w="485"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C</w:t>
            </w:r>
          </w:p>
        </w:tc>
        <w:tc>
          <w:tcPr>
            <w:tcW w:w="459"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387" w:type="dxa"/>
            <w:tcBorders/>
            <w:vAlign w:val="bottom"/>
          </w:tcPr>
          <w:p>
            <w:pPr>
              <w:pStyle w:val="TableContents"/>
              <w:bidi w:val="0"/>
              <w:spacing w:before="0" w:after="283"/>
              <w:jc w:val="left"/>
              <w:rPr>
                <w:sz w:val="4"/>
                <w:szCs w:val="4"/>
              </w:rPr>
            </w:pPr>
            <w:r>
              <w:rPr>
                <w:sz w:val="4"/>
                <w:szCs w:val="4"/>
              </w:rPr>
            </w:r>
          </w:p>
        </w:tc>
      </w:tr>
      <w:tr>
        <w:trPr/>
        <w:tc>
          <w:tcPr>
            <w:tcW w:w="2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Julie Hambleton, M.D.</w:t>
            </w:r>
          </w:p>
        </w:tc>
        <w:tc>
          <w:tcPr>
            <w:tcW w:w="485"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center"/>
              <w:rPr/>
            </w:pPr>
            <w:r>
              <w:rPr/>
              <w:t>X</w:t>
            </w:r>
          </w:p>
        </w:tc>
        <w:tc>
          <w:tcPr>
            <w:tcW w:w="459"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center"/>
              <w:rPr/>
            </w:pPr>
            <w:r>
              <w:rPr/>
              <w:t>X</w:t>
            </w:r>
          </w:p>
        </w:tc>
        <w:tc>
          <w:tcPr>
            <w:tcW w:w="485" w:type="dxa"/>
            <w:tcBorders/>
            <w:shd w:fill="CCEEFF" w:val="clear"/>
            <w:vAlign w:val="bottom"/>
          </w:tcPr>
          <w:p>
            <w:pPr>
              <w:pStyle w:val="TableContents"/>
              <w:bidi w:val="0"/>
              <w:spacing w:before="0" w:after="283"/>
              <w:jc w:val="left"/>
              <w:rPr/>
            </w:pPr>
            <w:r>
              <w:rPr/>
              <w:t>  </w:t>
            </w:r>
          </w:p>
        </w:tc>
        <w:tc>
          <w:tcPr>
            <w:tcW w:w="2387" w:type="dxa"/>
            <w:tcBorders/>
            <w:shd w:fill="CCEEFF" w:val="clear"/>
            <w:vAlign w:val="bottom"/>
          </w:tcPr>
          <w:p>
            <w:pPr>
              <w:pStyle w:val="TableContents"/>
              <w:bidi w:val="0"/>
              <w:spacing w:before="0" w:after="283"/>
              <w:jc w:val="left"/>
              <w:rPr>
                <w:sz w:val="4"/>
                <w:szCs w:val="4"/>
              </w:rPr>
            </w:pPr>
            <w:r>
              <w:rPr>
                <w:sz w:val="4"/>
                <w:szCs w:val="4"/>
              </w:rPr>
            </w:r>
          </w:p>
        </w:tc>
      </w:tr>
      <w:tr>
        <w:trPr/>
        <w:tc>
          <w:tcPr>
            <w:tcW w:w="2654" w:type="dxa"/>
            <w:tcBorders/>
          </w:tcPr>
          <w:p>
            <w:pPr>
              <w:pStyle w:val="TableContents"/>
              <w:bidi w:val="0"/>
              <w:spacing w:before="0" w:after="0"/>
              <w:jc w:val="left"/>
              <w:rPr>
                <w:rFonts w:ascii="Times New Roman" w:hAnsi="Times New Roman"/>
                <w:sz w:val="20"/>
              </w:rPr>
            </w:pPr>
            <w:r>
              <w:rPr>
                <w:rFonts w:ascii="Times New Roman" w:hAnsi="Times New Roman"/>
                <w:sz w:val="20"/>
              </w:rPr>
              <w:t>Pratik S. Multani, M.D.</w:t>
            </w:r>
          </w:p>
        </w:tc>
        <w:tc>
          <w:tcPr>
            <w:tcW w:w="485"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387" w:type="dxa"/>
            <w:tcBorders/>
            <w:vAlign w:val="bottom"/>
          </w:tcPr>
          <w:p>
            <w:pPr>
              <w:pStyle w:val="TableContents"/>
              <w:bidi w:val="0"/>
              <w:spacing w:before="0" w:after="283"/>
              <w:jc w:val="center"/>
              <w:rPr/>
            </w:pPr>
            <w:r>
              <w:rPr/>
              <w:t>X</w:t>
            </w:r>
          </w:p>
        </w:tc>
      </w:tr>
      <w:tr>
        <w:trPr/>
        <w:tc>
          <w:tcPr>
            <w:tcW w:w="26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Valerie Harding-Start, Ph.D.</w:t>
            </w:r>
          </w:p>
        </w:tc>
        <w:tc>
          <w:tcPr>
            <w:tcW w:w="485"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center"/>
              <w:rPr/>
            </w:pPr>
            <w:r>
              <w:rPr/>
              <w:t>X</w:t>
            </w:r>
          </w:p>
        </w:tc>
        <w:tc>
          <w:tcPr>
            <w:tcW w:w="485" w:type="dxa"/>
            <w:tcBorders/>
            <w:shd w:fill="CCEEFF" w:val="clear"/>
            <w:vAlign w:val="bottom"/>
          </w:tcPr>
          <w:p>
            <w:pPr>
              <w:pStyle w:val="TableContents"/>
              <w:bidi w:val="0"/>
              <w:spacing w:before="0" w:after="283"/>
              <w:jc w:val="left"/>
              <w:rPr/>
            </w:pPr>
            <w:r>
              <w:rPr/>
              <w:t>  </w:t>
            </w:r>
          </w:p>
        </w:tc>
        <w:tc>
          <w:tcPr>
            <w:tcW w:w="2387" w:type="dxa"/>
            <w:tcBorders/>
            <w:shd w:fill="CCEEFF" w:val="clear"/>
            <w:vAlign w:val="bottom"/>
          </w:tcPr>
          <w:p>
            <w:pPr>
              <w:pStyle w:val="TableContents"/>
              <w:bidi w:val="0"/>
              <w:spacing w:before="0" w:after="283"/>
              <w:jc w:val="center"/>
              <w:rPr/>
            </w:pPr>
            <w:r>
              <w:rPr/>
              <w:t>C</w:t>
            </w:r>
          </w:p>
        </w:tc>
      </w:tr>
      <w:tr>
        <w:trPr/>
        <w:tc>
          <w:tcPr>
            <w:tcW w:w="2654" w:type="dxa"/>
            <w:tcBorders/>
          </w:tcPr>
          <w:p>
            <w:pPr>
              <w:pStyle w:val="TableContents"/>
              <w:bidi w:val="0"/>
              <w:spacing w:before="0" w:after="0"/>
              <w:jc w:val="left"/>
              <w:rPr>
                <w:rFonts w:ascii="Times New Roman" w:hAnsi="Times New Roman"/>
                <w:sz w:val="20"/>
              </w:rPr>
            </w:pPr>
            <w:r>
              <w:rPr>
                <w:rFonts w:ascii="Times New Roman" w:hAnsi="Times New Roman"/>
                <w:sz w:val="20"/>
              </w:rPr>
              <w:t>Jean I. Liu, J.D.</w:t>
            </w:r>
          </w:p>
        </w:tc>
        <w:tc>
          <w:tcPr>
            <w:tcW w:w="485"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X</w:t>
            </w:r>
          </w:p>
        </w:tc>
        <w:tc>
          <w:tcPr>
            <w:tcW w:w="459"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387"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Committee Chair </w:t>
            </w:r>
          </w:p>
        </w:tc>
      </w:tr>
    </w:tbl>
    <w:tbl>
      <w:tblPr>
        <w:tblW w:w="5000" w:type="pct"/>
        <w:jc w:val="left"/>
        <w:tblInd w:w="0" w:type="dxa"/>
        <w:tblLayout w:type="fixed"/>
        <w:tblCellMar>
          <w:top w:w="0" w:type="dxa"/>
          <w:left w:w="0" w:type="dxa"/>
          <w:bottom w:w="0" w:type="dxa"/>
          <w:right w:w="0" w:type="dxa"/>
        </w:tblCellMar>
      </w:tblPr>
      <w:tblGrid>
        <w:gridCol w:w="396"/>
        <w:gridCol w:w="9809"/>
      </w:tblGrid>
      <w:tr>
        <w:trPr/>
        <w:tc>
          <w:tcPr>
            <w:tcW w:w="396" w:type="dxa"/>
            <w:tcBorders/>
          </w:tcPr>
          <w:p>
            <w:pPr>
              <w:pStyle w:val="TableContents"/>
              <w:bidi w:val="0"/>
              <w:spacing w:before="0" w:after="283"/>
              <w:jc w:val="left"/>
              <w:rPr/>
            </w:pPr>
            <w:r>
              <w:rPr/>
              <w:t></w:t>
            </w:r>
          </w:p>
        </w:tc>
        <w:tc>
          <w:tcPr>
            <w:tcW w:w="980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Expert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Committees main function is to oversee our accounting and financial reporting processes and the audits of our consolidated financial statements. This committees responsibilities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the audit and non-audit services to be performed by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design, implementation, adequacy and effectiveness of our internal accounting controls and our critical accounting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the independent registered public accounting firm the results of our annual audit and the review of our quarterly unaudited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overseeing and monitoring the integrity of our consolidated financial statements and our compliance with legal and regulatory requirements as they relate to financial statements or accounting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on a periodic basis, or as appropriate, any investment policy and recommending to the Board any changes to such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auditors any earnings announcements and other public announcements regarding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Companys policies with respect to risk assessment and risk management, including with respect to cybersecurity;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any related party transactions and reviewing and monitoring compliance with our code of conduct and ethics;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at least annually, the performance of the Audit Committee and its members including compliance of the Audit Committee with its charter.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Audit Committee are Mr. Casdin, Ms. Liu, and Dr. Hambleton. Mr. Casdin serves as the Chair of the Audit Committee. All members of our Audit Committee meet the requirements for financial literacy under the applicable rules and regulations of the SEC and Nasdaq. The Board has determined that Mr. Casdin is an audit committee financial expert as defined by applicable SEC rules and has the requisite financial sophistication as defined under the applicable Nasdaq rules and regulations. The Board has determined each of Mr. Casdin, Ms. Liu, and Dr. Hambleton are independent under the applicable rules of the SEC and Nasdaq. All members of our Audit Committee are independent under Nasdaq rules and Rule 10A-3. The Audit Committee operates under a written charter that satisfies the applicable standards of the SEC and Nasdaq, which the Audit Committee will evaluate and review at least annually. The Audit Committee met four times during 2023. Both our external auditor and internal financial personnel meet privately with the Audit Committee and have unrestricted access to this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or makes recommendations to the Board regarding the issuance of stock options and other awards under our equity plan.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has retained Alpine Rewards, LLC (Alpine), as its independent compensation consultant to advise the Compensation Committee on matters pertaining to director and executive compensation, including advising as to market levels and practices, plan design and implementation, comparable company data, consulting best practices and governance principles, as well as on matters related to employee equity compensation. Alpine does not provide any other services to the Company. The Compensation Committee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and Alpine has affirmed, that Alpines work does not present any conflicts of interest and that Alpine is independent. In reaching these conclusions, the Compensation Committee considered the factors set forth in Exchange Act Rule 10C-1 and Nasdaq listing standards. The members of our compensation committee are Drs. Bristol, Hambleton and Harding-Start. Dr. Bristol serves as the Chair of the committee. Our Board has determined that each member of this committee is independent under the applicable rules and regulations of Nasdaq and is a non-employee director as defined in Rule 16b-3 promulgated under the Exchange Act. The Compensation Committee met four times during 2023.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our Compensation Committee is currently, or has at any time been, one of our officers or employees. None of our executive officers currently serves, or has served during the past fiscal year, as a member of the board of directors or compensation committee (or other board committee performing equivalent functions or, in the absence of any such committee, the entire board of directors) of any entity that has one or more executive officers serving as a member of our Board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and Corporate Governance Committee is responsible for overseeing our corporate governance policies, reporting and making recommendations to the Board concerning governance matters, oversight of the evaluation of the Board and reviewing and assisting the Board with oversight of matters relating to environmental, social and governance matters affecting the Company. The members of our Nominating and Corporate Governance Committee are Drs. Harding-Start and Bristol and Mr. Multani. Dr. Harding-Start serves as the Chair of the committee. The Board has determined that each member of this committee is independent under the applicable rules and regulations of Nasdaq relating to Nominating and Corporate Governance Committee independence. The Nominating and Corporate Governance Committee operates under a written charter, which the Nominating and Corporate Governance Committee will review and evaluate at least annually. The Nominating and Corporate Governance Committee met three times during 2023.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social and governance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At Erasca, while our mission to erase cancer inspires us, we know we can do more to make an even broader contribution to society. To that end, we are pursuing environmental, social, and governance (ESG) initiatives that are aligned with our core 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Erasca Foundation: </w:t>
            </w:r>
            <w:r>
              <w:rPr>
                <w:rFonts w:ascii="Times New Roman" w:hAnsi="Times New Roman"/>
                <w:sz w:val="20"/>
              </w:rPr>
              <w:t xml:space="preserve">In May 2021, we established the Erasca Foundation, a nonprofit California public benefit corporation, which was funded by the donation of 1,093,557 shares of our common stock (which at the time represented 1% of our capital stock), in conjunction with our IPO. In addition, in December 2023 several of our officers and directors made donations to the Erasca Foundation, and in April 2024 we made a $125,000 donation to the Erasca Foundation. In 2023 the Erasca Foundation provided funding for initiatives to positively impact society, including providing funding to the following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Brain Tumor Network (provides free, individualized navigation to help patients and loved ones manage a primary brain tumor diagnosis);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Clarity Foundation (strives to improve the survival and quality of life of women with ovarian cancer);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Lazarex Cancer Foundation (strives to improve cancer clinical trial diversity and enrollment, and patient access to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Omars Dream Foundation (enables hospitalized and medically-supervised children to remotely attend school);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 Science Cares (a nonprofit organization that seeks to disrupt the cycle of poverty and inequality in the communities in which it serves);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Curebound (a nonprofit organization that funds cancer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Environmental initiatives:</w:t>
            </w:r>
            <w:r>
              <w:rPr>
                <w:rFonts w:ascii="Times New Roman" w:hAnsi="Times New Roman"/>
                <w:sz w:val="20"/>
              </w:rPr>
              <w:t xml:space="preserve"> We strive to minimize our carbon footprint with respect to both our physical buildings and our manufacturing process. Both of our physical buildings limit their carbon footprint. Our San Diego office is Gold Level Leadership in Energy and Environmental Design (LEED) certified, and our San Francisco office is Platinum Level LEED certified. Each building is accessible by public transportation, and has electric vehicle charging stations and indoor bike racks. We also encourage our employees to recycle, including recycling programs for certain of our lab supplies. While we rely on third-party vendors to conduct our drug manufacturing, our chemists that are engaged in the manufacturing process are committed to increasing efficiencies, reducing materials, and minimizing waste.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Code of Conduct and Ethics: </w:t>
            </w:r>
            <w:r>
              <w:rPr>
                <w:rFonts w:ascii="Times New Roman" w:hAnsi="Times New Roman"/>
                <w:sz w:val="20"/>
              </w:rPr>
              <w:t xml:space="preserve">Our Code of Business Conduct and Ethics applies to all of our employees, officers and directors, and requires the highest standards of business ethics. The Code of Business Conduct and Ethics and other corporate governance documents are located in the Corporate Governance section of the Investors page of our website located at www.erasca.com.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Inclusive clinical trial participation: </w:t>
            </w:r>
            <w:r>
              <w:rPr>
                <w:rFonts w:ascii="Times New Roman" w:hAnsi="Times New Roman"/>
                <w:sz w:val="20"/>
              </w:rPr>
              <w:t xml:space="preserve">We intend to make clinical trials of our product candidates more accessible to diverse patient populations and plan to partner with others who are like-minded in this regard.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Drug access program: </w:t>
            </w:r>
            <w:r>
              <w:rPr>
                <w:rFonts w:ascii="Times New Roman" w:hAnsi="Times New Roman"/>
                <w:sz w:val="20"/>
              </w:rPr>
              <w:t>If our products become commercially available</w:t>
            </w:r>
            <w:r>
              <w:rPr>
                <w:rFonts w:ascii="Times New Roman" w:hAnsi="Times New Roman"/>
                <w:b/>
                <w:sz w:val="20"/>
              </w:rPr>
              <w:t xml:space="preserve">, </w:t>
            </w:r>
            <w:r>
              <w:rPr>
                <w:rFonts w:ascii="Times New Roman" w:hAnsi="Times New Roman"/>
                <w:sz w:val="20"/>
              </w:rPr>
              <w:t xml:space="preserve">we intend to pursue initiatives to provide patients with access to such drugs, including through patient assistance programs and compassionate use programs. </w:t>
            </w:r>
          </w:p>
        </w:tc>
      </w:tr>
    </w:tbl>
    <w:p>
      <w:pPr>
        <w:pStyle w:val="TextBody"/>
        <w:bidi w:val="0"/>
        <w:spacing w:before="360" w:after="0"/>
        <w:jc w:val="left"/>
        <w:rPr>
          <w:rFonts w:ascii="Times New Roman" w:hAnsi="Times New Roman"/>
          <w:b/>
          <w:sz w:val="20"/>
        </w:rPr>
      </w:pPr>
      <w:bookmarkStart w:id="6" w:name="toc697760_4"/>
      <w:bookmarkEnd w:id="6"/>
      <w:r>
        <w:rPr>
          <w:rFonts w:ascii="Times New Roman" w:hAnsi="Times New Roman"/>
          <w:b/>
          <w:sz w:val="20"/>
        </w:rPr>
        <w:t xml:space="preserve">Executive and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our executive officers who are named in the Summary compensation table below, whom we refer to as our named executive officers or NEOs. For 2023, our NEOs and their positions were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Jonathan E. Lim, M.D., Chairman, Chief Executive Officer, and Co-Founder;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M. Chacko, M.D., Chief Financial Officer and Chief Business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Ebun S. Garner, J.D., General Counsel and Corporate Secretary.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summary information regarding the total compensation that was awarded to, earned by or paid to our NEOs for services rendered during the years ended December 31, 2023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1"/>
        <w:gridCol w:w="62"/>
        <w:gridCol w:w="60"/>
        <w:gridCol w:w="500"/>
        <w:gridCol w:w="60"/>
        <w:gridCol w:w="62"/>
        <w:gridCol w:w="60"/>
        <w:gridCol w:w="802"/>
        <w:gridCol w:w="60"/>
        <w:gridCol w:w="62"/>
        <w:gridCol w:w="199"/>
        <w:gridCol w:w="466"/>
        <w:gridCol w:w="60"/>
        <w:gridCol w:w="62"/>
        <w:gridCol w:w="231"/>
        <w:gridCol w:w="541"/>
        <w:gridCol w:w="60"/>
        <w:gridCol w:w="62"/>
        <w:gridCol w:w="59"/>
        <w:gridCol w:w="983"/>
        <w:gridCol w:w="60"/>
        <w:gridCol w:w="62"/>
        <w:gridCol w:w="98"/>
        <w:gridCol w:w="1322"/>
        <w:gridCol w:w="60"/>
        <w:gridCol w:w="62"/>
        <w:gridCol w:w="136"/>
        <w:gridCol w:w="1285"/>
        <w:gridCol w:w="60"/>
        <w:gridCol w:w="62"/>
        <w:gridCol w:w="60"/>
        <w:gridCol w:w="983"/>
        <w:gridCol w:w="73"/>
      </w:tblGrid>
      <w:tr>
        <w:trPr/>
        <w:tc>
          <w:tcPr>
            <w:tcW w:w="1431"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14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and </w:t>
              <w:br/>
              <w:t>principal Position</w:t>
            </w:r>
          </w:p>
        </w:tc>
        <w:tc>
          <w:tcPr>
            <w:tcW w:w="62"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($)(2)</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 xml:space="preserve">($)(3)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73" w:type="dxa"/>
            <w:tcBorders/>
            <w:vAlign w:val="bottom"/>
          </w:tcPr>
          <w:p>
            <w:pPr>
              <w:pStyle w:val="TableContents"/>
              <w:bidi w:val="0"/>
              <w:spacing w:before="0" w:after="283"/>
              <w:jc w:val="left"/>
              <w:rPr/>
            </w:pPr>
            <w:r>
              <w:rPr/>
              <w:t> </w:t>
            </w:r>
          </w:p>
        </w:tc>
      </w:tr>
      <w:tr>
        <w:trPr/>
        <w:tc>
          <w:tcPr>
            <w:tcW w:w="1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E. Lim, M.D.</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622,800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99"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31" w:type="dxa"/>
            <w:tcBorders/>
            <w:shd w:fill="CCEEFF" w:val="clear"/>
          </w:tcPr>
          <w:p>
            <w:pPr>
              <w:pStyle w:val="TableContents"/>
              <w:bidi w:val="0"/>
              <w:spacing w:before="0" w:after="283"/>
              <w:jc w:val="left"/>
              <w:rPr/>
            </w:pPr>
            <w:r>
              <w:rPr/>
              <w:t> </w:t>
            </w:r>
          </w:p>
        </w:tc>
        <w:tc>
          <w:tcPr>
            <w:tcW w:w="54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9" w:type="dxa"/>
            <w:tcBorders/>
            <w:shd w:fill="CCEEFF" w:val="clear"/>
          </w:tcPr>
          <w:p>
            <w:pPr>
              <w:pStyle w:val="TableContents"/>
              <w:bidi w:val="0"/>
              <w:spacing w:before="0" w:after="283"/>
              <w:jc w:val="left"/>
              <w:rPr/>
            </w:pPr>
            <w:r>
              <w:rPr/>
              <w:t> </w:t>
            </w:r>
          </w:p>
        </w:tc>
        <w:tc>
          <w:tcPr>
            <w:tcW w:w="983" w:type="dxa"/>
            <w:tcBorders/>
            <w:shd w:fill="CCEEFF" w:val="clear"/>
          </w:tcPr>
          <w:p>
            <w:pPr>
              <w:pStyle w:val="TableContents"/>
              <w:bidi w:val="0"/>
              <w:spacing w:before="0" w:after="283"/>
              <w:jc w:val="right"/>
              <w:rPr/>
            </w:pPr>
            <w:r>
              <w:rPr/>
              <w:t>4,419,750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8" w:type="dxa"/>
            <w:tcBorders/>
            <w:shd w:fill="CCEEFF" w:val="clear"/>
          </w:tcPr>
          <w:p>
            <w:pPr>
              <w:pStyle w:val="TableContents"/>
              <w:bidi w:val="0"/>
              <w:spacing w:before="0" w:after="283"/>
              <w:jc w:val="left"/>
              <w:rPr/>
            </w:pPr>
            <w:r>
              <w:rPr/>
              <w:t> </w:t>
            </w:r>
          </w:p>
        </w:tc>
        <w:tc>
          <w:tcPr>
            <w:tcW w:w="1322" w:type="dxa"/>
            <w:tcBorders/>
            <w:shd w:fill="CCEEFF" w:val="clear"/>
          </w:tcPr>
          <w:p>
            <w:pPr>
              <w:pStyle w:val="TableContents"/>
              <w:bidi w:val="0"/>
              <w:spacing w:before="0" w:after="283"/>
              <w:jc w:val="right"/>
              <w:rPr/>
            </w:pPr>
            <w:r>
              <w:rPr/>
              <w:t>354,996</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285" w:type="dxa"/>
            <w:tcBorders/>
            <w:shd w:fill="CCEEFF" w:val="clear"/>
          </w:tcPr>
          <w:p>
            <w:pPr>
              <w:pStyle w:val="TableContents"/>
              <w:bidi w:val="0"/>
              <w:spacing w:before="0" w:after="283"/>
              <w:jc w:val="right"/>
              <w:rPr/>
            </w:pPr>
            <w:r>
              <w:rPr/>
              <w:t>9,900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3" w:type="dxa"/>
            <w:tcBorders/>
            <w:shd w:fill="CCEEFF" w:val="clear"/>
          </w:tcPr>
          <w:p>
            <w:pPr>
              <w:pStyle w:val="TableContents"/>
              <w:bidi w:val="0"/>
              <w:spacing w:before="0" w:after="283"/>
              <w:jc w:val="right"/>
              <w:rPr/>
            </w:pPr>
            <w:r>
              <w:rPr/>
              <w:t>5,407,446</w:t>
            </w:r>
          </w:p>
        </w:tc>
        <w:tc>
          <w:tcPr>
            <w:tcW w:w="73" w:type="dxa"/>
            <w:tcBorders/>
            <w:shd w:fill="CCEEFF" w:val="clear"/>
          </w:tcPr>
          <w:p>
            <w:pPr>
              <w:pStyle w:val="TableContents"/>
              <w:bidi w:val="0"/>
              <w:spacing w:before="0" w:after="283"/>
              <w:jc w:val="left"/>
              <w:rPr/>
            </w:pPr>
            <w:r>
              <w:rPr/>
              <w:t> </w:t>
            </w:r>
          </w:p>
        </w:tc>
      </w:tr>
      <w:tr>
        <w:trPr/>
        <w:tc>
          <w:tcPr>
            <w:tcW w:w="1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Chairman, Chief Executive Officer, and Co-Founder</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2022</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593,100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99"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31" w:type="dxa"/>
            <w:tcBorders/>
            <w:shd w:fill="CCEEFF" w:val="clear"/>
          </w:tcPr>
          <w:p>
            <w:pPr>
              <w:pStyle w:val="TableContents"/>
              <w:bidi w:val="0"/>
              <w:spacing w:before="0" w:after="283"/>
              <w:jc w:val="left"/>
              <w:rPr/>
            </w:pPr>
            <w:r>
              <w:rPr/>
              <w:t> </w:t>
            </w:r>
          </w:p>
        </w:tc>
        <w:tc>
          <w:tcPr>
            <w:tcW w:w="54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9" w:type="dxa"/>
            <w:tcBorders/>
            <w:shd w:fill="CCEEFF" w:val="clear"/>
          </w:tcPr>
          <w:p>
            <w:pPr>
              <w:pStyle w:val="TableContents"/>
              <w:bidi w:val="0"/>
              <w:spacing w:before="0" w:after="283"/>
              <w:jc w:val="left"/>
              <w:rPr/>
            </w:pPr>
            <w:r>
              <w:rPr/>
              <w:t> </w:t>
            </w:r>
          </w:p>
        </w:tc>
        <w:tc>
          <w:tcPr>
            <w:tcW w:w="983" w:type="dxa"/>
            <w:tcBorders/>
            <w:shd w:fill="CCEEFF" w:val="clear"/>
          </w:tcPr>
          <w:p>
            <w:pPr>
              <w:pStyle w:val="TableContents"/>
              <w:bidi w:val="0"/>
              <w:spacing w:before="0" w:after="283"/>
              <w:jc w:val="right"/>
              <w:rPr/>
            </w:pPr>
            <w:r>
              <w:rPr/>
              <w:t>6,583,018</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8" w:type="dxa"/>
            <w:tcBorders/>
            <w:shd w:fill="CCEEFF" w:val="clear"/>
          </w:tcPr>
          <w:p>
            <w:pPr>
              <w:pStyle w:val="TableContents"/>
              <w:bidi w:val="0"/>
              <w:spacing w:before="0" w:after="283"/>
              <w:jc w:val="left"/>
              <w:rPr/>
            </w:pPr>
            <w:r>
              <w:rPr/>
              <w:t> </w:t>
            </w:r>
          </w:p>
        </w:tc>
        <w:tc>
          <w:tcPr>
            <w:tcW w:w="1322" w:type="dxa"/>
            <w:tcBorders/>
            <w:shd w:fill="CCEEFF" w:val="clear"/>
          </w:tcPr>
          <w:p>
            <w:pPr>
              <w:pStyle w:val="TableContents"/>
              <w:bidi w:val="0"/>
              <w:spacing w:before="0" w:after="283"/>
              <w:jc w:val="right"/>
              <w:rPr/>
            </w:pPr>
            <w:r>
              <w:rPr/>
              <w:t>338,067</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285" w:type="dxa"/>
            <w:tcBorders/>
            <w:shd w:fill="CCEEFF" w:val="clear"/>
          </w:tcPr>
          <w:p>
            <w:pPr>
              <w:pStyle w:val="TableContents"/>
              <w:bidi w:val="0"/>
              <w:spacing w:before="0" w:after="283"/>
              <w:jc w:val="right"/>
              <w:rPr/>
            </w:pPr>
            <w:r>
              <w:rPr/>
              <w:t>9,150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3" w:type="dxa"/>
            <w:tcBorders/>
            <w:shd w:fill="CCEEFF" w:val="clear"/>
          </w:tcPr>
          <w:p>
            <w:pPr>
              <w:pStyle w:val="TableContents"/>
              <w:bidi w:val="0"/>
              <w:spacing w:before="0" w:after="283"/>
              <w:jc w:val="right"/>
              <w:rPr/>
            </w:pPr>
            <w:r>
              <w:rPr/>
              <w:t>7,523,335</w:t>
            </w:r>
          </w:p>
        </w:tc>
        <w:tc>
          <w:tcPr>
            <w:tcW w:w="73" w:type="dxa"/>
            <w:tcBorders/>
            <w:shd w:fill="CCEEFF" w:val="clear"/>
          </w:tcPr>
          <w:p>
            <w:pPr>
              <w:pStyle w:val="TableContents"/>
              <w:bidi w:val="0"/>
              <w:spacing w:before="0" w:after="283"/>
              <w:jc w:val="left"/>
              <w:rPr/>
            </w:pPr>
            <w:r>
              <w:rPr/>
              <w:t> </w:t>
            </w:r>
          </w:p>
        </w:tc>
      </w:tr>
      <w:tr>
        <w:trPr/>
        <w:tc>
          <w:tcPr>
            <w:tcW w:w="1431" w:type="dxa"/>
            <w:tcBorders/>
          </w:tcPr>
          <w:p>
            <w:pPr>
              <w:pStyle w:val="TableContents"/>
              <w:bidi w:val="0"/>
              <w:spacing w:before="0" w:after="0"/>
              <w:jc w:val="left"/>
              <w:rPr>
                <w:rFonts w:ascii="Times New Roman" w:hAnsi="Times New Roman"/>
                <w:sz w:val="20"/>
              </w:rPr>
            </w:pPr>
            <w:r>
              <w:rPr>
                <w:rFonts w:ascii="Times New Roman" w:hAnsi="Times New Roman"/>
                <w:sz w:val="20"/>
              </w:rPr>
              <w:t>David M. Chacko, M.D.</w:t>
            </w:r>
          </w:p>
        </w:tc>
        <w:tc>
          <w:tcPr>
            <w:tcW w:w="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475,500</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99" w:type="dxa"/>
            <w:tcBorders/>
          </w:tcPr>
          <w:p>
            <w:pPr>
              <w:pStyle w:val="TableContents"/>
              <w:bidi w:val="0"/>
              <w:spacing w:before="0" w:after="283"/>
              <w:jc w:val="left"/>
              <w:rPr/>
            </w:pPr>
            <w:r>
              <w:rPr/>
              <w:t> </w:t>
            </w:r>
          </w:p>
        </w:tc>
        <w:tc>
          <w:tcPr>
            <w:tcW w:w="466"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31" w:type="dxa"/>
            <w:tcBorders/>
          </w:tcPr>
          <w:p>
            <w:pPr>
              <w:pStyle w:val="TableContents"/>
              <w:bidi w:val="0"/>
              <w:spacing w:before="0" w:after="283"/>
              <w:jc w:val="left"/>
              <w:rPr/>
            </w:pPr>
            <w:r>
              <w:rPr/>
              <w:t> </w:t>
            </w:r>
          </w:p>
        </w:tc>
        <w:tc>
          <w:tcPr>
            <w:tcW w:w="5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9" w:type="dxa"/>
            <w:tcBorders/>
          </w:tcPr>
          <w:p>
            <w:pPr>
              <w:pStyle w:val="TableContents"/>
              <w:bidi w:val="0"/>
              <w:spacing w:before="0" w:after="283"/>
              <w:jc w:val="left"/>
              <w:rPr/>
            </w:pPr>
            <w:r>
              <w:rPr/>
              <w:t> </w:t>
            </w:r>
          </w:p>
        </w:tc>
        <w:tc>
          <w:tcPr>
            <w:tcW w:w="983" w:type="dxa"/>
            <w:tcBorders/>
          </w:tcPr>
          <w:p>
            <w:pPr>
              <w:pStyle w:val="TableContents"/>
              <w:bidi w:val="0"/>
              <w:spacing w:before="0" w:after="283"/>
              <w:jc w:val="right"/>
              <w:rPr/>
            </w:pPr>
            <w:r>
              <w:rPr/>
              <w:t>1,767,900</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8" w:type="dxa"/>
            <w:tcBorders/>
          </w:tcPr>
          <w:p>
            <w:pPr>
              <w:pStyle w:val="TableContents"/>
              <w:bidi w:val="0"/>
              <w:spacing w:before="0" w:after="283"/>
              <w:jc w:val="left"/>
              <w:rPr/>
            </w:pPr>
            <w:r>
              <w:rPr/>
              <w:t> </w:t>
            </w:r>
          </w:p>
        </w:tc>
        <w:tc>
          <w:tcPr>
            <w:tcW w:w="1322" w:type="dxa"/>
            <w:tcBorders/>
          </w:tcPr>
          <w:p>
            <w:pPr>
              <w:pStyle w:val="TableContents"/>
              <w:bidi w:val="0"/>
              <w:spacing w:before="0" w:after="283"/>
              <w:jc w:val="right"/>
              <w:rPr/>
            </w:pPr>
            <w:r>
              <w:rPr/>
              <w:t>180,690</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pPr>
            <w:r>
              <w:rPr/>
              <w:t> </w:t>
            </w:r>
          </w:p>
        </w:tc>
        <w:tc>
          <w:tcPr>
            <w:tcW w:w="1285" w:type="dxa"/>
            <w:tcBorders/>
          </w:tcPr>
          <w:p>
            <w:pPr>
              <w:pStyle w:val="TableContents"/>
              <w:bidi w:val="0"/>
              <w:spacing w:before="0" w:after="283"/>
              <w:jc w:val="right"/>
              <w:rPr/>
            </w:pPr>
            <w:r>
              <w:rPr/>
              <w:t>9,900</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3" w:type="dxa"/>
            <w:tcBorders/>
          </w:tcPr>
          <w:p>
            <w:pPr>
              <w:pStyle w:val="TableContents"/>
              <w:bidi w:val="0"/>
              <w:spacing w:before="0" w:after="283"/>
              <w:jc w:val="right"/>
              <w:rPr/>
            </w:pPr>
            <w:r>
              <w:rPr/>
              <w:t>2,433,990</w:t>
            </w:r>
          </w:p>
        </w:tc>
        <w:tc>
          <w:tcPr>
            <w:tcW w:w="73" w:type="dxa"/>
            <w:tcBorders/>
          </w:tcPr>
          <w:p>
            <w:pPr>
              <w:pStyle w:val="TableContents"/>
              <w:bidi w:val="0"/>
              <w:spacing w:before="0" w:after="283"/>
              <w:jc w:val="left"/>
              <w:rPr/>
            </w:pPr>
            <w:r>
              <w:rPr/>
              <w:t> </w:t>
            </w:r>
          </w:p>
        </w:tc>
      </w:tr>
      <w:tr>
        <w:trPr/>
        <w:tc>
          <w:tcPr>
            <w:tcW w:w="143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Chief Business Officer</w:t>
            </w:r>
          </w:p>
        </w:tc>
        <w:tc>
          <w:tcPr>
            <w:tcW w:w="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2022</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2" w:type="dxa"/>
            <w:tcBorders/>
          </w:tcPr>
          <w:p>
            <w:pPr>
              <w:pStyle w:val="TableContents"/>
              <w:bidi w:val="0"/>
              <w:spacing w:before="0" w:after="283"/>
              <w:jc w:val="right"/>
              <w:rPr/>
            </w:pPr>
            <w:r>
              <w:rPr/>
              <w:t>440,300</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99" w:type="dxa"/>
            <w:tcBorders/>
          </w:tcPr>
          <w:p>
            <w:pPr>
              <w:pStyle w:val="TableContents"/>
              <w:bidi w:val="0"/>
              <w:spacing w:before="0" w:after="283"/>
              <w:jc w:val="left"/>
              <w:rPr/>
            </w:pPr>
            <w:r>
              <w:rPr/>
              <w:t> </w:t>
            </w:r>
          </w:p>
        </w:tc>
        <w:tc>
          <w:tcPr>
            <w:tcW w:w="466"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31" w:type="dxa"/>
            <w:tcBorders/>
          </w:tcPr>
          <w:p>
            <w:pPr>
              <w:pStyle w:val="TableContents"/>
              <w:bidi w:val="0"/>
              <w:spacing w:before="0" w:after="283"/>
              <w:jc w:val="left"/>
              <w:rPr/>
            </w:pPr>
            <w:r>
              <w:rPr/>
              <w:t> </w:t>
            </w:r>
          </w:p>
        </w:tc>
        <w:tc>
          <w:tcPr>
            <w:tcW w:w="54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9" w:type="dxa"/>
            <w:tcBorders/>
          </w:tcPr>
          <w:p>
            <w:pPr>
              <w:pStyle w:val="TableContents"/>
              <w:bidi w:val="0"/>
              <w:spacing w:before="0" w:after="283"/>
              <w:jc w:val="left"/>
              <w:rPr/>
            </w:pPr>
            <w:r>
              <w:rPr/>
              <w:t> </w:t>
            </w:r>
          </w:p>
        </w:tc>
        <w:tc>
          <w:tcPr>
            <w:tcW w:w="983" w:type="dxa"/>
            <w:tcBorders/>
          </w:tcPr>
          <w:p>
            <w:pPr>
              <w:pStyle w:val="TableContents"/>
              <w:bidi w:val="0"/>
              <w:spacing w:before="0" w:after="283"/>
              <w:jc w:val="right"/>
              <w:rPr/>
            </w:pPr>
            <w:r>
              <w:rPr/>
              <w:t>3,047,039</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8" w:type="dxa"/>
            <w:tcBorders/>
          </w:tcPr>
          <w:p>
            <w:pPr>
              <w:pStyle w:val="TableContents"/>
              <w:bidi w:val="0"/>
              <w:spacing w:before="0" w:after="283"/>
              <w:jc w:val="left"/>
              <w:rPr/>
            </w:pPr>
            <w:r>
              <w:rPr/>
              <w:t> </w:t>
            </w:r>
          </w:p>
        </w:tc>
        <w:tc>
          <w:tcPr>
            <w:tcW w:w="1322" w:type="dxa"/>
            <w:tcBorders/>
          </w:tcPr>
          <w:p>
            <w:pPr>
              <w:pStyle w:val="TableContents"/>
              <w:bidi w:val="0"/>
              <w:spacing w:before="0" w:after="283"/>
              <w:jc w:val="right"/>
              <w:rPr/>
            </w:pPr>
            <w:r>
              <w:rPr/>
              <w:t>167,314</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pPr>
            <w:r>
              <w:rPr/>
              <w:t> </w:t>
            </w:r>
          </w:p>
        </w:tc>
        <w:tc>
          <w:tcPr>
            <w:tcW w:w="1285" w:type="dxa"/>
            <w:tcBorders/>
          </w:tcPr>
          <w:p>
            <w:pPr>
              <w:pStyle w:val="TableContents"/>
              <w:bidi w:val="0"/>
              <w:spacing w:before="0" w:after="283"/>
              <w:jc w:val="right"/>
              <w:rPr/>
            </w:pPr>
            <w:r>
              <w:rPr/>
              <w:t>9,150</w:t>
            </w:r>
          </w:p>
        </w:tc>
        <w:tc>
          <w:tcPr>
            <w:tcW w:w="60" w:type="dxa"/>
            <w:tcBorders/>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3" w:type="dxa"/>
            <w:tcBorders/>
          </w:tcPr>
          <w:p>
            <w:pPr>
              <w:pStyle w:val="TableContents"/>
              <w:bidi w:val="0"/>
              <w:spacing w:before="0" w:after="283"/>
              <w:jc w:val="right"/>
              <w:rPr/>
            </w:pPr>
            <w:r>
              <w:rPr/>
              <w:t>3,663,803</w:t>
            </w:r>
          </w:p>
        </w:tc>
        <w:tc>
          <w:tcPr>
            <w:tcW w:w="73" w:type="dxa"/>
            <w:tcBorders/>
          </w:tcPr>
          <w:p>
            <w:pPr>
              <w:pStyle w:val="TableContents"/>
              <w:bidi w:val="0"/>
              <w:spacing w:before="0" w:after="283"/>
              <w:jc w:val="left"/>
              <w:rPr/>
            </w:pPr>
            <w:r>
              <w:rPr/>
              <w:t> </w:t>
            </w:r>
          </w:p>
        </w:tc>
      </w:tr>
      <w:tr>
        <w:trPr/>
        <w:tc>
          <w:tcPr>
            <w:tcW w:w="1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Ebun S. Garner, J.D.</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2" w:type="dxa"/>
            <w:tcBorders/>
            <w:shd w:fill="CCEEFF" w:val="clear"/>
          </w:tcPr>
          <w:p>
            <w:pPr>
              <w:pStyle w:val="TableContents"/>
              <w:bidi w:val="0"/>
              <w:spacing w:before="0" w:after="283"/>
              <w:jc w:val="right"/>
              <w:rPr/>
            </w:pPr>
            <w:r>
              <w:rPr/>
              <w:t>433,000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99"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31" w:type="dxa"/>
            <w:tcBorders/>
            <w:shd w:fill="CCEEFF" w:val="clear"/>
          </w:tcPr>
          <w:p>
            <w:pPr>
              <w:pStyle w:val="TableContents"/>
              <w:bidi w:val="0"/>
              <w:spacing w:before="0" w:after="283"/>
              <w:jc w:val="left"/>
              <w:rPr/>
            </w:pPr>
            <w:r>
              <w:rPr/>
              <w:t> </w:t>
            </w:r>
          </w:p>
        </w:tc>
        <w:tc>
          <w:tcPr>
            <w:tcW w:w="54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59" w:type="dxa"/>
            <w:tcBorders/>
            <w:shd w:fill="CCEEFF" w:val="clear"/>
          </w:tcPr>
          <w:p>
            <w:pPr>
              <w:pStyle w:val="TableContents"/>
              <w:bidi w:val="0"/>
              <w:spacing w:before="0" w:after="283"/>
              <w:jc w:val="left"/>
              <w:rPr/>
            </w:pPr>
            <w:r>
              <w:rPr/>
              <w:t> </w:t>
            </w:r>
          </w:p>
        </w:tc>
        <w:tc>
          <w:tcPr>
            <w:tcW w:w="983" w:type="dxa"/>
            <w:tcBorders/>
            <w:shd w:fill="CCEEFF" w:val="clear"/>
          </w:tcPr>
          <w:p>
            <w:pPr>
              <w:pStyle w:val="TableContents"/>
              <w:bidi w:val="0"/>
              <w:spacing w:before="0" w:after="283"/>
              <w:jc w:val="right"/>
              <w:rPr/>
            </w:pPr>
            <w:r>
              <w:rPr/>
              <w:t>1,414,320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8" w:type="dxa"/>
            <w:tcBorders/>
            <w:shd w:fill="CCEEFF" w:val="clear"/>
          </w:tcPr>
          <w:p>
            <w:pPr>
              <w:pStyle w:val="TableContents"/>
              <w:bidi w:val="0"/>
              <w:spacing w:before="0" w:after="283"/>
              <w:jc w:val="left"/>
              <w:rPr/>
            </w:pPr>
            <w:r>
              <w:rPr/>
              <w:t> </w:t>
            </w:r>
          </w:p>
        </w:tc>
        <w:tc>
          <w:tcPr>
            <w:tcW w:w="1322" w:type="dxa"/>
            <w:tcBorders/>
            <w:shd w:fill="CCEEFF" w:val="clear"/>
          </w:tcPr>
          <w:p>
            <w:pPr>
              <w:pStyle w:val="TableContents"/>
              <w:bidi w:val="0"/>
              <w:spacing w:before="0" w:after="283"/>
              <w:jc w:val="right"/>
              <w:rPr/>
            </w:pPr>
            <w:r>
              <w:rPr/>
              <w:t>164,540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285" w:type="dxa"/>
            <w:tcBorders/>
            <w:shd w:fill="CCEEFF" w:val="clear"/>
          </w:tcPr>
          <w:p>
            <w:pPr>
              <w:pStyle w:val="TableContents"/>
              <w:bidi w:val="0"/>
              <w:spacing w:before="0" w:after="283"/>
              <w:jc w:val="right"/>
              <w:rPr/>
            </w:pPr>
            <w:r>
              <w:rPr/>
              <w:t>9,900</w:t>
            </w:r>
          </w:p>
        </w:tc>
        <w:tc>
          <w:tcPr>
            <w:tcW w:w="60" w:type="dxa"/>
            <w:tcBorders/>
            <w:shd w:fill="CCEEFF" w:val="clear"/>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3" w:type="dxa"/>
            <w:tcBorders/>
            <w:shd w:fill="CCEEFF" w:val="clear"/>
          </w:tcPr>
          <w:p>
            <w:pPr>
              <w:pStyle w:val="TableContents"/>
              <w:bidi w:val="0"/>
              <w:spacing w:before="0" w:after="283"/>
              <w:jc w:val="right"/>
              <w:rPr/>
            </w:pPr>
            <w:r>
              <w:rPr/>
              <w:t>2,021,760</w:t>
            </w:r>
          </w:p>
        </w:tc>
        <w:tc>
          <w:tcPr>
            <w:tcW w:w="73" w:type="dxa"/>
            <w:tcBorders/>
            <w:shd w:fill="CCEEFF" w:val="clear"/>
          </w:tcPr>
          <w:p>
            <w:pPr>
              <w:pStyle w:val="TableContents"/>
              <w:bidi w:val="0"/>
              <w:spacing w:before="0" w:after="283"/>
              <w:jc w:val="left"/>
              <w:rPr/>
            </w:pPr>
            <w:r>
              <w:rPr/>
              <w:t> </w:t>
            </w:r>
          </w:p>
        </w:tc>
      </w:tr>
      <w:tr>
        <w:trPr/>
        <w:tc>
          <w:tcPr>
            <w:tcW w:w="1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Counsel and Corporate Secretary</w:t>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5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99" w:type="dxa"/>
            <w:tcBorders/>
            <w:shd w:fill="CCEEFF" w:val="clear"/>
          </w:tcPr>
          <w:p>
            <w:pPr>
              <w:pStyle w:val="TableContents"/>
              <w:bidi w:val="0"/>
              <w:spacing w:before="0" w:after="283"/>
              <w:jc w:val="left"/>
              <w:rPr>
                <w:sz w:val="4"/>
                <w:szCs w:val="4"/>
              </w:rPr>
            </w:pPr>
            <w:r>
              <w:rPr>
                <w:sz w:val="4"/>
                <w:szCs w:val="4"/>
              </w:rPr>
            </w:r>
          </w:p>
        </w:tc>
        <w:tc>
          <w:tcPr>
            <w:tcW w:w="46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231" w:type="dxa"/>
            <w:tcBorders/>
            <w:shd w:fill="CCEEFF" w:val="clear"/>
          </w:tcPr>
          <w:p>
            <w:pPr>
              <w:pStyle w:val="TableContents"/>
              <w:bidi w:val="0"/>
              <w:spacing w:before="0" w:after="283"/>
              <w:jc w:val="left"/>
              <w:rPr>
                <w:sz w:val="4"/>
                <w:szCs w:val="4"/>
              </w:rPr>
            </w:pPr>
            <w:r>
              <w:rPr>
                <w:sz w:val="4"/>
                <w:szCs w:val="4"/>
              </w:rPr>
            </w:r>
          </w:p>
        </w:tc>
        <w:tc>
          <w:tcPr>
            <w:tcW w:w="54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59" w:type="dxa"/>
            <w:tcBorders/>
            <w:shd w:fill="CCEEFF" w:val="clear"/>
          </w:tcPr>
          <w:p>
            <w:pPr>
              <w:pStyle w:val="TableContents"/>
              <w:bidi w:val="0"/>
              <w:spacing w:before="0" w:after="283"/>
              <w:jc w:val="left"/>
              <w:rPr>
                <w:sz w:val="4"/>
                <w:szCs w:val="4"/>
              </w:rPr>
            </w:pPr>
            <w:r>
              <w:rPr>
                <w:sz w:val="4"/>
                <w:szCs w:val="4"/>
              </w:rPr>
            </w:r>
          </w:p>
        </w:tc>
        <w:tc>
          <w:tcPr>
            <w:tcW w:w="98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98" w:type="dxa"/>
            <w:tcBorders/>
            <w:shd w:fill="CCEEFF" w:val="clear"/>
          </w:tcPr>
          <w:p>
            <w:pPr>
              <w:pStyle w:val="TableContents"/>
              <w:bidi w:val="0"/>
              <w:spacing w:before="0" w:after="283"/>
              <w:jc w:val="left"/>
              <w:rPr>
                <w:sz w:val="4"/>
                <w:szCs w:val="4"/>
              </w:rPr>
            </w:pPr>
            <w:r>
              <w:rPr>
                <w:sz w:val="4"/>
                <w:szCs w:val="4"/>
              </w:rPr>
            </w:r>
          </w:p>
        </w:tc>
        <w:tc>
          <w:tcPr>
            <w:tcW w:w="132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sz w:val="4"/>
                <w:szCs w:val="4"/>
              </w:rPr>
            </w:pPr>
            <w:r>
              <w:rPr>
                <w:sz w:val="4"/>
                <w:szCs w:val="4"/>
              </w:rPr>
            </w:r>
          </w:p>
        </w:tc>
        <w:tc>
          <w:tcPr>
            <w:tcW w:w="12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3" w:type="dxa"/>
            <w:tcBorders/>
            <w:shd w:fill="CCEEFF" w:val="clear"/>
          </w:tcPr>
          <w:p>
            <w:pPr>
              <w:pStyle w:val="TableContents"/>
              <w:bidi w:val="0"/>
              <w:spacing w:before="0" w:after="283"/>
              <w:jc w:val="left"/>
              <w:rPr>
                <w:sz w:val="4"/>
                <w:szCs w:val="4"/>
              </w:rPr>
            </w:pPr>
            <w:r>
              <w:rPr>
                <w:sz w:val="4"/>
                <w:szCs w:val="4"/>
              </w:rPr>
            </w:r>
          </w:p>
        </w:tc>
        <w:tc>
          <w:tcPr>
            <w:tcW w:w="73" w:type="dxa"/>
            <w:tcBorders/>
            <w:shd w:fill="CCEEFF" w:val="clea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stock options to purchase shares of our common stock computed in accordance with FASB ASC 718. See Note 10 to our consolidated financial statements included in our Annual Report on Form 10-K for the year ended December 31, 2023 filed with the SEC on March 27, 2024, for a description of the assumptions used in valuing our stock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annual performance bonuses earned with respect to the applicable year. For Dr. Lim, amount includes $125,000 of the 2023 annual performance bonus that was earned by him but which Dr. Lim voluntarily elected to forgo and did not receive.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matching contributions under our 401(k) plan earned by the NEOs in 2023 and, for Drs. Lim and Chacko, 2022, which are expected to be made by us on behalf of the NEOs in 2024 and 2023,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compensation tables </w:t>
      </w:r>
    </w:p>
    <w:p>
      <w:pPr>
        <w:pStyle w:val="TextBody"/>
        <w:bidi w:val="0"/>
        <w:spacing w:before="120" w:after="0"/>
        <w:jc w:val="left"/>
        <w:rPr>
          <w:rFonts w:ascii="Times New Roman" w:hAnsi="Times New Roman"/>
          <w:sz w:val="20"/>
        </w:rPr>
      </w:pPr>
      <w:r>
        <w:rPr>
          <w:rFonts w:ascii="Times New Roman" w:hAnsi="Times New Roman"/>
          <w:sz w:val="20"/>
        </w:rPr>
        <w:t xml:space="preserve">The primary elements of compensation for our NEOs are base salary, annual performance bonuses and equity awards. The NEOs also participate in employee benefit plans and programs that we offer to our other employees,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We pay our NEOs a base salary to compensate them for the satisfactory performance of services rendered to us. The base salary payable to each NEO is intended to provide a fixed component of compensation reflecting the executives skill set, experience, role and responsibilities. Base salaries for our NEOs have generally been set at levels deemed necessary to attract and retain individuals with superior talent. </w:t>
      </w:r>
    </w:p>
    <w:p>
      <w:pPr>
        <w:pStyle w:val="TextBody"/>
        <w:bidi w:val="0"/>
        <w:spacing w:before="240" w:after="0"/>
        <w:jc w:val="left"/>
        <w:rPr>
          <w:rFonts w:ascii="Times New Roman" w:hAnsi="Times New Roman"/>
          <w:sz w:val="20"/>
        </w:rPr>
      </w:pPr>
      <w:r>
        <w:rPr>
          <w:rFonts w:ascii="Times New Roman" w:hAnsi="Times New Roman"/>
          <w:sz w:val="20"/>
        </w:rPr>
        <w:t xml:space="preserve">Effective January 1, 2023, Dr. Lims annual base salary was increased from $593,100 to $622,800, Dr. Chackos annual base salary was increased from $440,300 to $475,500, and Mr. Garners annual base salary was increased from $408,500 to $433,000.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each of Dr. Lim, Dr. Chacko, and Mr. Garner received a base salary increase to $644,600, $492,100, and $448,200, respectively, effective January 1, 2024.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base salaries for our NEOs will be reviewed periodically by our Compensation Committee, with adjustments expected to be made generally in accordance with the considerations described above and to maintain base salaries at competitive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Bonus compensation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our Board or Compensation Committee may approve bonuses for our NEOs based on individual performance, company performance, or as otherwise determined appropriate. Pursuant to their respective employment letter agreements, each NEO has an established target annual bonus amount. For 2023, our NEOs target bonuses, expressed as a percentage of annual base salary, were 60% for Dr. Lim and 40% for Dr. Chacko and Mr. Garner. </w:t>
      </w:r>
    </w:p>
    <w:p>
      <w:pPr>
        <w:pStyle w:val="TextBody"/>
        <w:bidi w:val="0"/>
        <w:spacing w:before="240" w:after="0"/>
        <w:jc w:val="left"/>
        <w:rPr>
          <w:rFonts w:ascii="Times New Roman" w:hAnsi="Times New Roman"/>
          <w:sz w:val="20"/>
        </w:rPr>
      </w:pPr>
      <w:r>
        <w:rPr>
          <w:rFonts w:ascii="Times New Roman" w:hAnsi="Times New Roman"/>
          <w:sz w:val="20"/>
        </w:rPr>
        <w:t xml:space="preserve">For 2023, annual bonuses were based on corporate performance relative to key corporate objectives tied to clinical and regulatory priorities as well as operational and financial objectives. Following a comprehensive review of our corporate performance relative to these corporate objectives, our compensation committee approved the payment of annual bonuses to our NEOs at 95% of target levels. The annual bonuses paid to our NEOs for 2023 are reflected in the Summary Compensation Table above. For 2023, Dr. Lim elected to forgo $125,000 of his annual performance bonus otherwise payable to him. </w:t>
      </w:r>
    </w:p>
    <w:p>
      <w:pPr>
        <w:pStyle w:val="TextBody"/>
        <w:bidi w:val="0"/>
        <w:spacing w:before="360" w:after="0"/>
        <w:jc w:val="left"/>
        <w:rPr>
          <w:rFonts w:ascii="Times New Roman" w:hAnsi="Times New Roman"/>
          <w:b/>
          <w:sz w:val="20"/>
        </w:rPr>
      </w:pPr>
      <w:r>
        <w:rPr>
          <w:rFonts w:ascii="Times New Roman" w:hAnsi="Times New Roman"/>
          <w:b/>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Our equity-based incentive awards are designed to align our interests and the interests of our stockholders with those of our employees and consultants, including our NEOs. The Board and compensation committee is responsible for approving equity grants. We typically grant equity awards to new hires upon their commencing employment with us. Generally, our equity awards vest over four years, subject to the employees continued employment with us on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we granted Dr. Lim, Dr. Chacko, and Mr. Garner options to purchase 1,500,000, 600,000, and 480,000 shares of our common stock, respectively, under our 2021 Incentive Award Plan (the 2021 Plan). The options are eligible to vest over a period of four years, with 1/48th of the options vesting on a monthly basis following the vesting commencement date, or February 1, 2023, subject to continuous service through each vesting date. These options are eligible for accelerated vesting on the terms provided in the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we granted Dr. Lim, Dr. Chacko, and Mr. Garner options to purchase 1,500,000, 600,000, and 480,000 shares of our common stock, respectively, under our 2021 Plan. The options are eligible to vest over a period of four years, with 1/48th of the options vesting on a monthly basis following the vesting commencement date, or February 1, 2024, subject to continuous service through each vesting date. These options are eligible for accelerated vesting on the terms provided in the Severance Plan. </w:t>
      </w:r>
    </w:p>
    <w:p>
      <w:pPr>
        <w:pStyle w:val="TextBody"/>
        <w:bidi w:val="0"/>
        <w:spacing w:before="360" w:after="0"/>
        <w:jc w:val="left"/>
        <w:rPr>
          <w:rFonts w:ascii="Times New Roman" w:hAnsi="Times New Roman"/>
          <w:b/>
          <w:sz w:val="20"/>
        </w:rPr>
      </w:pPr>
      <w:r>
        <w:rPr>
          <w:rFonts w:ascii="Times New Roman" w:hAnsi="Times New Roman"/>
          <w:b/>
          <w:sz w:val="20"/>
        </w:rPr>
        <w:t xml:space="preserve">Other elements of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Perquisites, health, welfare and 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Our NEOs are eligible to participate in our employee benefit plans, including our medical, dental, vision, group life, disability and accidental death and dismemberment insurance plans, in each case, on generally the same basis as all of our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We generally do not provide perquisites or personal benefits to our named executive officers, except in limited circumstances. Our Board may elect to adopt qualified or non-qualified benefit plans in the future if it determines that doing so is in our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defined contribution employee retirement plan (401(k)) plan, for our employees. Our NEOs are eligible to participate in the 401(k) plan on the same basis as our other employees. The 401(k) plan is intended to qualify as a tax-qualified plan under Section 401(a) of the Internal Revenue Code. The 401(k) plan provides that each participant may make pre-tax deferrals from his or her compensation up to the statutory limit,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is $23,000 for calendar year 2024, and other testing limits. Participants that are 50 years or older can also make catch-up contributions, which in calendar year 2024 may be up to an additional $7,500 above the statutory limit. The 401(k) plan provides for discretionary matching and profit-sharing contributions. Commencing in 2021, we make safe harbor company contributions of 100% of employee contributions up to 3% of their eligible compensation. Participant contributions are held and invested, pursuant to the participants instructions, by the plans trustee.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maintain nonqualified defined contribution plans or other nonqualified deferred compensation plans. Our Board may elect to provide our officers and other employees with non-qualified defined contribution or other nonqualified deferred compensation benefits in the future if it determines that doing so is in our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or change in control benefits </w:t>
      </w:r>
    </w:p>
    <w:p>
      <w:pPr>
        <w:pStyle w:val="TextBody"/>
        <w:bidi w:val="0"/>
        <w:spacing w:before="120" w:after="0"/>
        <w:jc w:val="left"/>
        <w:rPr>
          <w:rFonts w:ascii="Times New Roman" w:hAnsi="Times New Roman"/>
          <w:sz w:val="20"/>
        </w:rPr>
      </w:pPr>
      <w:r>
        <w:rPr>
          <w:rFonts w:ascii="Times New Roman" w:hAnsi="Times New Roman"/>
          <w:sz w:val="20"/>
        </w:rPr>
        <w:t xml:space="preserve">Our NEOs may become entitled to certain benefits or enhanced benefits in connection with a change in control of our company. Our Severance Plan entitles each of our NEOs to certain benefits upon a qualifying termination and in connection with a change in control of our company. For additional discussion, please see Severance plan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compensation recovery policy that requires the recovery of certain erroneously paid incentive compensation received by our Section 16 officers on or after October 2, 2023, as required by new SEC rules and Nasdaq Stock Market Listing Standards implemented pursuant to the Dodd-Frank Wall Street Reform and Consumer Protection Act.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letter agreements with our NEOs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letter agreement with Dr. Lim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letter agreement with Dr. Lim, which governs the terms of his employment with us as Chairman of our Board and as our Chief Executive Officer. Pursuant to his letter agreement, Dr. Lim is entitled to an annual base salary and an annual performance bonus. Dr. Lims employment is at-will.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manner in which his service terminates, Dr. Lim is entitled to receive amounts previously earned during his term of service, including unpaid salary and bonus and cash out of unused vacation or paid time off. In addition, Dr. Lim is entitled to certain severance benefits under our Severance Plan under the CEO tier, as described below under Severance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letter agreement with Dr. Chacko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letter agreement with Dr. Chacko, which governs the terms of his employment with us as our Chief Financial Officer and Chief Business Officer. Pursuant to his letter agreement, Dr. Chacko is entitled to an annual base salary and an annual performance bonus. Dr. Chackos employment is at-will.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manner in which his service terminates, Dr. Chacko is entitled to receive amounts previously earned during his term of service, including unpaid salary and bonus and cash out of unused vacation or paid time off. In addition, Dr. Chacko is entitled to certain severance benefits under our Severance Plan as a Tier 1 Covered Employee, as described below under Severance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Employment letter agreement with Mr. Garner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employment letter agreement with Mr. Garner, which governs the terms of his employment with us as our General Counsel and Corporate Secretary. Pursuant to his letter agreement, Mr. Garner is entitled to an annual base salary and an annual performance bonus. Mr. Garners employment is at-will.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manner in which his service terminates, Mr. Garner is entitled to receive amounts previously earned during his term of service, including unpaid salary and bonus and cash out of unused vacation or paid time off. In addition, Mr. Garner is entitled to certain severance benefits under our Severance Plan as a Tier 1 Covered Employee, as described below under Severance plan. </w:t>
      </w:r>
    </w:p>
    <w:p>
      <w:pPr>
        <w:pStyle w:val="TextBody"/>
        <w:bidi w:val="0"/>
        <w:spacing w:before="360" w:after="0"/>
        <w:jc w:val="left"/>
        <w:rPr>
          <w:rFonts w:ascii="Times New Roman" w:hAnsi="Times New Roman"/>
          <w:b/>
          <w:sz w:val="20"/>
        </w:rPr>
      </w:pPr>
      <w:r>
        <w:rPr>
          <w:rFonts w:ascii="Times New Roman" w:hAnsi="Times New Roman"/>
          <w:b/>
          <w:sz w:val="20"/>
        </w:rPr>
        <w:t xml:space="preserve">Severance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2021, our Board adopted our Severance and Change in Control Severance Plan (the Severance Plan) for the benefit of certain employees of our company or any of our parents or subsidiaries as designated by our Compensation Committee (the Covered Employees). The severance benefits under the Severance Plan will supersede any severance benefits otherwise payable under the Covered Employees employment offer letters.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Plan provides assurances of specified severance benefits to Covered Employees whose employment is subject to involuntary termination by us other than for cause (as defined in the Severance Plan) or the Covered Employee resigns for good reason (as defined in the Severance Plan) under the circumstances described in the Severance Plan, including, but not limited to, following a change in control (as defined in the Severance Plan). The severance benefits each Covered Employee could be entitled to receive under the Severance Plan are determined pursuant to each Covered Employees classification as the CEO, a Tier 1 Covered Employee, Tier 2 Covered Employee or Tier 3 Covered Employee. Covered Employees are classified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CEO means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Tier 1 Covered Employee means an employee of our company who has been designated by our Compensation Committee as eligible to participate under Tier 1 in the Severance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Tier 2 Covered Employee means an employee of our company who has been designated by our Compensation Committee as eligible to participate under Tier 2 in the Severance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Tier 3 Covered Employee means an employee of our company who has been designated by our Compensation Committee as eligible to participate under Tier 3 in the Severance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Plan, if, at any time before or after the end of the 12-month period beginning on the date of a change in control, we (or any of our parents or subsidiaries) terminate a Covered Employees employment other than for cause (and other than due to death or disability (as defined in the Severance Plan))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Covered Employees annualized Base Pay (as defined in the Severance Plan) for 12 months, nine months, six months or six months following termination in the case of the CEO, a Tier 1, Tier 2 or Tier 3 Covered Employee, respectively, paid in a lump sum.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coverage for 12 months, nine months, six months or six months following termination in the case of the CEO, a Tier 1, Tier 2 or Tier 3 Covered Employee,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accelerated vesting of the equity compensation awards (as defined in the Severance Plan) that would have become vested and exercisable within 12 months, nine months, six months or six months following termination automatically accelerate as of the date of termination in the case of the CEO, a Tier 1, Tier 2 or Tier 3 Covered Employee,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Severance Plan, if, at any time within the 12-month period following a change in control, we (or any of our parents or subsidiaries) terminate a Covered Employees employment other than for cause (and other than due to death or disability)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aggregate cash amount paid in installments over the following time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CEO, the sum of 18 months of annualized base pay and 1.5 times his or her target bonus (as defined in the Severance Plan) paid in a lump sum.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Tier 1 and Tier 2 Covered Employee, the sum of 12 months of annualized base pay and 1.0 times his or her target bonus paid in lump sum.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Tier 3 Covered Employee, the sum of nine months of annualized base pay and the greater of 0.75 times his or her target bonus or a prorated target bonus based on the period of time he or she was employed for the fiscal year in which termination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coverage for 18 months, 12 months, 12 months or nine months following termination in the case of the CEO, a Tier 1, Tier 2 or Tier 3 Covered Employee,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accelerated vesting of the Covered Employees equity compensation awards.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severance benefits prescribed by the Severance Plan are subject to a Section 280G better-off cutback provision, which provides that, in the event that the benefits provided to the Covered Employee pursuant to the Severance Plan or otherwise constitute parachute payments with the meaning of Section 280G of the Internal Revenue Code, the Covered Employees severance benefits under the Severance Plan will either be delivered in full or reduced to the extent necessary to avoid an excise tax under Section 4999 of the Code, whichever would result in the Covered Employee receiving the largest amount of severance benefits on an after-tax basis.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outstanding equity awards for each of our NEOs as of December 31, 2023. </w:t>
      </w:r>
    </w:p>
    <w:tbl>
      <w:tblPr>
        <w:tblW w:w="10265" w:type="dxa"/>
        <w:jc w:val="center"/>
        <w:tblInd w:w="0" w:type="dxa"/>
        <w:tblLayout w:type="fixed"/>
        <w:tblCellMar>
          <w:top w:w="0" w:type="dxa"/>
          <w:left w:w="0" w:type="dxa"/>
          <w:bottom w:w="0" w:type="dxa"/>
          <w:right w:w="0" w:type="dxa"/>
        </w:tblCellMar>
      </w:tblPr>
      <w:tblGrid>
        <w:gridCol w:w="950"/>
        <w:gridCol w:w="60"/>
        <w:gridCol w:w="60"/>
        <w:gridCol w:w="1100"/>
        <w:gridCol w:w="350"/>
        <w:gridCol w:w="60"/>
        <w:gridCol w:w="85"/>
        <w:gridCol w:w="1135"/>
        <w:gridCol w:w="60"/>
        <w:gridCol w:w="60"/>
        <w:gridCol w:w="80"/>
        <w:gridCol w:w="1320"/>
        <w:gridCol w:w="60"/>
        <w:gridCol w:w="60"/>
        <w:gridCol w:w="78"/>
        <w:gridCol w:w="737"/>
        <w:gridCol w:w="60"/>
        <w:gridCol w:w="60"/>
        <w:gridCol w:w="60"/>
        <w:gridCol w:w="1100"/>
        <w:gridCol w:w="60"/>
        <w:gridCol w:w="60"/>
        <w:gridCol w:w="78"/>
        <w:gridCol w:w="1052"/>
        <w:gridCol w:w="350"/>
        <w:gridCol w:w="60"/>
        <w:gridCol w:w="70"/>
        <w:gridCol w:w="940"/>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or</w:t>
              <w:br/>
              <w:t>units of</w:t>
              <w:br/>
              <w:t>stock that</w:t>
              <w:br/>
              <w:t>have not</w:t>
              <w:br/>
              <w:t>vested</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of</w:t>
              <w:br/>
              <w:t>units of</w:t>
              <w:br/>
              <w:t>stock that</w:t>
              <w:br/>
              <w:t>have  not</w:t>
              <w:br/>
              <w:t>vested</w:t>
              <w:br/>
              <w:t>($)(6)</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E. Lim, M.D.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2/1/2023</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312,500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1,187,500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1/31/2033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2/1/2022</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362,541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428,459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11.54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1/31/2032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9/23/2020</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335,938</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715,548</w:t>
            </w:r>
          </w:p>
        </w:tc>
        <w:tc>
          <w:tcPr>
            <w:tcW w:w="60"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20"/>
              </w:rPr>
            </w:pPr>
            <w:r>
              <w:rPr>
                <w:rFonts w:ascii="Times New Roman" w:hAnsi="Times New Roman"/>
                <w:sz w:val="20"/>
              </w:rPr>
              <w:t>David M. Chacko, M.D.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2/1/2023</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125,000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475,000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1/31/2033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2/1/2022</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167,807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198,318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11.54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1/31/2032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1/26/2021</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114,786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38,257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1/25/2031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9/23/2020</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149,248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34,440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9/22/2030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12,500</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26,625</w:t>
            </w:r>
          </w:p>
        </w:tc>
        <w:tc>
          <w:tcPr>
            <w:tcW w:w="60"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12/11/2019</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104,166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0.67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12/10/2029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8/21/2019</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455,730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0.67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8/20/2029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20"/>
              </w:rPr>
            </w:pPr>
            <w:r>
              <w:rPr>
                <w:rFonts w:ascii="Times New Roman" w:hAnsi="Times New Roman"/>
                <w:sz w:val="20"/>
              </w:rPr>
              <w:t>Ebun S. Garner, J.D.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2/1/2023</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1/31/2033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2/1/2022</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78,425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92,685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11.54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1/31/2032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4/19/2021</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406,117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203,049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5.81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 award vests over a period of four years with 1/48th of the shares underlying the option vesting on a monthly basis following the vesting commencement date (February 1, 2023), subject to continued service through each vesting date, and subject to accelerated vesting in certain circumstances as described above under Severance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 award vests over a period of four years with 1/48th of the shares underlying the option vesting on a monthly basis following the vesting commencement date (February 1, 2022), subject to continued service through each vesting date, and subject to accelerated vesting in certain circumstances as described above under Severance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 award vests over a period of four years with 1/48th of the shares underlying the option vesting on a monthly basis following the vesting commencement date (September 23, 2020), subject to continued service through each vesting date, and subject to accelerated vesting in certain circumstances as described above under Severance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 award vests over a period of four years with 25% of the shares underlying the option vesting on the one-year anniversary of the vesting commencement date (December 17, 2020, December 11, 2019 and August 12, 2019 for Dr. Chackos January 26, 2021, December 11, 2019 and August 21, 2019 grants, respectively, and April 19, 2021 for Mr. Garner) and 1/48th of the shares underlying the option vesting on a monthly basis thereafter, subject to continued service through each vesting date, and subject to accelerated vesting in certain circumstances as described above under Severance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restricted shares issued upon early exercise of stock options originally granted on September 23, 2020 at an exercise price of $1.25 per share, which options were subject to the standard vesting schedule described in footnote (3) above. The remaining restricted shares will vest in equal monthly installments until fully vested on September 23, 2024, subject to accelerated vesting in certain circumstances as described above under Severance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was computed using the closing price per share of our common stock on December 29, 2023 ($2.13), the last trading day of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 We have reimbursed, and will continue to reimburse, our non-employee directors for their actual out-of-pocket costs and expenses incurred in connection with attending board and committee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In July 2021, our Board adopted the non-employee director compensation program. The material terms of the non-employee director compensation program are summarized below. </w:t>
      </w:r>
    </w:p>
    <w:p>
      <w:pPr>
        <w:pStyle w:val="TextBody"/>
        <w:bidi w:val="0"/>
        <w:spacing w:before="240" w:after="0"/>
        <w:jc w:val="left"/>
        <w:rPr>
          <w:rFonts w:ascii="Times New Roman" w:hAnsi="Times New Roman"/>
          <w:sz w:val="20"/>
        </w:rPr>
      </w:pPr>
      <w:r>
        <w:rPr>
          <w:rFonts w:ascii="Times New Roman" w:hAnsi="Times New Roman"/>
          <w:sz w:val="20"/>
        </w:rPr>
        <w:t xml:space="preserve">The non-employee director compensation program provides for annual retainer fees and/or long-term equity awards for our non-employee directors. Each non-employee director receives an annual retainer of $40,000, and the chair of the Board and/or lead independent director receives an additional $30,000. Non-employee directors serving as the chairs of the audit, compensation and nominating and corporate governance committees receive additional annual retainers of $15,000, $10,000 and $8,000, respectively. Non-employee directors serving as members of the audit, compensation and nominating and corporate governance committees receive additional annual retainers of $7,500, $5,000 and $4,000, respectively. The non-employee directors also receive initial grants of options to purchase 80,000 shares of our common stock, vesting over three years, upon election to the Board, and thereafter annual grants of options to purchase 40,000 shares of our common stock, vesting on the first to occur of (i) the first anniversary of the grant date or (ii) the next occurring annual meeting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February 2023, the non-employee director compensation program was updated to: (i) increase the initial grant of options to purchase shares of our common stock from 80,000 shares to 120,000 shares and (ii) increase the annual grant of options to purchase shares of our common stock from 40,000 shares to 60,000 shares. The cash retainers and vesting schedules for such option grants were not changed. </w:t>
      </w:r>
    </w:p>
    <w:p>
      <w:pPr>
        <w:pStyle w:val="TextBody"/>
        <w:bidi w:val="0"/>
        <w:spacing w:before="240" w:after="0"/>
        <w:jc w:val="left"/>
        <w:rPr>
          <w:rFonts w:ascii="Times New Roman" w:hAnsi="Times New Roman"/>
          <w:sz w:val="20"/>
        </w:rPr>
      </w:pPr>
      <w:r>
        <w:rPr>
          <w:rFonts w:ascii="Times New Roman" w:hAnsi="Times New Roman"/>
          <w:sz w:val="20"/>
        </w:rPr>
        <w:t xml:space="preserve">Effective for 2024, the non-employee director compensation program was updated to allow non-employee directors to elect to receive options to purchase shares of our common stock in lieu of receiving all of the cash retainer payable to such director in the next calendar year. Such election is voluntary and irrevocable for the applicable calendar year. In the event a non-employee director timely makes an election, such non-employee director will be granted a number of stock options under the 2021 Plan on the first day of the calendar year in which the cash retainer would otherwise be earned with a value equal to the aggregate dollar value of the cash retainer payable to the non-employee director for such calendar year based on the directors committee assignments in effect on the last day of the preceding calendar year, as calculated on the grant date in accordance with the Black-Scholes option pricing model (utilizing the same assumptions that we utilized in connection in connection with the most recent stock options we granted prior to the grant date and the average closing price per share of our common stock for the calendar month preceding the grant date). The stock options will vest in twelve monthly installments on the last day of each calendar month following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Compensation under our non-employee director compensation program is subject to the annual limits on non-employee director compensation set forth in the 2021 Plan. Our Board or its authorized committee may modify the non-employee director compensation program from time to time in the exercise of its business judgment, taking into account such factors, circumstances and considerations as it shall deem relevant from time to time, subject to the annual limit on non-employee director compensation set forth in the 2021 Plan (which limits will not apply to any non-employee director that serves in any additional capacity with the company for which he or she receives compensation or any compensation paid to any non-employee director prior to the calendar year following the calendar year in which this offering occurs). As provided in the 2021 Plan, our Board or its authorized committee may make exceptions to this limit for individual non-employee directors in extraordinary circumstances, as the Board or its authorized committee may determine in its discretion, provided that the non-employee director receiving such additional compensation may not participate in the decision to award such compensation or in other compensation decisions involving non-employee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Dr. Varney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letter agreement with Dr. Varney, which governs the terms of his employment with us as our Chair of R&amp;D. In this role, Dr. Varney also acts as a Senior Advisor to our Chief Executive Officer. Pursuant to his letter agreement, Dr. Varney is entitled to an annual base salary. In February 2024, Dr. Varney received a base salary increase from $83,500 to $86,400, effective November 1, 2023. Dr. Varneys employment is at-will.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June 2023, Mr. Varney was granted an option to purchase 60,000 shares of our common stock under our 2021 Plan. The option is eligible to vest in full on June 22, 2024, subject to his continuous service through such date. Dr. Varney also serves on our scientific advisory board, or SAB, but does not receive any additional cash compensation for such service. Pursuant to his scientific advisory board agreement with Dr. Varney, which governs the terms of his retention with us as a SAB member and as a consultant, Dr. Varney is subject to a non-competition covenant during the term of his service with us, as well as one-year post- termination non-solicitation of employees and consultants covenant and a perpetual confidentiality covenant, in addition to his obligations under our standard proprietary information and inventions agreement, which was entered into in connection with his commencement of employment with us. </w:t>
      </w:r>
    </w:p>
    <w:p>
      <w:pPr>
        <w:pStyle w:val="TextBody"/>
        <w:bidi w:val="0"/>
        <w:spacing w:before="360" w:after="0"/>
        <w:jc w:val="left"/>
        <w:rPr>
          <w:rFonts w:ascii="Times New Roman" w:hAnsi="Times New Roman"/>
          <w:b/>
          <w:sz w:val="20"/>
        </w:rPr>
      </w:pPr>
      <w:r>
        <w:rPr>
          <w:rFonts w:ascii="Times New Roman" w:hAnsi="Times New Roman"/>
          <w:b/>
          <w:sz w:val="20"/>
        </w:rPr>
        <w:t xml:space="preserve">2023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compensation received by our non-employee directors and Dr. Varney during the year ended December 31, 2023. Dr. Lim, our Chairman, Chief Executive Officer and Co-Founder,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 Varney, our Chair of R&amp;D and SAB member, are also members of our Board, but do not receive any additional compensation for their service as directors in addition to the compensation they receive as employees. Dr. Lims compensation is described further above. Dr. Varney is currently a non-executive employee. For a description of the employment arrangements with Dr. Varney, please see Employment arrangements with Dr. Varney above.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69"/>
        <w:gridCol w:w="301"/>
        <w:gridCol w:w="81"/>
        <w:gridCol w:w="945"/>
        <w:gridCol w:w="60"/>
        <w:gridCol w:w="301"/>
        <w:gridCol w:w="60"/>
        <w:gridCol w:w="804"/>
        <w:gridCol w:w="60"/>
        <w:gridCol w:w="301"/>
        <w:gridCol w:w="114"/>
        <w:gridCol w:w="1301"/>
        <w:gridCol w:w="60"/>
        <w:gridCol w:w="300"/>
        <w:gridCol w:w="60"/>
        <w:gridCol w:w="804"/>
        <w:gridCol w:w="67"/>
      </w:tblGrid>
      <w:tr>
        <w:trPr/>
        <w:tc>
          <w:tcPr>
            <w:tcW w:w="3769"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01" w:type="dxa"/>
            <w:tcBorders/>
            <w:vAlign w:val="bottom"/>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 or</w:t>
              <w:br/>
              <w:t>paid in</w:t>
              <w:br/>
              <w:t>cash</w:t>
              <w:br/>
              <w:t>($)</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($)(2)</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3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A. Bristol, Ph.D.</w:t>
            </w:r>
          </w:p>
        </w:tc>
        <w:tc>
          <w:tcPr>
            <w:tcW w:w="30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67,533</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112,542</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180,075</w:t>
            </w:r>
          </w:p>
        </w:tc>
        <w:tc>
          <w:tcPr>
            <w:tcW w:w="67" w:type="dxa"/>
            <w:tcBorders/>
            <w:shd w:fill="CCEEFF" w:val="clear"/>
            <w:vAlign w:val="bottom"/>
          </w:tcPr>
          <w:p>
            <w:pPr>
              <w:pStyle w:val="TableContents"/>
              <w:bidi w:val="0"/>
              <w:spacing w:before="0" w:after="283"/>
              <w:jc w:val="left"/>
              <w:rPr/>
            </w:pPr>
            <w:r>
              <w:rPr/>
              <w:t> </w:t>
            </w:r>
          </w:p>
        </w:tc>
      </w:tr>
      <w:tr>
        <w:trPr/>
        <w:tc>
          <w:tcPr>
            <w:tcW w:w="3769" w:type="dxa"/>
            <w:tcBorders/>
          </w:tcPr>
          <w:p>
            <w:pPr>
              <w:pStyle w:val="TableContents"/>
              <w:bidi w:val="0"/>
              <w:spacing w:before="0" w:after="0"/>
              <w:jc w:val="left"/>
              <w:rPr>
                <w:rFonts w:ascii="Times New Roman" w:hAnsi="Times New Roman"/>
                <w:sz w:val="20"/>
              </w:rPr>
            </w:pPr>
            <w:r>
              <w:rPr>
                <w:rFonts w:ascii="Times New Roman" w:hAnsi="Times New Roman"/>
                <w:sz w:val="20"/>
              </w:rPr>
              <w:t>Alexander W. Casdin</w:t>
            </w:r>
          </w:p>
        </w:tc>
        <w:tc>
          <w:tcPr>
            <w:tcW w:w="30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55,000</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112,542</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167,542</w:t>
            </w:r>
          </w:p>
        </w:tc>
        <w:tc>
          <w:tcPr>
            <w:tcW w:w="67" w:type="dxa"/>
            <w:tcBorders/>
            <w:vAlign w:val="bottom"/>
          </w:tcPr>
          <w:p>
            <w:pPr>
              <w:pStyle w:val="TableContents"/>
              <w:bidi w:val="0"/>
              <w:spacing w:before="0" w:after="283"/>
              <w:jc w:val="left"/>
              <w:rPr/>
            </w:pPr>
            <w:r>
              <w:rPr/>
              <w:t> </w:t>
            </w:r>
          </w:p>
        </w:tc>
      </w:tr>
      <w:tr>
        <w:trPr/>
        <w:tc>
          <w:tcPr>
            <w:tcW w:w="3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Bihua Chen(3)</w:t>
            </w:r>
          </w:p>
        </w:tc>
        <w:tc>
          <w:tcPr>
            <w:tcW w:w="30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35,625</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112,542</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148,167</w:t>
            </w:r>
          </w:p>
        </w:tc>
        <w:tc>
          <w:tcPr>
            <w:tcW w:w="67" w:type="dxa"/>
            <w:tcBorders/>
            <w:shd w:fill="CCEEFF" w:val="clear"/>
            <w:vAlign w:val="bottom"/>
          </w:tcPr>
          <w:p>
            <w:pPr>
              <w:pStyle w:val="TableContents"/>
              <w:bidi w:val="0"/>
              <w:spacing w:before="0" w:after="283"/>
              <w:jc w:val="left"/>
              <w:rPr/>
            </w:pPr>
            <w:r>
              <w:rPr/>
              <w:t> </w:t>
            </w:r>
          </w:p>
        </w:tc>
      </w:tr>
      <w:tr>
        <w:trPr/>
        <w:tc>
          <w:tcPr>
            <w:tcW w:w="3769" w:type="dxa"/>
            <w:tcBorders/>
          </w:tcPr>
          <w:p>
            <w:pPr>
              <w:pStyle w:val="TableContents"/>
              <w:bidi w:val="0"/>
              <w:spacing w:before="0" w:after="0"/>
              <w:jc w:val="left"/>
              <w:rPr>
                <w:rFonts w:ascii="Times New Roman" w:hAnsi="Times New Roman"/>
                <w:sz w:val="20"/>
              </w:rPr>
            </w:pPr>
            <w:r>
              <w:rPr>
                <w:rFonts w:ascii="Times New Roman" w:hAnsi="Times New Roman"/>
                <w:sz w:val="20"/>
              </w:rPr>
              <w:t>Julie Hambleton, M.D.</w:t>
            </w:r>
          </w:p>
        </w:tc>
        <w:tc>
          <w:tcPr>
            <w:tcW w:w="30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52,500</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112,542</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165,042</w:t>
            </w:r>
          </w:p>
        </w:tc>
        <w:tc>
          <w:tcPr>
            <w:tcW w:w="67" w:type="dxa"/>
            <w:tcBorders/>
            <w:vAlign w:val="bottom"/>
          </w:tcPr>
          <w:p>
            <w:pPr>
              <w:pStyle w:val="TableContents"/>
              <w:bidi w:val="0"/>
              <w:spacing w:before="0" w:after="283"/>
              <w:jc w:val="left"/>
              <w:rPr/>
            </w:pPr>
            <w:r>
              <w:rPr/>
              <w:t> </w:t>
            </w:r>
          </w:p>
        </w:tc>
      </w:tr>
      <w:tr>
        <w:trPr/>
        <w:tc>
          <w:tcPr>
            <w:tcW w:w="3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Valerie Harding-Start, Ph.D.</w:t>
            </w:r>
          </w:p>
        </w:tc>
        <w:tc>
          <w:tcPr>
            <w:tcW w:w="30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53,000</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112,542</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165,542</w:t>
            </w:r>
          </w:p>
        </w:tc>
        <w:tc>
          <w:tcPr>
            <w:tcW w:w="67" w:type="dxa"/>
            <w:tcBorders/>
            <w:shd w:fill="CCEEFF" w:val="clear"/>
            <w:vAlign w:val="bottom"/>
          </w:tcPr>
          <w:p>
            <w:pPr>
              <w:pStyle w:val="TableContents"/>
              <w:bidi w:val="0"/>
              <w:spacing w:before="0" w:after="283"/>
              <w:jc w:val="left"/>
              <w:rPr/>
            </w:pPr>
            <w:r>
              <w:rPr/>
              <w:t> </w:t>
            </w:r>
          </w:p>
        </w:tc>
      </w:tr>
      <w:tr>
        <w:trPr/>
        <w:tc>
          <w:tcPr>
            <w:tcW w:w="3769" w:type="dxa"/>
            <w:tcBorders/>
          </w:tcPr>
          <w:p>
            <w:pPr>
              <w:pStyle w:val="TableContents"/>
              <w:bidi w:val="0"/>
              <w:spacing w:before="0" w:after="0"/>
              <w:jc w:val="left"/>
              <w:rPr>
                <w:rFonts w:ascii="Times New Roman" w:hAnsi="Times New Roman"/>
                <w:sz w:val="20"/>
              </w:rPr>
            </w:pPr>
            <w:r>
              <w:rPr>
                <w:rFonts w:ascii="Times New Roman" w:hAnsi="Times New Roman"/>
                <w:sz w:val="20"/>
              </w:rPr>
              <w:t>Jean I. Liu, J.D.</w:t>
            </w:r>
          </w:p>
        </w:tc>
        <w:tc>
          <w:tcPr>
            <w:tcW w:w="30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47,500</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112,542</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160,042</w:t>
            </w:r>
          </w:p>
        </w:tc>
        <w:tc>
          <w:tcPr>
            <w:tcW w:w="67" w:type="dxa"/>
            <w:tcBorders/>
            <w:vAlign w:val="bottom"/>
          </w:tcPr>
          <w:p>
            <w:pPr>
              <w:pStyle w:val="TableContents"/>
              <w:bidi w:val="0"/>
              <w:spacing w:before="0" w:after="283"/>
              <w:jc w:val="left"/>
              <w:rPr/>
            </w:pPr>
            <w:r>
              <w:rPr/>
              <w:t> </w:t>
            </w:r>
          </w:p>
        </w:tc>
      </w:tr>
      <w:tr>
        <w:trPr/>
        <w:tc>
          <w:tcPr>
            <w:tcW w:w="3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Pratik S. Multani, M.D.</w:t>
            </w:r>
          </w:p>
        </w:tc>
        <w:tc>
          <w:tcPr>
            <w:tcW w:w="30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44,000</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112,542</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156,542</w:t>
            </w:r>
          </w:p>
        </w:tc>
        <w:tc>
          <w:tcPr>
            <w:tcW w:w="67" w:type="dxa"/>
            <w:tcBorders/>
            <w:shd w:fill="CCEEFF" w:val="clear"/>
            <w:vAlign w:val="bottom"/>
          </w:tcPr>
          <w:p>
            <w:pPr>
              <w:pStyle w:val="TableContents"/>
              <w:bidi w:val="0"/>
              <w:spacing w:before="0" w:after="283"/>
              <w:jc w:val="left"/>
              <w:rPr/>
            </w:pPr>
            <w:r>
              <w:rPr/>
              <w:t> </w:t>
            </w:r>
          </w:p>
        </w:tc>
      </w:tr>
      <w:tr>
        <w:trPr/>
        <w:tc>
          <w:tcPr>
            <w:tcW w:w="3769" w:type="dxa"/>
            <w:tcBorders/>
          </w:tcPr>
          <w:p>
            <w:pPr>
              <w:pStyle w:val="TableContents"/>
              <w:bidi w:val="0"/>
              <w:spacing w:before="0" w:after="0"/>
              <w:jc w:val="left"/>
              <w:rPr>
                <w:rFonts w:ascii="Times New Roman" w:hAnsi="Times New Roman"/>
                <w:sz w:val="20"/>
              </w:rPr>
            </w:pPr>
            <w:r>
              <w:rPr>
                <w:rFonts w:ascii="Times New Roman" w:hAnsi="Times New Roman"/>
                <w:sz w:val="20"/>
              </w:rPr>
              <w:t>Michael D. Varney, Ph.D.</w:t>
            </w:r>
          </w:p>
        </w:tc>
        <w:tc>
          <w:tcPr>
            <w:tcW w:w="30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112,542</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86,503</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199,045</w:t>
            </w:r>
          </w:p>
        </w:tc>
        <w:tc>
          <w:tcPr>
            <w:tcW w:w="67"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stock options to purchase shares of our common stock computed in accordance with FASB ASC 718. See Note 10 to our consolidated financial statements included in our Annual Report on Form 10-K for the year ended December 31, 2023 filed with the SEC on March 27, 2024, for a description of the assumptions used in valuing our stock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for Dr. Varney include the base salary paid to him for his role as Chair of R&amp;D during 2023 of $83,983 and a matching contribution of $2,520 under our 401(k) plan earned by Dr. Varney in 2023, which is expected to be made by us on behalf of Dr. Varney in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Bihua Chen resigned from our Board on August 7,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number of shares subject to stock options or restricted shares outstanding at December 31, 2023 for our non-employee directors and Dr. Varney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46"/>
        <w:gridCol w:w="518"/>
        <w:gridCol w:w="102"/>
        <w:gridCol w:w="1401"/>
        <w:gridCol w:w="60"/>
        <w:gridCol w:w="518"/>
        <w:gridCol w:w="148"/>
        <w:gridCol w:w="1698"/>
        <w:gridCol w:w="64"/>
      </w:tblGrid>
      <w:tr>
        <w:trPr/>
        <w:tc>
          <w:tcPr>
            <w:tcW w:w="3246"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518"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options</w:t>
              <w:br/>
              <w:t>outstanding at</w:t>
              <w:br/>
              <w:t>December 31,</w:t>
              <w:br/>
              <w:t>2023</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of restricted stock</w:t>
              <w:br/>
              <w:t>outstanding at</w:t>
              <w:br/>
              <w:t>December 31,</w:t>
              <w:br/>
              <w:t>2023</w:t>
            </w:r>
          </w:p>
        </w:tc>
        <w:tc>
          <w:tcPr>
            <w:tcW w:w="64" w:type="dxa"/>
            <w:tcBorders/>
            <w:vAlign w:val="bottom"/>
          </w:tcPr>
          <w:p>
            <w:pPr>
              <w:pStyle w:val="TableContents"/>
              <w:bidi w:val="0"/>
              <w:spacing w:before="0" w:after="283"/>
              <w:jc w:val="left"/>
              <w:rPr/>
            </w:pPr>
            <w:r>
              <w:rPr/>
              <w:t> </w:t>
            </w:r>
          </w:p>
        </w:tc>
      </w:tr>
      <w:tr>
        <w:trPr/>
        <w:tc>
          <w:tcPr>
            <w:tcW w:w="3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A. Bristol, Ph.D.</w:t>
            </w:r>
          </w:p>
        </w:tc>
        <w:tc>
          <w:tcPr>
            <w:tcW w:w="51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11,719</w:t>
            </w:r>
          </w:p>
        </w:tc>
        <w:tc>
          <w:tcPr>
            <w:tcW w:w="64" w:type="dxa"/>
            <w:tcBorders/>
            <w:shd w:fill="CCEEFF" w:val="clear"/>
            <w:vAlign w:val="bottom"/>
          </w:tcPr>
          <w:p>
            <w:pPr>
              <w:pStyle w:val="TableContents"/>
              <w:bidi w:val="0"/>
              <w:spacing w:before="0" w:after="283"/>
              <w:jc w:val="left"/>
              <w:rPr/>
            </w:pPr>
            <w:r>
              <w:rPr/>
              <w:t> </w:t>
            </w:r>
          </w:p>
        </w:tc>
      </w:tr>
      <w:tr>
        <w:trPr/>
        <w:tc>
          <w:tcPr>
            <w:tcW w:w="3246" w:type="dxa"/>
            <w:tcBorders/>
          </w:tcPr>
          <w:p>
            <w:pPr>
              <w:pStyle w:val="TableContents"/>
              <w:bidi w:val="0"/>
              <w:spacing w:before="0" w:after="0"/>
              <w:jc w:val="left"/>
              <w:rPr>
                <w:rFonts w:ascii="Times New Roman" w:hAnsi="Times New Roman"/>
                <w:sz w:val="20"/>
              </w:rPr>
            </w:pPr>
            <w:r>
              <w:rPr>
                <w:rFonts w:ascii="Times New Roman" w:hAnsi="Times New Roman"/>
                <w:sz w:val="20"/>
              </w:rPr>
              <w:t>Alexander W. Casdin</w:t>
            </w:r>
          </w:p>
        </w:tc>
        <w:tc>
          <w:tcPr>
            <w:tcW w:w="51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11,719</w:t>
            </w:r>
          </w:p>
        </w:tc>
        <w:tc>
          <w:tcPr>
            <w:tcW w:w="64" w:type="dxa"/>
            <w:tcBorders/>
            <w:vAlign w:val="bottom"/>
          </w:tcPr>
          <w:p>
            <w:pPr>
              <w:pStyle w:val="TableContents"/>
              <w:bidi w:val="0"/>
              <w:spacing w:before="0" w:after="283"/>
              <w:jc w:val="left"/>
              <w:rPr/>
            </w:pPr>
            <w:r>
              <w:rPr/>
              <w:t> </w:t>
            </w:r>
          </w:p>
        </w:tc>
      </w:tr>
      <w:tr>
        <w:trPr/>
        <w:tc>
          <w:tcPr>
            <w:tcW w:w="3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Bihua Chen</w:t>
            </w:r>
          </w:p>
        </w:tc>
        <w:tc>
          <w:tcPr>
            <w:tcW w:w="51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246" w:type="dxa"/>
            <w:tcBorders/>
          </w:tcPr>
          <w:p>
            <w:pPr>
              <w:pStyle w:val="TableContents"/>
              <w:bidi w:val="0"/>
              <w:spacing w:before="0" w:after="0"/>
              <w:jc w:val="left"/>
              <w:rPr>
                <w:rFonts w:ascii="Times New Roman" w:hAnsi="Times New Roman"/>
                <w:sz w:val="20"/>
              </w:rPr>
            </w:pPr>
            <w:r>
              <w:rPr>
                <w:rFonts w:ascii="Times New Roman" w:hAnsi="Times New Roman"/>
                <w:sz w:val="20"/>
              </w:rPr>
              <w:t>Julie Hambleton, M.D.</w:t>
            </w:r>
          </w:p>
        </w:tc>
        <w:tc>
          <w:tcPr>
            <w:tcW w:w="51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266,666</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Valerie Harding-Start, Ph.D.</w:t>
            </w:r>
          </w:p>
        </w:tc>
        <w:tc>
          <w:tcPr>
            <w:tcW w:w="51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287,500</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246" w:type="dxa"/>
            <w:tcBorders/>
          </w:tcPr>
          <w:p>
            <w:pPr>
              <w:pStyle w:val="TableContents"/>
              <w:bidi w:val="0"/>
              <w:spacing w:before="0" w:after="0"/>
              <w:jc w:val="left"/>
              <w:rPr>
                <w:rFonts w:ascii="Times New Roman" w:hAnsi="Times New Roman"/>
                <w:sz w:val="20"/>
              </w:rPr>
            </w:pPr>
            <w:r>
              <w:rPr>
                <w:rFonts w:ascii="Times New Roman" w:hAnsi="Times New Roman"/>
                <w:sz w:val="20"/>
              </w:rPr>
              <w:t>Jean I. Liu, J.D.</w:t>
            </w:r>
          </w:p>
        </w:tc>
        <w:tc>
          <w:tcPr>
            <w:tcW w:w="51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140,000</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Pratik S. Multani, M.D.</w:t>
            </w:r>
          </w:p>
        </w:tc>
        <w:tc>
          <w:tcPr>
            <w:tcW w:w="51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120,834</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246" w:type="dxa"/>
            <w:tcBorders/>
          </w:tcPr>
          <w:p>
            <w:pPr>
              <w:pStyle w:val="TableContents"/>
              <w:bidi w:val="0"/>
              <w:spacing w:before="0" w:after="0"/>
              <w:jc w:val="left"/>
              <w:rPr>
                <w:rFonts w:ascii="Times New Roman" w:hAnsi="Times New Roman"/>
                <w:sz w:val="20"/>
              </w:rPr>
            </w:pPr>
            <w:r>
              <w:rPr>
                <w:rFonts w:ascii="Times New Roman" w:hAnsi="Times New Roman"/>
                <w:sz w:val="20"/>
              </w:rPr>
              <w:t>Michael D. Varney, Ph.D.</w:t>
            </w:r>
          </w:p>
        </w:tc>
        <w:tc>
          <w:tcPr>
            <w:tcW w:w="51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494,999</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on our equity compensation plans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three equity compensation plans, consisting of the Erasca, Inc. 2021 Incentive Award Plan (the 2021 Plan), the Erasca, Inc. 2018 Equity Incentive Plan (the 2018 Plan)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Erasca, Inc. 2021 Employee Stock Purchase Plan (the 2021 ESPP), in place under which shares of our common stock were authorized for issuance detailed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47"/>
        <w:gridCol w:w="324"/>
        <w:gridCol w:w="93"/>
        <w:gridCol w:w="1743"/>
        <w:gridCol w:w="355"/>
        <w:gridCol w:w="268"/>
        <w:gridCol w:w="435"/>
        <w:gridCol w:w="1395"/>
        <w:gridCol w:w="355"/>
        <w:gridCol w:w="268"/>
        <w:gridCol w:w="104"/>
        <w:gridCol w:w="1957"/>
        <w:gridCol w:w="361"/>
      </w:tblGrid>
      <w:tr>
        <w:trPr/>
        <w:tc>
          <w:tcPr>
            <w:tcW w:w="2547"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324" w:type="dxa"/>
            <w:tcBorders/>
            <w:vAlign w:val="bottom"/>
          </w:tcPr>
          <w:p>
            <w:pPr>
              <w:pStyle w:val="TableContents"/>
              <w:bidi w:val="0"/>
              <w:spacing w:before="0" w:after="283"/>
              <w:jc w:val="left"/>
              <w:rPr/>
            </w:pPr>
            <w:r>
              <w:rPr/>
              <w:t>  </w:t>
            </w:r>
          </w:p>
        </w:tc>
        <w:tc>
          <w:tcPr>
            <w:tcW w:w="1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 to be</w:t>
              <w:br/>
              <w:t>issued upon the</w:t>
              <w:br/>
              <w:t>exercise of</w:t>
              <w:br/>
              <w:t>outstanding</w:t>
              <w:br/>
              <w:t>options, warrants</w:t>
              <w:br/>
              <w:t>and rights</w:t>
            </w:r>
          </w:p>
        </w:tc>
        <w:tc>
          <w:tcPr>
            <w:tcW w:w="3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 of</w:t>
              <w:br/>
              <w:t>outstanding</w:t>
              <w:br/>
              <w:t>options, warrants</w:t>
              <w:br/>
              <w:t>and rights</w:t>
            </w:r>
          </w:p>
        </w:tc>
        <w:tc>
          <w:tcPr>
            <w:tcW w:w="3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remaining available</w:t>
              <w:br/>
              <w:t>for future issuance</w:t>
              <w:br/>
              <w:t>under equity</w:t>
              <w:br/>
              <w:t>compensation plans</w:t>
              <w:br/>
              <w:t>(excluding</w:t>
              <w:br/>
              <w:t>securities reflected</w:t>
              <w:br/>
              <w:t>in column(a))</w:t>
            </w:r>
          </w:p>
        </w:tc>
        <w:tc>
          <w:tcPr>
            <w:tcW w:w="361" w:type="dxa"/>
            <w:tcBorders/>
            <w:vAlign w:val="bottom"/>
          </w:tcPr>
          <w:p>
            <w:pPr>
              <w:pStyle w:val="TableContents"/>
              <w:bidi w:val="0"/>
              <w:spacing w:before="0" w:after="283"/>
              <w:jc w:val="left"/>
              <w:rPr/>
            </w:pPr>
            <w:r>
              <w:rPr/>
              <w:t> </w:t>
            </w:r>
          </w:p>
        </w:tc>
      </w:tr>
      <w:tr>
        <w:trPr/>
        <w:tc>
          <w:tcPr>
            <w:tcW w:w="2547"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836" w:type="dxa"/>
            <w:gridSpan w:val="2"/>
            <w:tcBorders/>
            <w:vAlign w:val="bottom"/>
          </w:tcPr>
          <w:p>
            <w:pPr>
              <w:pStyle w:val="TableContents"/>
              <w:bidi w:val="0"/>
              <w:spacing w:before="0" w:after="283"/>
              <w:jc w:val="center"/>
              <w:rPr>
                <w:b/>
              </w:rPr>
            </w:pPr>
            <w:r>
              <w:rPr>
                <w:b/>
              </w:rPr>
              <w:t>(a)</w:t>
            </w:r>
          </w:p>
        </w:tc>
        <w:tc>
          <w:tcPr>
            <w:tcW w:w="3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30" w:type="dxa"/>
            <w:gridSpan w:val="2"/>
            <w:tcBorders/>
            <w:vAlign w:val="bottom"/>
          </w:tcPr>
          <w:p>
            <w:pPr>
              <w:pStyle w:val="TableContents"/>
              <w:bidi w:val="0"/>
              <w:spacing w:before="0" w:after="283"/>
              <w:jc w:val="center"/>
              <w:rPr>
                <w:b/>
              </w:rPr>
            </w:pPr>
            <w:r>
              <w:rPr>
                <w:b/>
              </w:rPr>
              <w:t>(b)</w:t>
            </w:r>
          </w:p>
        </w:tc>
        <w:tc>
          <w:tcPr>
            <w:tcW w:w="3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61" w:type="dxa"/>
            <w:gridSpan w:val="2"/>
            <w:tcBorders/>
            <w:vAlign w:val="bottom"/>
          </w:tcPr>
          <w:p>
            <w:pPr>
              <w:pStyle w:val="TableContents"/>
              <w:bidi w:val="0"/>
              <w:spacing w:before="0" w:after="283"/>
              <w:jc w:val="center"/>
              <w:rPr>
                <w:b/>
              </w:rPr>
            </w:pPr>
            <w:r>
              <w:rPr>
                <w:b/>
              </w:rPr>
              <w:t>(c)</w:t>
            </w:r>
          </w:p>
        </w:tc>
        <w:tc>
          <w:tcPr>
            <w:tcW w:w="361" w:type="dxa"/>
            <w:tcBorders/>
            <w:vAlign w:val="bottom"/>
          </w:tcPr>
          <w:p>
            <w:pPr>
              <w:pStyle w:val="TableContents"/>
              <w:bidi w:val="0"/>
              <w:spacing w:before="0" w:after="283"/>
              <w:jc w:val="left"/>
              <w:rPr/>
            </w:pPr>
            <w:r>
              <w:rPr/>
              <w:t> </w:t>
            </w:r>
          </w:p>
        </w:tc>
      </w:tr>
      <w:tr>
        <w:trPr/>
        <w:tc>
          <w:tcPr>
            <w:tcW w:w="2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32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24,970,957</w:t>
            </w:r>
          </w:p>
        </w:tc>
        <w:tc>
          <w:tcPr>
            <w:tcW w:w="355" w:type="dxa"/>
            <w:tcBorders/>
            <w:shd w:fill="CCEEFF" w:val="clear"/>
            <w:vAlign w:val="bottom"/>
          </w:tcPr>
          <w:p>
            <w:pPr>
              <w:pStyle w:val="TableContents"/>
              <w:bidi w:val="0"/>
              <w:spacing w:before="0" w:after="283"/>
              <w:jc w:val="left"/>
              <w:rPr/>
            </w:pPr>
            <w:r>
              <w:rPr/>
              <w:t>(1) </w:t>
            </w:r>
          </w:p>
        </w:tc>
        <w:tc>
          <w:tcPr>
            <w:tcW w:w="2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w:t>
            </w:r>
          </w:p>
        </w:tc>
        <w:tc>
          <w:tcPr>
            <w:tcW w:w="1395" w:type="dxa"/>
            <w:tcBorders/>
            <w:shd w:fill="CCEEFF" w:val="clear"/>
            <w:vAlign w:val="bottom"/>
          </w:tcPr>
          <w:p>
            <w:pPr>
              <w:pStyle w:val="TableContents"/>
              <w:bidi w:val="0"/>
              <w:spacing w:before="0" w:after="283"/>
              <w:jc w:val="right"/>
              <w:rPr/>
            </w:pPr>
            <w:r>
              <w:rPr/>
              <w:t>4.98</w:t>
            </w:r>
          </w:p>
        </w:tc>
        <w:tc>
          <w:tcPr>
            <w:tcW w:w="355" w:type="dxa"/>
            <w:tcBorders/>
            <w:shd w:fill="CCEEFF" w:val="clear"/>
            <w:vAlign w:val="bottom"/>
          </w:tcPr>
          <w:p>
            <w:pPr>
              <w:pStyle w:val="TableContents"/>
              <w:bidi w:val="0"/>
              <w:spacing w:before="0" w:after="283"/>
              <w:jc w:val="left"/>
              <w:rPr/>
            </w:pPr>
            <w:r>
              <w:rPr/>
              <w:t>(2) </w:t>
            </w:r>
          </w:p>
        </w:tc>
        <w:tc>
          <w:tcPr>
            <w:tcW w:w="26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57" w:type="dxa"/>
            <w:tcBorders/>
            <w:shd w:fill="CCEEFF" w:val="clear"/>
            <w:vAlign w:val="bottom"/>
          </w:tcPr>
          <w:p>
            <w:pPr>
              <w:pStyle w:val="TableContents"/>
              <w:bidi w:val="0"/>
              <w:spacing w:before="0" w:after="283"/>
              <w:jc w:val="right"/>
              <w:rPr/>
            </w:pPr>
            <w:r>
              <w:rPr/>
              <w:t>17,423,478</w:t>
            </w:r>
          </w:p>
        </w:tc>
        <w:tc>
          <w:tcPr>
            <w:tcW w:w="361" w:type="dxa"/>
            <w:tcBorders/>
            <w:shd w:fill="CCEEFF" w:val="clear"/>
            <w:vAlign w:val="bottom"/>
          </w:tcPr>
          <w:p>
            <w:pPr>
              <w:pStyle w:val="TableContents"/>
              <w:bidi w:val="0"/>
              <w:spacing w:before="0" w:after="283"/>
              <w:jc w:val="left"/>
              <w:rPr/>
            </w:pPr>
            <w:r>
              <w:rPr/>
              <w:t>(3) </w:t>
            </w:r>
          </w:p>
        </w:tc>
      </w:tr>
      <w:tr>
        <w:trPr/>
        <w:tc>
          <w:tcPr>
            <w:tcW w:w="2547"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32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57" w:type="dxa"/>
            <w:tcBorders/>
            <w:vAlign w:val="bottom"/>
          </w:tcPr>
          <w:p>
            <w:pPr>
              <w:pStyle w:val="TableContents"/>
              <w:bidi w:val="0"/>
              <w:spacing w:before="0" w:after="283"/>
              <w:jc w:val="right"/>
              <w:rPr/>
            </w:pPr>
            <w:r>
              <w:rPr/>
              <w:t> </w:t>
            </w:r>
          </w:p>
        </w:tc>
        <w:tc>
          <w:tcPr>
            <w:tcW w:w="361" w:type="dxa"/>
            <w:tcBorders/>
            <w:vAlign w:val="bottom"/>
          </w:tcPr>
          <w:p>
            <w:pPr>
              <w:pStyle w:val="TableContents"/>
              <w:bidi w:val="0"/>
              <w:spacing w:before="0" w:after="283"/>
              <w:jc w:val="left"/>
              <w:rPr/>
            </w:pPr>
            <w:r>
              <w:rPr/>
              <w:t> </w:t>
            </w:r>
          </w:p>
        </w:tc>
      </w:tr>
      <w:tr>
        <w:trPr/>
        <w:tc>
          <w:tcPr>
            <w:tcW w:w="2547"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395"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957"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24,970,957</w:t>
            </w:r>
          </w:p>
        </w:tc>
        <w:tc>
          <w:tcPr>
            <w:tcW w:w="3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w:t>
            </w:r>
          </w:p>
        </w:tc>
        <w:tc>
          <w:tcPr>
            <w:tcW w:w="1395" w:type="dxa"/>
            <w:tcBorders/>
            <w:shd w:fill="CCEEFF" w:val="clear"/>
            <w:vAlign w:val="bottom"/>
          </w:tcPr>
          <w:p>
            <w:pPr>
              <w:pStyle w:val="TableContents"/>
              <w:bidi w:val="0"/>
              <w:spacing w:before="0" w:after="283"/>
              <w:jc w:val="right"/>
              <w:rPr/>
            </w:pPr>
            <w:r>
              <w:rPr/>
              <w:t>4.98</w:t>
            </w:r>
          </w:p>
        </w:tc>
        <w:tc>
          <w:tcPr>
            <w:tcW w:w="3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57" w:type="dxa"/>
            <w:tcBorders/>
            <w:shd w:fill="CCEEFF" w:val="clear"/>
            <w:vAlign w:val="bottom"/>
          </w:tcPr>
          <w:p>
            <w:pPr>
              <w:pStyle w:val="TableContents"/>
              <w:bidi w:val="0"/>
              <w:spacing w:before="0" w:after="283"/>
              <w:jc w:val="right"/>
              <w:rPr/>
            </w:pPr>
            <w:r>
              <w:rPr/>
              <w:t>17,423,478</w:t>
            </w:r>
          </w:p>
        </w:tc>
        <w:tc>
          <w:tcPr>
            <w:tcW w:w="361" w:type="dxa"/>
            <w:tcBorders/>
            <w:shd w:fill="CCEEFF" w:val="clear"/>
            <w:vAlign w:val="bottom"/>
          </w:tcPr>
          <w:p>
            <w:pPr>
              <w:pStyle w:val="TableContents"/>
              <w:bidi w:val="0"/>
              <w:spacing w:before="0" w:after="283"/>
              <w:jc w:val="left"/>
              <w:rPr/>
            </w:pPr>
            <w:r>
              <w:rPr/>
              <w:t> </w:t>
            </w:r>
          </w:p>
        </w:tc>
      </w:tr>
      <w:tr>
        <w:trPr/>
        <w:tc>
          <w:tcPr>
            <w:tcW w:w="2547"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743" w:type="dxa"/>
            <w:tcBorders/>
            <w:vAlign w:val="bottom"/>
          </w:tcPr>
          <w:p>
            <w:pPr>
              <w:pStyle w:val="TableContents"/>
              <w:pBdr>
                <w:top w:val="double" w:sz="6"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1395" w:type="dxa"/>
            <w:tcBorders/>
            <w:vAlign w:val="bottom"/>
          </w:tcPr>
          <w:p>
            <w:pPr>
              <w:pStyle w:val="TableContents"/>
              <w:pBdr>
                <w:top w:val="double" w:sz="6"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1957"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16,200,853 shares of common stock that were subject to outstanding option awards as of December 31, 2023 under the 2021 Plan and 8,770,104 shares of common stock that were subject to outstanding option awards as of December 31, 2023 under the 2018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exercise price of outstanding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15,342,797 shares of common stock available for issuance under the 2021 Plan and 2,080,681 shares of common stock available for issuance under the 2021 ESPP (all of which were eligible for purchase pursuant to the offering period in effect on December 31, 2023). This amount does not include any additional shares that may become available for future issuance under the 2021 Plan pursuant to the automatic increase to the share reserve on January 1 of each of our calendar years through 2031 by the number of shares equal to the lesser of (i) 5% of the total outstanding shares of our common stock as of the immediately preceding December 31 and (ii) such smaller number of shares as is determined by our Board. Additionally, this amount does not include any additional shares that may become available for future issuance under the 2021 ESPP pursuant to the automatic increase to the share reserve on January 1 of each of our calendar years through 2031 by the number of shares equal to the lesser of (i) 1% of the total outstanding shares of our common stock as of the immediately preceding December 31 and (ii)  such smaller number of shares as determined by our Board. </w:t>
            </w:r>
          </w:p>
        </w:tc>
      </w:tr>
    </w:tbl>
    <w:p>
      <w:pPr>
        <w:pStyle w:val="TextBody"/>
        <w:bidi w:val="0"/>
        <w:spacing w:before="360" w:after="0"/>
        <w:jc w:val="left"/>
        <w:rPr>
          <w:rFonts w:ascii="Times New Roman" w:hAnsi="Times New Roman"/>
          <w:b/>
          <w:sz w:val="20"/>
        </w:rPr>
      </w:pPr>
      <w:bookmarkStart w:id="7" w:name="toc697760_5"/>
      <w:bookmarkEnd w:id="7"/>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certain information with respect to the beneficial ownership of our common stock at April 15, 2024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NEOs;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current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beneficially owned more than 5% of our outstanding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percentage ownership is based on 173,341,798 shares of common stock outstanding as of April 15, 2024.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within 60 days of April 15, 2024. We did not deem these shares outstanding, however, for the purpose of computing the percentage ownership of any other person. Unless otherwise indicated, the address of each beneficial owner listed in the table below is c/o Erasca, Inc., 3115 Merryfield Row, Suite 300, San Diego, California 92121.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17"/>
        <w:gridCol w:w="359"/>
        <w:gridCol w:w="89"/>
        <w:gridCol w:w="1715"/>
        <w:gridCol w:w="89"/>
        <w:gridCol w:w="410"/>
        <w:gridCol w:w="136"/>
        <w:gridCol w:w="1060"/>
        <w:gridCol w:w="280"/>
      </w:tblGrid>
      <w:tr>
        <w:trPr/>
        <w:tc>
          <w:tcPr>
            <w:tcW w:w="3617"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17"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34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280" w:type="dxa"/>
            <w:tcBorders/>
            <w:vAlign w:val="bottom"/>
          </w:tcPr>
          <w:p>
            <w:pPr>
              <w:pStyle w:val="TableContents"/>
              <w:bidi w:val="0"/>
              <w:spacing w:before="0" w:after="283"/>
              <w:jc w:val="left"/>
              <w:rPr/>
            </w:pPr>
            <w:r>
              <w:rPr/>
              <w:t> </w:t>
            </w:r>
          </w:p>
        </w:tc>
      </w:tr>
      <w:tr>
        <w:trPr/>
        <w:tc>
          <w:tcPr>
            <w:tcW w:w="36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359" w:type="dxa"/>
            <w:tcBorders/>
            <w:vAlign w:val="bottom"/>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361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1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City Hill, LLC(1)</w:t>
            </w:r>
          </w:p>
        </w:tc>
        <w:tc>
          <w:tcPr>
            <w:tcW w:w="3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12,899,360</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7.4</w:t>
            </w:r>
          </w:p>
        </w:tc>
        <w:tc>
          <w:tcPr>
            <w:tcW w:w="280" w:type="dxa"/>
            <w:tcBorders/>
            <w:vAlign w:val="bottom"/>
          </w:tcPr>
          <w:p>
            <w:pPr>
              <w:pStyle w:val="TableContents"/>
              <w:bidi w:val="0"/>
              <w:spacing w:before="0" w:after="283"/>
              <w:jc w:val="left"/>
              <w:rPr/>
            </w:pPr>
            <w:r>
              <w:rPr/>
              <w:t>% </w:t>
            </w:r>
          </w:p>
        </w:tc>
      </w:tr>
      <w:tr>
        <w:trPr/>
        <w:tc>
          <w:tcPr>
            <w:tcW w:w="3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Novartis AG(2)</w:t>
            </w:r>
          </w:p>
        </w:tc>
        <w:tc>
          <w:tcPr>
            <w:tcW w:w="3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12,307,692</w:t>
            </w:r>
          </w:p>
        </w:tc>
        <w:tc>
          <w:tcPr>
            <w:tcW w:w="89"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7.1</w:t>
            </w:r>
          </w:p>
        </w:tc>
        <w:tc>
          <w:tcPr>
            <w:tcW w:w="280" w:type="dxa"/>
            <w:tcBorders/>
            <w:shd w:fill="CCEEFF" w:val="clear"/>
            <w:vAlign w:val="bottom"/>
          </w:tcPr>
          <w:p>
            <w:pPr>
              <w:pStyle w:val="TableContents"/>
              <w:bidi w:val="0"/>
              <w:spacing w:before="0" w:after="283"/>
              <w:jc w:val="left"/>
              <w:rPr/>
            </w:pPr>
            <w:r>
              <w:rPr/>
              <w:t>% </w:t>
            </w:r>
          </w:p>
        </w:tc>
      </w:tr>
      <w:tr>
        <w:trPr/>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ARCH Venture Partners(3)</w:t>
            </w:r>
          </w:p>
        </w:tc>
        <w:tc>
          <w:tcPr>
            <w:tcW w:w="3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11,055,554</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6.4</w:t>
            </w:r>
          </w:p>
        </w:tc>
        <w:tc>
          <w:tcPr>
            <w:tcW w:w="280" w:type="dxa"/>
            <w:tcBorders/>
            <w:vAlign w:val="bottom"/>
          </w:tcPr>
          <w:p>
            <w:pPr>
              <w:pStyle w:val="TableContents"/>
              <w:bidi w:val="0"/>
              <w:spacing w:before="0" w:after="283"/>
              <w:jc w:val="left"/>
              <w:rPr/>
            </w:pPr>
            <w:r>
              <w:rPr/>
              <w:t>% </w:t>
            </w:r>
          </w:p>
        </w:tc>
      </w:tr>
      <w:tr>
        <w:trPr/>
        <w:tc>
          <w:tcPr>
            <w:tcW w:w="361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3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1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Jonathan E. Lim, M.D.(4)</w:t>
            </w:r>
          </w:p>
        </w:tc>
        <w:tc>
          <w:tcPr>
            <w:tcW w:w="3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33,441,992</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19.2</w:t>
            </w:r>
          </w:p>
        </w:tc>
        <w:tc>
          <w:tcPr>
            <w:tcW w:w="280" w:type="dxa"/>
            <w:tcBorders/>
            <w:vAlign w:val="bottom"/>
          </w:tcPr>
          <w:p>
            <w:pPr>
              <w:pStyle w:val="TableContents"/>
              <w:bidi w:val="0"/>
              <w:spacing w:before="0" w:after="283"/>
              <w:jc w:val="left"/>
              <w:rPr/>
            </w:pPr>
            <w:r>
              <w:rPr/>
              <w:t>% </w:t>
            </w:r>
          </w:p>
        </w:tc>
      </w:tr>
      <w:tr>
        <w:trPr/>
        <w:tc>
          <w:tcPr>
            <w:tcW w:w="3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A. Bristol, Ph.D.(5)</w:t>
            </w:r>
          </w:p>
        </w:tc>
        <w:tc>
          <w:tcPr>
            <w:tcW w:w="3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273,644</w:t>
            </w:r>
          </w:p>
        </w:tc>
        <w:tc>
          <w:tcPr>
            <w:tcW w:w="89"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Alexander W. Casdin(6)</w:t>
            </w:r>
          </w:p>
        </w:tc>
        <w:tc>
          <w:tcPr>
            <w:tcW w:w="3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644,842</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M. Chacko, M.D.(7)</w:t>
            </w:r>
          </w:p>
        </w:tc>
        <w:tc>
          <w:tcPr>
            <w:tcW w:w="3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1,569,305</w:t>
            </w:r>
          </w:p>
        </w:tc>
        <w:tc>
          <w:tcPr>
            <w:tcW w:w="89"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Ebun S. Garner, J.D.(8)</w:t>
            </w:r>
          </w:p>
        </w:tc>
        <w:tc>
          <w:tcPr>
            <w:tcW w:w="3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779,116</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Julie Hambleton, M.D.(9)</w:t>
            </w:r>
          </w:p>
        </w:tc>
        <w:tc>
          <w:tcPr>
            <w:tcW w:w="3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212,666</w:t>
            </w:r>
          </w:p>
        </w:tc>
        <w:tc>
          <w:tcPr>
            <w:tcW w:w="89"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Valerie Harding-Start, Ph.D.(10)</w:t>
            </w:r>
          </w:p>
        </w:tc>
        <w:tc>
          <w:tcPr>
            <w:tcW w:w="3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265,995</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Jean I. Liu, J.D.(11)</w:t>
            </w:r>
          </w:p>
        </w:tc>
        <w:tc>
          <w:tcPr>
            <w:tcW w:w="3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70,339</w:t>
            </w:r>
          </w:p>
        </w:tc>
        <w:tc>
          <w:tcPr>
            <w:tcW w:w="89"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Pratik S. Multani, M.D.(12)</w:t>
            </w:r>
          </w:p>
        </w:tc>
        <w:tc>
          <w:tcPr>
            <w:tcW w:w="3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247,394</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D. Varney, Ph.D.(13)</w:t>
            </w:r>
          </w:p>
        </w:tc>
        <w:tc>
          <w:tcPr>
            <w:tcW w:w="3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421,977</w:t>
            </w:r>
          </w:p>
        </w:tc>
        <w:tc>
          <w:tcPr>
            <w:tcW w:w="89"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617"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(11 persons)(14)</w:t>
            </w:r>
          </w:p>
        </w:tc>
        <w:tc>
          <w:tcPr>
            <w:tcW w:w="3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38,291,145</w:t>
            </w:r>
          </w:p>
        </w:tc>
        <w:tc>
          <w:tcPr>
            <w:tcW w:w="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21.5</w:t>
            </w:r>
          </w:p>
        </w:tc>
        <w:tc>
          <w:tcPr>
            <w:tcW w:w="28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12,899,360 shares of common stock held by City Hill, LLC. Dr. Lim, our Chairman and CEO, is the Managing Partner of City Hill, LLC. Dr. Lim may be deemed to share the power to direct the disposition and vote of the shares held by City Hill, LLC. Dr. Lim disclaims beneficial ownership of such shares except to the extent of any pecuniary interest therein. This information is based on the Schedule 13G/A filed with the SEC on February 13,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12,307,692 shares of common stock held by Novartis Pharma AG (Novartis Pharma). Novartis Pharma is a direct wholly-owned subsidiary of Novartis AG (Novartis). As the direct parent of Novartis Pharma, Novartis may be deemed to beneficially own the shares held by Novartis Pharma. Novartis Pharma disclaims beneficial ownership of such shares except to the extent of any pecuniary interest therein. The address of Novartis and Novartis Pharma is Lichtstrasse 35, CH-4056 Basel, Switzerland. This information is based on the Schedule 13G filed with the SEC on December 19, 2022.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5,527,777 shares of common stock held by ARCH Venture Fund X, L.P. (ARCH X), and 5,527,777 shares of common stock held by ARCH Venture Fund X Overage, L.P. (ARCH X Overage). ARCH Venture Partners X, L.P. (AVP X LP) is the sole general partner of ARCH X. ARCH Venture Partners X Overage, L.P. (AVP X Overage LP) is the sole general partner of ARCH X Overage. ARCH Venture Partners X, LLC (AVP X LLC) is the sole general partner of each of AVP X LP and AVP X Overage LP. Keith Crandell, Kristina Burow, Steven Gillis, and Robert Nelsen comprise the investment committee of AVP X LLC (the AVP X Committee Members). AVP X LP and AVP X Overage LP may be deemed to beneficially own the shares held by ARCH X and ARCH X Overage, respectively, AVP X LLC may be deemed to beneficially own the shares held by ARCH X and ARCH X Overage, and each of the AVP X Committee Members may be deemed to share the power to direct the disposition and vote of the shares held by ARCH X and ARCH X Overage. Each of AVP X LP, AVP X Overage LP, AVP X LLC, and the AVP X Committee Members disclaims beneficial ownership except to any pecuniary interest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address of the ARCH Venture Funds is 8755 W. Higgins Road, Suite 1025, Chicago, IL 60631. This information is based on the Schedule 13G filed with the SEC on February 10, 2022.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12,899,360 shares of common stock held by City Hill, LLC and 19,456,216 shares of common stock held by a family trust of Dr. Lim, for which he is a co-trustee, including 149,306 shares subject to repurchase by us as of 60 days after April 15, 2024, and 1,086,416 shares of common stock underlying options held by Dr. Lim that are exercisable as of April 15,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187,500 shares of common stock held by Dr. Bristol, including 5,209 shares of common stock subject to repurchase by us as of 60 days after April 15, 2024, 66,144 shares of common stock underlying options held by Dr. Bristol that are exercisable as of April 15, 2024 or that will become exercisable within 60 days after such date, and 20,000 shares of common stock held by a family trust of Dr. Bristol, for which he is the trustee.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493,974 shares of common stock held by Mr. Casdin, including 5,209 shares of common stock subject to repurchase by us as of 60 days after April 15, 2024, 57,118 shares of common stock underlying options held by Mr. Casdin that are exercisable as of April 15, 2024 or that will become exercisable within 60 days after such date, and 93,750 shares of common stock held by Mr. Casdins spouse.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246,726 shares of common stock held by Dr. Chacko, including 5,556 shares of common stock subject to repurchase by us as of 60 days after April 15, 2024, and 1,322,579 shares of common stock underlying options held by Dr. Chacko that are exercisable as of April 15,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9,728 shares of common stock held by Mr. Garner and 769,388 shares of common stock underlying options held by Mr. Garner that are exercisable as of April 15,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6,000 shares of common stock held by Dr. Hambleton and 206,666 shares of common stock underlying options held by Dr. Hambleton that are exercisable as of April 15,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2,000 shares of common stock held by Dr. Harding-Start and 20,000 shares of common stock held by a family trust of Dr. Harding-Start, for which she is a co-trustee, and 243,995 shares of common stock underlying options held by Dr. Harding-Start that are exercisable as of April 15,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70,339 shares of common stock underlying options held by Ms. Liu that are exercisable as of April 15,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172,866 shares of common stock held by Dr. Multani and 74,528 shares of common stock underlying options held by Dr. Multani that are exercisable as of April 15,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421,977 shares of common stock underlying options held by Dr. Varney that are exercisable as of April 15, 2024 or that will become exercisable within 60 days after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and shares of common stock issuable upon exercise of outstanding options which are exercisable as of April 15, 2024 or that will become exercisable within 60 days after such date, as set forth in previous footnotes. Also includes 363,875 shares of common stock underlying options held by Shannon R. Morris, M.D., Ph.D., our Chief Medical Officer, that are exercisable as of April 15, 2024 or that will become exercisable within 60 days after such date. </w:t>
            </w:r>
          </w:p>
        </w:tc>
      </w:tr>
    </w:tbl>
    <w:p>
      <w:pPr>
        <w:pStyle w:val="TextBody"/>
        <w:bidi w:val="0"/>
        <w:spacing w:before="360" w:after="0"/>
        <w:jc w:val="left"/>
        <w:rPr>
          <w:rFonts w:ascii="Times New Roman" w:hAnsi="Times New Roman"/>
          <w:b/>
          <w:sz w:val="20"/>
        </w:rPr>
      </w:pPr>
      <w:bookmarkStart w:id="8" w:name="toc697760_6"/>
      <w:bookmarkEnd w:id="8"/>
      <w:r>
        <w:rPr>
          <w:rFonts w:ascii="Times New Roman" w:hAnsi="Times New Roman"/>
          <w:b/>
          <w:sz w:val="20"/>
        </w:rPr>
        <w:t xml:space="preserve">Certain Relationships and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transactions entered into or existing since January 1, 2022 to which we have been a party in which the amount involved exceeded or will exceed $120,000 (or, if less, 1% of the average of our total assets at year-end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amended and restated stockholders agreement in April 2020, or the stockholders agreement, with the holders of our convertible preferred stock, including entities with which certain of our directors are affiliated. This agreement provides for certain rights relating to the registration of their shares of common stock issuable upon conversion of their convertible preferred stock and certain additional covenants made by us. Except for the registration rights (including the related provisions pursuant to which we have agreed to indemnify the parties to the stockholders agreement), all rights under this agreement terminated upon closing of our IPO. The registration rights will terminate five years after the closing of our IPO. </w:t>
      </w:r>
    </w:p>
    <w:p>
      <w:pPr>
        <w:pStyle w:val="TextBody"/>
        <w:bidi w:val="0"/>
        <w:spacing w:before="360" w:after="0"/>
        <w:jc w:val="left"/>
        <w:rPr>
          <w:rFonts w:ascii="Times New Roman" w:hAnsi="Times New Roman"/>
          <w:b/>
          <w:i/>
          <w:sz w:val="20"/>
        </w:rPr>
      </w:pPr>
      <w:r>
        <w:rPr>
          <w:rFonts w:ascii="Times New Roman" w:hAnsi="Times New Roman"/>
          <w:b/>
          <w:i/>
          <w:sz w:val="20"/>
        </w:rPr>
        <w:t xml:space="preserve">Erasca Foundation </w:t>
      </w:r>
    </w:p>
    <w:p>
      <w:pPr>
        <w:pStyle w:val="TextBody"/>
        <w:bidi w:val="0"/>
        <w:spacing w:before="120" w:after="0"/>
        <w:jc w:val="left"/>
        <w:rPr>
          <w:rFonts w:ascii="Times New Roman" w:hAnsi="Times New Roman"/>
          <w:sz w:val="20"/>
        </w:rPr>
      </w:pPr>
      <w:r>
        <w:rPr>
          <w:rFonts w:ascii="Times New Roman" w:hAnsi="Times New Roman"/>
          <w:sz w:val="20"/>
        </w:rPr>
        <w:t xml:space="preserve">In May 2021, we established the Erasca Foundation to provide support such as direct research grants, hardship grants, patient advocacy, patient education in underserved populations, and funding for other initiatives to positively impact society that align with our mission. Our chief executive officer and certain board members serve as directors of the Erasca Foundation and our chief executive officer, chief financial officer, and general counsel are also officers of the Erasca Foundation. In July 2021, we issued 1,093,557 shares of our common stock to the Erasca Foundation as a contribution and recorded $17.5 million as a contribution of common stock to the Erasca Foundation in the consolidated statements of operations and comprehensive loss. In December 2021, the Company loaned the Erasca Foundation $100,000 in exchange for a non-interest bearing promissory note that matures one year following the date of the note. In April 2023, the Company loaned the Erasca Foundation $125,000 in exchange for a non-interest bearing promissory note that matures one year following the date of the note. In April 2024, we made a donation of $125,000 to the Erasca Foundation.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other than participation in our IPO, occurred prior to the adoption of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9" w:name="toc697760_7"/>
      <w:bookmarkEnd w:id="9"/>
      <w:r>
        <w:rPr>
          <w:rFonts w:ascii="Times New Roman" w:hAnsi="Times New Roman"/>
          <w:b/>
          <w:sz w:val="20"/>
        </w:rPr>
        <w:t xml:space="preserve">2025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intend to have a proposal considered for inclusion in our proxy materials for presentation at our 2025 Annual Meeting of Stockholders pursuant to Rule 14a-8 under the Exchange Act must submit the proposal to our Secretary at our offices at 3115 Merryfield Row, Suite 300, San Diego, California 92121 in writing not later than January 7, 2025, which is 120 days prior to the one-year anniversary of the mailing date of the proxy statement for the Annual Meeting, unless the date of the 2025 Annual Meeting of Stockholders is changed by more than 30 days from the anniversary of our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Stockholders intending to present a proposal at the 2025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2025 Annual Meeting of Stockholders no earlier than the close of business on February 20, 2025 and no later than the close of business on March 22, 2025. The notice must contain the information required by the Bylaws, a copy of which is available upon request to our Secretary. In the event that the date of the 2025 Annual Meeting of Stockholders is more than 30 days before or more than 60 days after June 20, 2025, then our Secretary must receive such written notice not later than the 90th day prior to the 2025 Annual Meeting or, if later, the 10th day following the day on which public disclosure of the date of such annual 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21, 2025. </w:t>
      </w:r>
    </w:p>
    <w:p>
      <w:pPr>
        <w:pStyle w:val="TextBody"/>
        <w:bidi w:val="0"/>
        <w:spacing w:before="240" w:after="0"/>
        <w:jc w:val="left"/>
        <w:rPr>
          <w:rFonts w:ascii="Times New Roman" w:hAnsi="Times New Roman"/>
          <w:sz w:val="20"/>
        </w:rPr>
      </w:pPr>
      <w:r>
        <w:rPr>
          <w:rFonts w:ascii="Times New Roman" w:hAnsi="Times New Roman"/>
          <w:sz w:val="20"/>
        </w:rPr>
        <w:t xml:space="preserve">We intend to file a proxy statement and WHITE proxy card with the SEC in connection with the solicitation of proxies for our 2025 Annual Meeting. Stockholders may obtain our proxy statement (and any amendments and supplements thereto) and other documents as and when filed by the Company with the SEC without charge from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reserve the right to reject, rule out of order or take other appropriate action with respect to any proposal that does not comply with these or other applicable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specifically provided otherwise in such filing. 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our directors, executive officers and persons who own more than 10% of our common stock (collectively, Reporting Persons) to file with the SEC initial reports of ownership and changes in ownership of our common stock. Reporting Persons are required by SEC regulations to furnish us with copies of all Section 16(a) reports they file. To our knowledge, based solely on our review of the copies of such reports received, we believe that for the fiscal year ended December 31, 2023, all Reporting Persons complied with all applicable Section 16(a) filing requirements, except: the Form 3 filed for Shannon Morris on April 13, 2023 was not filed on a timely basis.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proxy is solicited by and on behalf of the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 </w:t>
      </w:r>
    </w:p>
    <w:p>
      <w:pPr>
        <w:pStyle w:val="TextBody"/>
        <w:bidi w:val="0"/>
        <w:spacing w:before="360" w:after="0"/>
        <w:jc w:val="left"/>
        <w:rPr>
          <w:rFonts w:ascii="Times New Roman" w:hAnsi="Times New Roman"/>
          <w:b/>
          <w:sz w:val="20"/>
        </w:rPr>
      </w:pPr>
      <w:bookmarkStart w:id="10" w:name="toc697760_8"/>
      <w:bookmarkEnd w:id="10"/>
      <w:r>
        <w:rPr>
          <w:rFonts w:ascii="Times New Roman" w:hAnsi="Times New Roman"/>
          <w:b/>
          <w:sz w:val="20"/>
        </w:rPr>
        <w:t xml:space="preserve">Erascas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A copy of Erascas Annual Report on Form 10-K for the fiscal year ended December 31, 2023, including the consolidated financial statements thereto but not including exhibits, as filed with the SEC, will be sent to any beneficial owners of our Common Stock on the Record Date as determined on April 24, 2024 without charge upon written request addressed to: </w:t>
      </w:r>
    </w:p>
    <w:p>
      <w:pPr>
        <w:pStyle w:val="TextBody"/>
        <w:bidi w:val="0"/>
        <w:spacing w:before="240" w:after="0"/>
        <w:jc w:val="left"/>
        <w:rPr>
          <w:rFonts w:ascii="Times New Roman" w:hAnsi="Times New Roman"/>
          <w:sz w:val="20"/>
        </w:rPr>
      </w:pPr>
      <w:r>
        <w:rPr>
          <w:rFonts w:ascii="Times New Roman" w:hAnsi="Times New Roman"/>
          <w:sz w:val="20"/>
        </w:rPr>
        <w:t xml:space="preserve">Erasca, Inc. </w:t>
      </w:r>
    </w:p>
    <w:p>
      <w:pPr>
        <w:pStyle w:val="TextBody"/>
        <w:bidi w:val="0"/>
        <w:spacing w:before="0" w:after="0"/>
        <w:jc w:val="left"/>
        <w:rPr>
          <w:rFonts w:ascii="Times New Roman" w:hAnsi="Times New Roman"/>
          <w:sz w:val="20"/>
        </w:rPr>
      </w:pPr>
      <w:r>
        <w:rPr>
          <w:rFonts w:ascii="Times New Roman" w:hAnsi="Times New Roman"/>
          <w:sz w:val="20"/>
        </w:rPr>
        <w:t xml:space="preserve">Attention: Secretary </w:t>
      </w:r>
    </w:p>
    <w:p>
      <w:pPr>
        <w:pStyle w:val="TextBody"/>
        <w:bidi w:val="0"/>
        <w:spacing w:before="0" w:after="0"/>
        <w:jc w:val="left"/>
        <w:rPr>
          <w:rFonts w:ascii="Times New Roman" w:hAnsi="Times New Roman"/>
          <w:sz w:val="20"/>
        </w:rPr>
      </w:pPr>
      <w:r>
        <w:rPr>
          <w:rFonts w:ascii="Times New Roman" w:hAnsi="Times New Roman"/>
          <w:sz w:val="20"/>
        </w:rPr>
        <w:t xml:space="preserve">3115 Merryfield Row, Suite 300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A reasonable fee will be charged for copies of exhibits. You also may access this proxy statement and our Annual Report on Form 10-K at www.proxydocs.com/ERAS. We make available free of charge on our website all of our filings that are made electronically with the SEC, including our Annual Report on Form 10-K for the year ended December 31, 2023. These materials can be found at www.Erasca.com under the Investors section. </w:t>
      </w:r>
    </w:p>
    <w:p>
      <w:pPr>
        <w:pStyle w:val="TextBody"/>
        <w:bidi w:val="0"/>
        <w:spacing w:before="240" w:after="0"/>
        <w:jc w:val="left"/>
        <w:rPr>
          <w:rFonts w:ascii="Times New Roman" w:hAnsi="Times New Roman"/>
          <w:b/>
          <w:sz w:val="20"/>
        </w:rPr>
      </w:pPr>
      <w:r>
        <w:rPr>
          <w:rFonts w:ascii="Times New Roman" w:hAnsi="Times New Roman"/>
          <w:b/>
          <w:sz w:val="20"/>
        </w:rPr>
        <w:t xml:space="preserve">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ENCLOSED RETURN ENVELOPE. PROMPTLY VOTING YOUR SHARES WILL ENSURE THE PRESENCE OF A QUORUM AT THE ANNUAL MEETING AND WILL SAVE US THE EXPENSE OF FURTHER SOLICITATION.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Ebun S. Garner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467725" cy="285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467725" cy="28575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6"/>
        <w:gridCol w:w="124"/>
        <w:gridCol w:w="4965"/>
      </w:tblGrid>
      <w:tr>
        <w:trPr/>
        <w:tc>
          <w:tcPr>
            <w:tcW w:w="51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65" w:type="dxa"/>
            <w:tcBorders/>
            <w:vAlign w:val="center"/>
          </w:tcPr>
          <w:p>
            <w:pPr>
              <w:pStyle w:val="TableContents"/>
              <w:bidi w:val="0"/>
              <w:spacing w:before="0" w:after="283"/>
              <w:jc w:val="left"/>
              <w:rPr>
                <w:sz w:val="4"/>
                <w:szCs w:val="4"/>
              </w:rPr>
            </w:pPr>
            <w:r>
              <w:rPr>
                <w:sz w:val="4"/>
                <w:szCs w:val="4"/>
              </w:rPr>
            </w:r>
          </w:p>
        </w:tc>
      </w:tr>
      <w:tr>
        <w:trPr/>
        <w:tc>
          <w:tcPr>
            <w:tcW w:w="511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65" w:type="dxa"/>
            <w:tcBorders/>
          </w:tcPr>
          <w:p>
            <w:pPr>
              <w:pStyle w:val="TableContents"/>
              <w:bidi w:val="0"/>
              <w:spacing w:before="0" w:after="0"/>
              <w:jc w:val="center"/>
              <w:rPr>
                <w:rFonts w:ascii="ARIAL" w:hAnsi="ARIAL"/>
                <w:b/>
                <w:color w:val="0B5285"/>
                <w:sz w:val="24"/>
              </w:rPr>
            </w:pPr>
            <w:r>
              <w:rPr>
                <w:rFonts w:ascii="ARIAL" w:hAnsi="ARIAL"/>
                <w:b/>
                <w:color w:val="0B5285"/>
                <w:sz w:val="24"/>
              </w:rPr>
              <w:t>Scan QR for</w:t>
            </w:r>
          </w:p>
          <w:p>
            <w:pPr>
              <w:pStyle w:val="TableContents"/>
              <w:bidi w:val="0"/>
              <w:spacing w:before="0" w:after="20"/>
              <w:jc w:val="center"/>
              <w:rPr>
                <w:rFonts w:ascii="ARIAL" w:hAnsi="ARIAL"/>
                <w:b/>
                <w:color w:val="0B5285"/>
                <w:sz w:val="24"/>
              </w:rPr>
            </w:pPr>
            <w:r>
              <w:rPr>
                <w:rFonts w:ascii="ARIAL" w:hAnsi="ARIAL"/>
                <w:b/>
                <w:color w:val="0B5285"/>
                <w:sz w:val="24"/>
              </w:rPr>
              <w:t>digital voting</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06"/>
        <w:gridCol w:w="104"/>
        <w:gridCol w:w="824"/>
        <w:gridCol w:w="121"/>
        <w:gridCol w:w="3550"/>
      </w:tblGrid>
      <w:tr>
        <w:trPr/>
        <w:tc>
          <w:tcPr>
            <w:tcW w:w="560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r>
      <w:tr>
        <w:trPr/>
        <w:tc>
          <w:tcPr>
            <w:tcW w:w="5606" w:type="dxa"/>
            <w:tcBorders/>
          </w:tcPr>
          <w:p>
            <w:pPr>
              <w:pStyle w:val="TableContents"/>
              <w:bidi w:val="0"/>
              <w:spacing w:before="0" w:after="0"/>
              <w:jc w:val="center"/>
              <w:rPr>
                <w:rFonts w:ascii="ARIAL" w:hAnsi="ARIAL"/>
                <w:b/>
                <w:color w:val="0B5285"/>
                <w:sz w:val="28"/>
              </w:rPr>
            </w:pPr>
            <w:r>
              <w:rPr>
                <w:rFonts w:ascii="ARIAL" w:hAnsi="ARIAL"/>
                <w:b/>
                <w:color w:val="0B5285"/>
                <w:sz w:val="28"/>
              </w:rPr>
              <w:t>Erasca, Inc.</w:t>
            </w:r>
          </w:p>
          <w:p>
            <w:pPr>
              <w:pStyle w:val="TableContents"/>
              <w:bidi w:val="0"/>
              <w:spacing w:before="0" w:after="20"/>
              <w:jc w:val="left"/>
              <w:rPr/>
            </w:pPr>
            <w:r>
              <w:rPr/>
              <w:t> </w:t>
            </w:r>
          </w:p>
        </w:tc>
        <w:tc>
          <w:tcPr>
            <w:tcW w:w="104" w:type="dxa"/>
            <w:vMerge w:val="restart"/>
            <w:tcBorders/>
            <w:vAlign w:val="bottom"/>
          </w:tcPr>
          <w:p>
            <w:pPr>
              <w:pStyle w:val="TableContents"/>
              <w:bidi w:val="0"/>
              <w:spacing w:before="0" w:after="283"/>
              <w:jc w:val="left"/>
              <w:rPr/>
            </w:pPr>
            <w:r>
              <w:rPr/>
              <w:t> </w:t>
            </w:r>
          </w:p>
        </w:tc>
        <w:tc>
          <w:tcPr>
            <w:tcW w:w="824" w:type="dxa"/>
            <w:vMerge w:val="restart"/>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right"/>
              <w:rPr/>
            </w:pPr>
            <w:r>
              <w:rPr/>
              <w:drawing>
                <wp:inline distT="0" distB="0" distL="0" distR="0">
                  <wp:extent cx="46672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6725" cy="4095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283"/>
              <w:jc w:val="left"/>
              <w:rPr>
                <w:b/>
                <w:color w:val="0B5285"/>
              </w:rPr>
            </w:pPr>
            <w:r>
              <w:rPr>
                <w:b/>
                <w:color w:val="0B5285"/>
              </w:rPr>
              <w:t>Internet:</w:t>
            </w:r>
          </w:p>
        </w:tc>
      </w:tr>
      <w:tr>
        <w:trPr/>
        <w:tc>
          <w:tcPr>
            <w:tcW w:w="5606" w:type="dxa"/>
            <w:vMerge w:val="restart"/>
            <w:tcBorders>
              <w:bottom w:val="single" w:sz="28" w:space="0" w:color="51C1B1"/>
            </w:tcBorders>
            <w:shd w:fill="0B5285" w:val="clear"/>
            <w:tcMar>
              <w:bottom w:w="28" w:type="dxa"/>
            </w:tcMar>
            <w:vAlign w:val="center"/>
          </w:tcPr>
          <w:p>
            <w:pPr>
              <w:pStyle w:val="TableContents"/>
              <w:bidi w:val="0"/>
              <w:spacing w:before="0" w:after="283"/>
              <w:jc w:val="center"/>
              <w:rPr>
                <w:b/>
                <w:color w:val="FFFFFF"/>
                <w:sz w:val="28"/>
              </w:rPr>
            </w:pPr>
            <w:r>
              <w:rPr>
                <w:b/>
                <w:color w:val="FFFFFF"/>
                <w:sz w:val="28"/>
              </w:rPr>
              <w:t>Annual Meeting of Stockholders</w:t>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283"/>
              <w:jc w:val="left"/>
              <w:rPr>
                <w:b/>
                <w:color w:val="51C1B1"/>
              </w:rPr>
            </w:pPr>
            <w:r>
              <w:rPr>
                <w:b/>
                <w:color w:val="51C1B1"/>
              </w:rPr>
              <w:t>www.proxypush.com/ERAS</w:t>
            </w:r>
          </w:p>
        </w:tc>
      </w:tr>
      <w:tr>
        <w:trPr/>
        <w:tc>
          <w:tcPr>
            <w:tcW w:w="5606" w:type="dxa"/>
            <w:vMerge w:val="continue"/>
            <w:tcBorders>
              <w:bottom w:val="single" w:sz="28" w:space="0" w:color="51C1B1"/>
            </w:tcBorders>
            <w:shd w:fill="0B5285" w:val="clear"/>
            <w:tcMar>
              <w:bottom w:w="28" w:type="dxa"/>
            </w:tcMar>
            <w:vAlign w:val="center"/>
          </w:tcPr>
          <w:p>
            <w:pPr>
              <w:pStyle w:val="Normal"/>
              <w:bidi w:val="0"/>
              <w:jc w:val="left"/>
              <w:rPr/>
            </w:pPr>
            <w:r>
              <w:rPr/>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r>
              <w:rPr>
                <w:rFonts w:ascii="ARIAL" w:hAnsi="ARIAL"/>
                <w:sz w:val="14"/>
              </w:rPr>
              <w:t>Cast your vote online</w:t>
            </w:r>
          </w:p>
        </w:tc>
      </w:tr>
      <w:tr>
        <w:trPr/>
        <w:tc>
          <w:tcPr>
            <w:tcW w:w="5606" w:type="dxa"/>
            <w:vMerge w:val="continue"/>
            <w:tcBorders>
              <w:bottom w:val="single" w:sz="28" w:space="0" w:color="51C1B1"/>
            </w:tcBorders>
            <w:shd w:fill="0B5285" w:val="clear"/>
            <w:tcMar>
              <w:bottom w:w="28" w:type="dxa"/>
            </w:tcMar>
            <w:vAlign w:val="center"/>
          </w:tcPr>
          <w:p>
            <w:pPr>
              <w:pStyle w:val="Normal"/>
              <w:bidi w:val="0"/>
              <w:jc w:val="left"/>
              <w:rPr/>
            </w:pPr>
            <w:r>
              <w:rPr/>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r>
              <w:rPr>
                <w:rFonts w:ascii="ARIAL" w:hAnsi="ARIAL"/>
                <w:b/>
                <w:sz w:val="14"/>
              </w:rPr>
              <w:t>Have your Proxy Card ready</w:t>
            </w:r>
          </w:p>
        </w:tc>
      </w:tr>
      <w:tr>
        <w:trPr/>
        <w:tc>
          <w:tcPr>
            <w:tcW w:w="5606" w:type="dxa"/>
            <w:tcBorders/>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For Stockholders of record as of April 24, 2024</w:t>
            </w:r>
          </w:p>
          <w:p>
            <w:pPr>
              <w:pStyle w:val="TableContents"/>
              <w:bidi w:val="0"/>
              <w:spacing w:before="0" w:after="20"/>
              <w:jc w:val="left"/>
              <w:rPr/>
            </w:pPr>
            <w:r>
              <w:rPr/>
              <w:t> </w:t>
            </w:r>
          </w:p>
        </w:tc>
        <w:tc>
          <w:tcPr>
            <w:tcW w:w="104" w:type="dxa"/>
            <w:vMerge w:val="restart"/>
            <w:tcBorders/>
            <w:vAlign w:val="bottom"/>
          </w:tcPr>
          <w:p>
            <w:pPr>
              <w:pStyle w:val="TableContents"/>
              <w:bidi w:val="0"/>
              <w:spacing w:before="0" w:after="283"/>
              <w:jc w:val="left"/>
              <w:rPr/>
            </w:pPr>
            <w:r>
              <w:rPr/>
              <w:t> </w:t>
            </w:r>
          </w:p>
        </w:tc>
        <w:tc>
          <w:tcPr>
            <w:tcW w:w="824" w:type="dxa"/>
            <w:vMerge w:val="restart"/>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right"/>
              <w:rPr/>
            </w:pPr>
            <w:r>
              <w:rPr/>
              <w:drawing>
                <wp:inline distT="0" distB="0" distL="0" distR="0">
                  <wp:extent cx="361950"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1950" cy="4857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r>
              <w:rPr>
                <w:rFonts w:ascii="ARIAL" w:hAnsi="ARIAL"/>
                <w:sz w:val="14"/>
              </w:rPr>
              <w:t>Follow the simple instructions to record your vote</w:t>
            </w:r>
          </w:p>
          <w:p>
            <w:pPr>
              <w:pStyle w:val="TableContents"/>
              <w:bidi w:val="0"/>
              <w:spacing w:before="0" w:after="20"/>
              <w:jc w:val="left"/>
              <w:rPr/>
            </w:pPr>
            <w:r>
              <w:rPr/>
              <w:t> </w:t>
            </w:r>
          </w:p>
        </w:tc>
      </w:tr>
      <w:tr>
        <w:trPr/>
        <w:tc>
          <w:tcPr>
            <w:tcW w:w="5606" w:type="dxa"/>
            <w:vMerge w:val="restart"/>
            <w:tcBorders/>
          </w:tcPr>
          <w:p>
            <w:pPr>
              <w:pStyle w:val="TableContents"/>
              <w:bidi w:val="0"/>
              <w:spacing w:before="0" w:after="0"/>
              <w:jc w:val="center"/>
              <w:rPr>
                <w:rFonts w:ascii="ARIAL" w:hAnsi="ARIAL"/>
                <w:color w:val="0B5285"/>
                <w:sz w:val="18"/>
              </w:rPr>
            </w:pPr>
            <w:r>
              <w:rPr>
                <w:rFonts w:ascii="ARIAL" w:hAnsi="ARIAL"/>
                <w:color w:val="0B5285"/>
                <w:sz w:val="18"/>
              </w:rPr>
              <w:t>Thursday, June 20, 2024 11:30 AM, Pacific Time</w:t>
            </w:r>
          </w:p>
          <w:p>
            <w:pPr>
              <w:pStyle w:val="TableContents"/>
              <w:bidi w:val="0"/>
              <w:spacing w:before="0" w:after="0"/>
              <w:jc w:val="left"/>
              <w:rPr/>
            </w:pPr>
            <w:r>
              <w:rPr/>
              <w:t> </w:t>
            </w:r>
          </w:p>
          <w:p>
            <w:pPr>
              <w:pStyle w:val="TableContents"/>
              <w:bidi w:val="0"/>
              <w:spacing w:before="0" w:after="0"/>
              <w:jc w:val="center"/>
              <w:rPr>
                <w:rFonts w:ascii="ARIAL" w:hAnsi="ARIAL"/>
                <w:color w:val="0B5285"/>
                <w:sz w:val="18"/>
              </w:rPr>
            </w:pPr>
            <w:r>
              <w:rPr>
                <w:rFonts w:ascii="ARIAL" w:hAnsi="ARIAL"/>
                <w:color w:val="0B5285"/>
                <w:sz w:val="18"/>
              </w:rPr>
              <w:t>Annual Meeting to be held live via the Internet - please visit</w:t>
            </w:r>
          </w:p>
          <w:p>
            <w:pPr>
              <w:pStyle w:val="TableContents"/>
              <w:bidi w:val="0"/>
              <w:spacing w:before="0" w:after="0"/>
              <w:jc w:val="left"/>
              <w:rPr/>
            </w:pPr>
            <w:r>
              <w:rPr/>
              <w:t> </w:t>
            </w:r>
          </w:p>
          <w:p>
            <w:pPr>
              <w:pStyle w:val="TableContents"/>
              <w:bidi w:val="0"/>
              <w:spacing w:before="0" w:after="0"/>
              <w:jc w:val="center"/>
              <w:rPr>
                <w:rFonts w:ascii="ARIAL" w:hAnsi="ARIAL"/>
                <w:color w:val="0B5285"/>
                <w:sz w:val="18"/>
              </w:rPr>
            </w:pPr>
            <w:r>
              <w:rPr>
                <w:rFonts w:ascii="ARIAL" w:hAnsi="ARIAL"/>
                <w:color w:val="0B5285"/>
                <w:sz w:val="18"/>
              </w:rPr>
              <w:t>www.proxydocs.com/ERAS for more details.</w:t>
            </w:r>
          </w:p>
          <w:p>
            <w:pPr>
              <w:pStyle w:val="TableContents"/>
              <w:pBdr>
                <w:bottom w:val="single" w:sz="2" w:space="1" w:color="0B5285"/>
              </w:pBdr>
              <w:bidi w:val="0"/>
              <w:spacing w:before="0" w:after="20"/>
              <w:jc w:val="left"/>
              <w:rPr/>
            </w:pPr>
            <w:r>
              <w:rPr/>
              <w:t> </w:t>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283"/>
              <w:jc w:val="left"/>
              <w:rPr>
                <w:b/>
                <w:color w:val="0B5285"/>
              </w:rPr>
            </w:pPr>
            <w:r>
              <w:rPr>
                <w:b/>
                <w:color w:val="0B5285"/>
              </w:rPr>
              <w:t>Phone:</w:t>
            </w:r>
          </w:p>
        </w:tc>
      </w:tr>
      <w:tr>
        <w:trPr/>
        <w:tc>
          <w:tcPr>
            <w:tcW w:w="5606" w:type="dxa"/>
            <w:vMerge w:val="continue"/>
            <w:tcBorders/>
            <w:vAlign w:val="bottom"/>
          </w:tcPr>
          <w:p>
            <w:pPr>
              <w:pStyle w:val="Normal"/>
              <w:bidi w:val="0"/>
              <w:jc w:val="left"/>
              <w:rPr/>
            </w:pPr>
            <w:r>
              <w:rPr/>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283"/>
              <w:jc w:val="left"/>
              <w:rPr>
                <w:b/>
                <w:color w:val="51C1B1"/>
              </w:rPr>
            </w:pPr>
            <w:r>
              <w:rPr>
                <w:b/>
                <w:color w:val="51C1B1"/>
              </w:rPr>
              <w:t>1-866-574-1406</w:t>
            </w:r>
          </w:p>
        </w:tc>
      </w:tr>
      <w:tr>
        <w:trPr/>
        <w:tc>
          <w:tcPr>
            <w:tcW w:w="5606" w:type="dxa"/>
            <w:vMerge w:val="continue"/>
            <w:tcBorders/>
            <w:vAlign w:val="bottom"/>
          </w:tcPr>
          <w:p>
            <w:pPr>
              <w:pStyle w:val="Normal"/>
              <w:bidi w:val="0"/>
              <w:jc w:val="left"/>
              <w:rPr/>
            </w:pPr>
            <w:r>
              <w:rPr/>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r>
              <w:rPr>
                <w:rFonts w:ascii="ARIAL" w:hAnsi="ARIAL"/>
                <w:sz w:val="14"/>
              </w:rPr>
              <w:t>Use any touch-tone telephone</w:t>
            </w:r>
          </w:p>
        </w:tc>
      </w:tr>
      <w:tr>
        <w:trPr/>
        <w:tc>
          <w:tcPr>
            <w:tcW w:w="5606" w:type="dxa"/>
            <w:vMerge w:val="continue"/>
            <w:tcBorders/>
            <w:vAlign w:val="bottom"/>
          </w:tcPr>
          <w:p>
            <w:pPr>
              <w:pStyle w:val="Normal"/>
              <w:bidi w:val="0"/>
              <w:jc w:val="left"/>
              <w:rPr/>
            </w:pPr>
            <w:r>
              <w:rPr/>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r>
              <w:rPr>
                <w:rFonts w:ascii="ARIAL" w:hAnsi="ARIAL"/>
                <w:b/>
                <w:sz w:val="14"/>
              </w:rPr>
              <w:t>Have your Proxy Card ready</w:t>
            </w:r>
          </w:p>
        </w:tc>
      </w:tr>
      <w:tr>
        <w:trPr/>
        <w:tc>
          <w:tcPr>
            <w:tcW w:w="5606" w:type="dxa"/>
            <w:vMerge w:val="continue"/>
            <w:tcBorders/>
            <w:vAlign w:val="bottom"/>
          </w:tcPr>
          <w:p>
            <w:pPr>
              <w:pStyle w:val="Normal"/>
              <w:bidi w:val="0"/>
              <w:jc w:val="left"/>
              <w:rPr/>
            </w:pPr>
            <w:r>
              <w:rPr/>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r>
              <w:rPr>
                <w:rFonts w:ascii="ARIAL" w:hAnsi="ARIAL"/>
                <w:sz w:val="14"/>
              </w:rPr>
              <w:t>Follow the simple recorded instructions</w:t>
            </w:r>
          </w:p>
        </w:tc>
      </w:tr>
      <w:tr>
        <w:trPr/>
        <w:tc>
          <w:tcPr>
            <w:tcW w:w="5606" w:type="dxa"/>
            <w:tcBorders/>
          </w:tcPr>
          <w:p>
            <w:pPr>
              <w:pStyle w:val="TableContents"/>
              <w:bidi w:val="0"/>
              <w:spacing w:before="0" w:after="283"/>
              <w:jc w:val="left"/>
              <w:rPr>
                <w:sz w:val="4"/>
                <w:szCs w:val="4"/>
              </w:rPr>
            </w:pPr>
            <w:r>
              <w:rPr>
                <w:sz w:val="4"/>
                <w:szCs w:val="4"/>
              </w:rPr>
            </w:r>
          </w:p>
        </w:tc>
        <w:tc>
          <w:tcPr>
            <w:tcW w:w="104" w:type="dxa"/>
            <w:vMerge w:val="restart"/>
            <w:tcBorders/>
            <w:vAlign w:val="bottom"/>
          </w:tcPr>
          <w:p>
            <w:pPr>
              <w:pStyle w:val="TableContents"/>
              <w:bidi w:val="0"/>
              <w:spacing w:before="0" w:after="283"/>
              <w:jc w:val="left"/>
              <w:rPr/>
            </w:pPr>
            <w:r>
              <w:rPr/>
              <w:t> </w:t>
            </w:r>
          </w:p>
        </w:tc>
        <w:tc>
          <w:tcPr>
            <w:tcW w:w="824" w:type="dxa"/>
            <w:vMerge w:val="restart"/>
            <w:tcBorders/>
          </w:tcPr>
          <w:p>
            <w:pPr>
              <w:pStyle w:val="TableContents"/>
              <w:bidi w:val="0"/>
              <w:spacing w:before="0" w:after="20"/>
              <w:jc w:val="right"/>
              <w:rPr/>
            </w:pPr>
            <w:r>
              <w:rPr/>
              <w:drawing>
                <wp:inline distT="0" distB="0" distL="0" distR="0">
                  <wp:extent cx="466725"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66725" cy="42862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p>
          <w:p>
            <w:pPr>
              <w:pStyle w:val="TableContents"/>
              <w:bidi w:val="0"/>
              <w:spacing w:before="0" w:after="20"/>
              <w:jc w:val="left"/>
              <w:rPr>
                <w:rFonts w:ascii="ARIAL" w:hAnsi="ARIAL"/>
                <w:b/>
                <w:color w:val="0B5285"/>
                <w:sz w:val="20"/>
              </w:rPr>
            </w:pPr>
            <w:r>
              <w:rPr>
                <w:rFonts w:ascii="ARIAL" w:hAnsi="ARIAL"/>
                <w:b/>
                <w:color w:val="0B5285"/>
                <w:sz w:val="20"/>
              </w:rPr>
              <w:t>Mail:</w:t>
            </w:r>
          </w:p>
        </w:tc>
      </w:tr>
      <w:tr>
        <w:trPr/>
        <w:tc>
          <w:tcPr>
            <w:tcW w:w="5606" w:type="dxa"/>
            <w:tcBorders/>
          </w:tcPr>
          <w:p>
            <w:pPr>
              <w:pStyle w:val="TableContents"/>
              <w:bidi w:val="0"/>
              <w:spacing w:before="0" w:after="283"/>
              <w:jc w:val="left"/>
              <w:rPr>
                <w:sz w:val="4"/>
                <w:szCs w:val="4"/>
              </w:rPr>
            </w:pPr>
            <w:r>
              <w:rPr>
                <w:sz w:val="4"/>
                <w:szCs w:val="4"/>
              </w:rPr>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r>
              <w:rPr>
                <w:rFonts w:ascii="ARIAL" w:hAnsi="ARIAL"/>
                <w:sz w:val="14"/>
              </w:rPr>
              <w:t>Mark, sign and date your Proxy Card</w:t>
            </w:r>
          </w:p>
        </w:tc>
      </w:tr>
      <w:tr>
        <w:trPr/>
        <w:tc>
          <w:tcPr>
            <w:tcW w:w="5606" w:type="dxa"/>
            <w:tcBorders/>
          </w:tcPr>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20"/>
              <w:jc w:val="center"/>
              <w:rPr>
                <w:rFonts w:ascii="ARIAL" w:hAnsi="ARIAL"/>
                <w:b/>
                <w:sz w:val="20"/>
              </w:rPr>
            </w:pPr>
            <w:r>
              <w:rPr>
                <w:rFonts w:ascii="ARIAL" w:hAnsi="ARIAL"/>
                <w:b/>
                <w:sz w:val="20"/>
              </w:rPr>
              <w:t>PLEASE VOTE BY: 11:30 AM, Pacific Time June 20, 2024.</w:t>
            </w:r>
          </w:p>
        </w:tc>
        <w:tc>
          <w:tcPr>
            <w:tcW w:w="104" w:type="dxa"/>
            <w:vMerge w:val="continue"/>
            <w:tcBorders/>
            <w:vAlign w:val="bottom"/>
          </w:tcPr>
          <w:p>
            <w:pPr>
              <w:pStyle w:val="Normal"/>
              <w:bidi w:val="0"/>
              <w:jc w:val="left"/>
              <w:rPr/>
            </w:pPr>
            <w:r>
              <w:rPr/>
            </w:r>
          </w:p>
        </w:tc>
        <w:tc>
          <w:tcPr>
            <w:tcW w:w="824"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0"/>
              <w:jc w:val="left"/>
              <w:rPr/>
            </w:pPr>
            <w:r>
              <w:rPr/>
              <w:t>●   </w:t>
            </w:r>
            <w:r>
              <w:rPr>
                <w:rFonts w:ascii="ARIAL" w:hAnsi="ARIAL"/>
                <w:sz w:val="14"/>
              </w:rPr>
              <w:t>Fold and return your Proxy Card in the postage-paid envelope provided</w:t>
            </w:r>
          </w:p>
        </w:tc>
      </w:tr>
    </w:tbl>
    <w:p>
      <w:pPr>
        <w:pStyle w:val="TextBody"/>
        <w:bidi w:val="0"/>
        <w:spacing w:before="0" w:after="0"/>
        <w:jc w:val="left"/>
        <w:rPr/>
      </w:pPr>
      <w:r>
        <w:rPr/>
        <w:t> </w:t>
      </w:r>
    </w:p>
    <w:p>
      <w:pPr>
        <w:pStyle w:val="TextBody"/>
        <w:bidi w:val="0"/>
        <w:spacing w:before="120" w:after="0"/>
        <w:jc w:val="left"/>
        <w:rPr>
          <w:rFonts w:ascii="ARIAL" w:hAnsi="ARIAL"/>
          <w:b/>
          <w:color w:val="0B5285"/>
          <w:sz w:val="20"/>
        </w:rPr>
      </w:pPr>
      <w:r>
        <w:rPr>
          <w:rFonts w:ascii="ARIAL" w:hAnsi="ARIAL"/>
          <w:b/>
          <w:color w:val="0B5285"/>
          <w:sz w:val="20"/>
        </w:rPr>
        <w:t xml:space="preserve">This proxy is being solicited on behalf of the Board of Directors </w:t>
      </w:r>
    </w:p>
    <w:p>
      <w:pPr>
        <w:pStyle w:val="TextBody"/>
        <w:bidi w:val="0"/>
        <w:spacing w:before="120" w:after="0"/>
        <w:jc w:val="left"/>
        <w:rPr>
          <w:rFonts w:ascii="ARIAL" w:hAnsi="ARIAL"/>
          <w:sz w:val="16"/>
        </w:rPr>
      </w:pPr>
      <w:r>
        <w:rPr>
          <w:rFonts w:ascii="ARIAL" w:hAnsi="ARIAL"/>
          <w:sz w:val="16"/>
        </w:rPr>
        <w:t xml:space="preserve">The undersigned hereby appoints Jonathan E. Lim, M.D., and Ebun S. Garner (the Named Proxies), and each or either of them, as the true and lawful attorneys of the undersigned, with full power of substitution and revocation, and authorizes them, and each of them, to vote all the shares of capital stock of Erasca,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60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2024 BetaNXT, Inc. or its affiliates. All Rights Reserved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597"/>
        <w:gridCol w:w="120"/>
        <w:gridCol w:w="4488"/>
      </w:tblGrid>
      <w:tr>
        <w:trPr/>
        <w:tc>
          <w:tcPr>
            <w:tcW w:w="55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88" w:type="dxa"/>
            <w:tcBorders/>
            <w:vAlign w:val="center"/>
          </w:tcPr>
          <w:p>
            <w:pPr>
              <w:pStyle w:val="TableContents"/>
              <w:bidi w:val="0"/>
              <w:spacing w:before="0" w:after="283"/>
              <w:jc w:val="left"/>
              <w:rPr>
                <w:sz w:val="4"/>
                <w:szCs w:val="4"/>
              </w:rPr>
            </w:pPr>
            <w:r>
              <w:rPr>
                <w:sz w:val="4"/>
                <w:szCs w:val="4"/>
              </w:rPr>
            </w:r>
          </w:p>
        </w:tc>
      </w:tr>
      <w:tr>
        <w:trPr/>
        <w:tc>
          <w:tcPr>
            <w:tcW w:w="5597" w:type="dxa"/>
            <w:tcBorders/>
          </w:tcPr>
          <w:p>
            <w:pPr>
              <w:pStyle w:val="TableContents"/>
              <w:bidi w:val="0"/>
              <w:spacing w:before="0" w:after="283"/>
              <w:jc w:val="left"/>
              <w:rPr/>
            </w:pPr>
            <w:r>
              <w:rPr/>
              <w:drawing>
                <wp:inline distT="0" distB="0" distL="0" distR="0">
                  <wp:extent cx="2733675" cy="542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33675" cy="5429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right"/>
              <w:rPr>
                <w:b/>
                <w:color w:val="0B5285"/>
              </w:rPr>
            </w:pPr>
            <w:r>
              <w:rPr>
                <w:b/>
                <w:color w:val="0B5285"/>
              </w:rPr>
              <w:t>Erasca, Inc. Annual Meeting of Stockholders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3"/>
        <w:gridCol w:w="108"/>
        <w:gridCol w:w="3799"/>
        <w:gridCol w:w="108"/>
        <w:gridCol w:w="3767"/>
      </w:tblGrid>
      <w:tr>
        <w:trPr/>
        <w:tc>
          <w:tcPr>
            <w:tcW w:w="242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2423" w:type="dxa"/>
            <w:tcBorders/>
            <w:vAlign w:val="center"/>
          </w:tcPr>
          <w:p>
            <w:pPr>
              <w:pStyle w:val="TableContents"/>
              <w:bidi w:val="0"/>
              <w:spacing w:before="0" w:after="283"/>
              <w:jc w:val="left"/>
              <w:rPr>
                <w:b/>
                <w:sz w:val="16"/>
              </w:rPr>
            </w:pPr>
            <w:r>
              <w:rPr>
                <w:b/>
                <w:sz w:val="16"/>
              </w:rPr>
              <w:t>Please make your marks like this:</w:t>
            </w:r>
          </w:p>
        </w:tc>
        <w:tc>
          <w:tcPr>
            <w:tcW w:w="108" w:type="dxa"/>
            <w:tcBorders/>
            <w:vAlign w:val="bottom"/>
          </w:tcPr>
          <w:p>
            <w:pPr>
              <w:pStyle w:val="TableContents"/>
              <w:bidi w:val="0"/>
              <w:spacing w:before="0" w:after="283"/>
              <w:jc w:val="left"/>
              <w:rPr/>
            </w:pPr>
            <w:r>
              <w:rPr/>
              <w:t> </w:t>
            </w:r>
          </w:p>
        </w:tc>
        <w:tc>
          <w:tcPr>
            <w:tcW w:w="3799" w:type="dxa"/>
            <w:tcBorders/>
            <w:vAlign w:val="center"/>
          </w:tcPr>
          <w:p>
            <w:pPr>
              <w:pStyle w:val="TableContents"/>
              <w:bidi w:val="0"/>
              <w:spacing w:before="0" w:after="283"/>
              <w:jc w:val="left"/>
              <w:rPr/>
            </w:pPr>
            <w:r>
              <w:rPr/>
              <w:t>☒</w:t>
            </w:r>
          </w:p>
        </w:tc>
        <w:tc>
          <w:tcPr>
            <w:tcW w:w="108" w:type="dxa"/>
            <w:tcBorders/>
            <w:vAlign w:val="bottom"/>
          </w:tcPr>
          <w:p>
            <w:pPr>
              <w:pStyle w:val="TableContents"/>
              <w:bidi w:val="0"/>
              <w:spacing w:before="0" w:after="283"/>
              <w:jc w:val="left"/>
              <w:rPr/>
            </w:pPr>
            <w:r>
              <w:rPr/>
              <w:t> </w:t>
            </w:r>
          </w:p>
        </w:tc>
        <w:tc>
          <w:tcPr>
            <w:tcW w:w="3767" w:type="dxa"/>
            <w:tcBorders/>
            <w:vAlign w:val="bottom"/>
          </w:tcPr>
          <w:p>
            <w:pPr>
              <w:pStyle w:val="TableContents"/>
              <w:bidi w:val="0"/>
              <w:spacing w:before="0" w:after="283"/>
              <w:jc w:val="left"/>
              <w:rPr/>
            </w:pPr>
            <w:r>
              <w:rPr/>
              <w:t> </w:t>
            </w:r>
          </w:p>
        </w:tc>
      </w:tr>
    </w:tbl>
    <w:p>
      <w:pPr>
        <w:pStyle w:val="TextBody"/>
        <w:bidi w:val="0"/>
        <w:spacing w:before="120" w:after="0"/>
        <w:jc w:val="left"/>
        <w:rPr>
          <w:rFonts w:ascii="ARIAL" w:hAnsi="ARIAL"/>
          <w:sz w:val="16"/>
        </w:rPr>
      </w:pPr>
      <w:r>
        <w:rPr>
          <w:rFonts w:ascii="ARIAL" w:hAnsi="ARIAL"/>
          <w:b/>
          <w:sz w:val="16"/>
        </w:rPr>
        <w:t>THE BOARD OF DIRECTORS RECOMMENDS A VOTE:</w:t>
      </w:r>
      <w:r>
        <w:rPr>
          <w:rFonts w:ascii="ARIAL" w:hAnsi="ARIAL"/>
          <w:sz w:val="16"/>
        </w:rPr>
        <w:t xml:space="preserve"> </w:t>
      </w:r>
    </w:p>
    <w:p>
      <w:pPr>
        <w:pStyle w:val="TextBody"/>
        <w:bidi w:val="0"/>
        <w:spacing w:before="0" w:after="0"/>
        <w:jc w:val="left"/>
        <w:rPr/>
      </w:pPr>
      <w:r>
        <w:rPr/>
        <w:t>  </w:t>
      </w:r>
      <w:r>
        <w:rPr>
          <w:rFonts w:ascii="ARIAL" w:hAnsi="ARIAL"/>
          <w:b/>
          <w:sz w:val="16"/>
        </w:rPr>
        <w:t>FOR</w:t>
      </w:r>
      <w:r>
        <w:rPr>
          <w:rFonts w:ascii="ARIAL" w:hAnsi="ARIAL"/>
          <w:sz w:val="16"/>
        </w:rPr>
        <w:t xml:space="preserve"> ON PROPOSALS 1 AND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
        <w:gridCol w:w="144"/>
        <w:gridCol w:w="4998"/>
        <w:gridCol w:w="144"/>
        <w:gridCol w:w="552"/>
        <w:gridCol w:w="120"/>
        <w:gridCol w:w="1403"/>
        <w:gridCol w:w="144"/>
        <w:gridCol w:w="1143"/>
        <w:gridCol w:w="144"/>
        <w:gridCol w:w="1122"/>
      </w:tblGrid>
      <w:tr>
        <w:trPr/>
        <w:tc>
          <w:tcPr>
            <w:tcW w:w="29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499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291" w:type="dxa"/>
            <w:tcBorders/>
            <w:shd w:fill="CCCCCC" w:val="clear"/>
            <w:vAlign w:val="bottom"/>
          </w:tcPr>
          <w:p>
            <w:pPr>
              <w:pStyle w:val="TableContents"/>
              <w:bidi w:val="0"/>
              <w:spacing w:before="0" w:after="283"/>
              <w:jc w:val="left"/>
              <w:rPr>
                <w:sz w:val="4"/>
                <w:szCs w:val="4"/>
              </w:rPr>
            </w:pPr>
            <w:r>
              <w:rPr>
                <w:sz w:val="4"/>
                <w:szCs w:val="4"/>
              </w:rPr>
            </w:r>
          </w:p>
        </w:tc>
        <w:tc>
          <w:tcPr>
            <w:tcW w:w="144" w:type="dxa"/>
            <w:tcBorders/>
            <w:shd w:fill="CCCCCC" w:val="clear"/>
            <w:vAlign w:val="bottom"/>
          </w:tcPr>
          <w:p>
            <w:pPr>
              <w:pStyle w:val="TableContents"/>
              <w:bidi w:val="0"/>
              <w:spacing w:before="0" w:after="283"/>
              <w:jc w:val="left"/>
              <w:rPr/>
            </w:pPr>
            <w:r>
              <w:rPr/>
              <w:t>  </w:t>
            </w:r>
          </w:p>
        </w:tc>
        <w:tc>
          <w:tcPr>
            <w:tcW w:w="4998" w:type="dxa"/>
            <w:tcBorders/>
            <w:shd w:fill="CCCCCC" w:val="clear"/>
            <w:vAlign w:val="bottom"/>
          </w:tcPr>
          <w:p>
            <w:pPr>
              <w:pStyle w:val="TableContents"/>
              <w:bidi w:val="0"/>
              <w:spacing w:before="0" w:after="0"/>
              <w:jc w:val="left"/>
              <w:rPr>
                <w:rFonts w:ascii="ARIAL" w:hAnsi="ARIAL"/>
                <w:b/>
                <w:sz w:val="12"/>
              </w:rPr>
            </w:pPr>
            <w:r>
              <w:rPr>
                <w:rFonts w:ascii="ARIAL" w:hAnsi="ARIAL"/>
                <w:b/>
                <w:sz w:val="12"/>
              </w:rPr>
              <w:t>PROPOSAL</w:t>
            </w:r>
          </w:p>
          <w:p>
            <w:pPr>
              <w:pStyle w:val="TableContents"/>
              <w:bidi w:val="0"/>
              <w:spacing w:before="0" w:after="20"/>
              <w:jc w:val="left"/>
              <w:rPr/>
            </w:pPr>
            <w:r>
              <w:rPr/>
              <w:t> </w:t>
            </w:r>
          </w:p>
        </w:tc>
        <w:tc>
          <w:tcPr>
            <w:tcW w:w="144" w:type="dxa"/>
            <w:tcBorders/>
            <w:shd w:fill="CCCCCC" w:val="clear"/>
            <w:vAlign w:val="bottom"/>
          </w:tcPr>
          <w:p>
            <w:pPr>
              <w:pStyle w:val="TableContents"/>
              <w:bidi w:val="0"/>
              <w:spacing w:before="0" w:after="283"/>
              <w:jc w:val="left"/>
              <w:rPr/>
            </w:pPr>
            <w:r>
              <w:rPr/>
              <w:t>  </w:t>
            </w:r>
          </w:p>
        </w:tc>
        <w:tc>
          <w:tcPr>
            <w:tcW w:w="3362" w:type="dxa"/>
            <w:gridSpan w:val="5"/>
            <w:tcBorders>
              <w:right w:val="single" w:sz="2" w:space="0" w:color="585858"/>
            </w:tcBorders>
            <w:shd w:fill="CCCCCC" w:val="clear"/>
            <w:tcMar>
              <w:right w:w="28" w:type="dxa"/>
            </w:tcMar>
            <w:vAlign w:val="bottom"/>
          </w:tcPr>
          <w:p>
            <w:pPr>
              <w:pStyle w:val="TableContents"/>
              <w:bidi w:val="0"/>
              <w:jc w:val="center"/>
              <w:rPr/>
            </w:pPr>
            <w:r>
              <w:rPr>
                <w:b/>
              </w:rPr>
              <w:t>YOUR VOTE</w:t>
            </w:r>
            <w:r>
              <w:rPr/>
              <w:t xml:space="preserve"> </w:t>
            </w:r>
          </w:p>
          <w:p>
            <w:pPr>
              <w:pStyle w:val="TableContents"/>
              <w:bidi w:val="0"/>
              <w:spacing w:before="0" w:after="20"/>
              <w:jc w:val="left"/>
              <w:rPr/>
            </w:pPr>
            <w:r>
              <w:rPr/>
              <w:t> </w:t>
            </w:r>
          </w:p>
        </w:tc>
        <w:tc>
          <w:tcPr>
            <w:tcW w:w="144"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0"/>
              <w:jc w:val="center"/>
              <w:rPr>
                <w:rFonts w:ascii="ARIAL" w:hAnsi="ARIAL"/>
                <w:b/>
                <w:sz w:val="12"/>
              </w:rPr>
            </w:pPr>
            <w:r>
              <w:rPr>
                <w:rFonts w:ascii="ARIAL" w:hAnsi="ARIAL"/>
                <w:b/>
                <w:sz w:val="12"/>
              </w:rPr>
              <w:t>BOARD OF DIRECTORS RECOMMENDS</w:t>
            </w:r>
          </w:p>
          <w:p>
            <w:pPr>
              <w:pStyle w:val="TableContents"/>
              <w:bidi w:val="0"/>
              <w:spacing w:before="0" w:after="20"/>
              <w:jc w:val="left"/>
              <w:rPr/>
            </w:pPr>
            <w:r>
              <w:rPr/>
              <w:t> </w:t>
            </w:r>
          </w:p>
        </w:tc>
      </w:tr>
      <w:tr>
        <w:trPr/>
        <w:tc>
          <w:tcPr>
            <w:tcW w:w="291" w:type="dxa"/>
            <w:tcBorders/>
          </w:tcPr>
          <w:p>
            <w:pPr>
              <w:pStyle w:val="TableContents"/>
              <w:bidi w:val="0"/>
              <w:spacing w:before="0" w:after="283"/>
              <w:jc w:val="left"/>
              <w:rPr>
                <w:sz w:val="16"/>
              </w:rPr>
            </w:pPr>
            <w:r>
              <w:rPr>
                <w:sz w:val="16"/>
              </w:rPr>
              <w:t>1.</w:t>
            </w:r>
          </w:p>
        </w:tc>
        <w:tc>
          <w:tcPr>
            <w:tcW w:w="144" w:type="dxa"/>
            <w:tcBorders/>
            <w:vAlign w:val="bottom"/>
          </w:tcPr>
          <w:p>
            <w:pPr>
              <w:pStyle w:val="TableContents"/>
              <w:bidi w:val="0"/>
              <w:spacing w:before="0" w:after="283"/>
              <w:jc w:val="left"/>
              <w:rPr/>
            </w:pPr>
            <w:r>
              <w:rPr/>
              <w:t>  </w:t>
            </w:r>
          </w:p>
        </w:tc>
        <w:tc>
          <w:tcPr>
            <w:tcW w:w="4998" w:type="dxa"/>
            <w:tcBorders/>
          </w:tcPr>
          <w:p>
            <w:pPr>
              <w:pStyle w:val="TableContents"/>
              <w:bidi w:val="0"/>
              <w:spacing w:before="0" w:after="283"/>
              <w:jc w:val="left"/>
              <w:rPr>
                <w:sz w:val="16"/>
              </w:rPr>
            </w:pPr>
            <w:r>
              <w:rPr>
                <w:sz w:val="16"/>
              </w:rPr>
              <w:t>To elect two directors to serve as Class III directors for a three-year term expiring at the 2027 Annual Meeting of Stockholders and until their respective successors shall have been duly elected and qualified;</w:t>
            </w:r>
          </w:p>
        </w:tc>
        <w:tc>
          <w:tcPr>
            <w:tcW w:w="144"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center"/>
              <w:rPr>
                <w:b/>
              </w:rPr>
            </w:pPr>
            <w:r>
              <w:rPr>
                <w:b/>
              </w:rPr>
              <w:t>FOR</w:t>
            </w:r>
          </w:p>
        </w:tc>
        <w:tc>
          <w:tcPr>
            <w:tcW w:w="12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center"/>
              <w:rPr>
                <w:b/>
              </w:rPr>
            </w:pPr>
            <w:r>
              <w:rPr>
                <w:b/>
              </w:rPr>
              <w:t>WITHHOLD</w:t>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vAlign w:val="bottom"/>
          </w:tcPr>
          <w:p>
            <w:pPr>
              <w:pStyle w:val="TableContents"/>
              <w:bidi w:val="0"/>
              <w:spacing w:before="0" w:after="283"/>
              <w:jc w:val="left"/>
              <w:rPr/>
            </w:pPr>
            <w:r>
              <w:rPr/>
              <w:t> </w:t>
            </w:r>
          </w:p>
        </w:tc>
        <w:tc>
          <w:tcPr>
            <w:tcW w:w="144" w:type="dxa"/>
            <w:vMerge w:val="restart"/>
            <w:tcBorders/>
            <w:vAlign w:val="bottom"/>
          </w:tcPr>
          <w:p>
            <w:pPr>
              <w:pStyle w:val="TableContents"/>
              <w:bidi w:val="0"/>
              <w:spacing w:before="0" w:after="283"/>
              <w:jc w:val="left"/>
              <w:rPr/>
            </w:pPr>
            <w:r>
              <w:rPr/>
              <w:t>  </w:t>
            </w:r>
          </w:p>
        </w:tc>
        <w:tc>
          <w:tcPr>
            <w:tcW w:w="1122" w:type="dxa"/>
            <w:vMerge w:val="restart"/>
            <w:tcBorders/>
            <w:vAlign w:val="bottom"/>
          </w:tcPr>
          <w:p>
            <w:pPr>
              <w:pStyle w:val="TableContents"/>
              <w:bidi w:val="0"/>
              <w:spacing w:before="0" w:after="0"/>
              <w:jc w:val="center"/>
              <w:rPr/>
            </w:pPr>
            <w:r>
              <w:rPr/>
              <w:drawing>
                <wp:inline distT="0" distB="0" distL="0" distR="0">
                  <wp:extent cx="428625" cy="438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8625" cy="438150"/>
                          </a:xfrm>
                          <a:prstGeom prst="rect">
                            <a:avLst/>
                          </a:prstGeom>
                        </pic:spPr>
                      </pic:pic>
                    </a:graphicData>
                  </a:graphic>
                </wp:inline>
              </w:drawing>
            </w:r>
            <w:r>
              <w:rPr/>
              <w:t xml:space="preserve"> </w:t>
            </w:r>
          </w:p>
          <w:p>
            <w:pPr>
              <w:pStyle w:val="TableContents"/>
              <w:bidi w:val="0"/>
              <w:spacing w:before="0" w:after="0"/>
              <w:jc w:val="center"/>
              <w:rPr>
                <w:rFonts w:ascii="ARIAL" w:hAnsi="ARIAL"/>
                <w:b/>
                <w:sz w:val="16"/>
              </w:rPr>
            </w:pPr>
            <w:r>
              <w:rPr>
                <w:rFonts w:ascii="ARIAL" w:hAnsi="ARIAL"/>
                <w:b/>
                <w:sz w:val="16"/>
              </w:rPr>
              <w:t>FOR</w:t>
            </w:r>
          </w:p>
          <w:p>
            <w:pPr>
              <w:pStyle w:val="TableContents"/>
              <w:bidi w:val="0"/>
              <w:spacing w:before="0" w:after="0"/>
              <w:jc w:val="left"/>
              <w:rPr/>
            </w:pPr>
            <w:r>
              <w:rPr/>
              <w:t> </w:t>
            </w:r>
          </w:p>
          <w:p>
            <w:pPr>
              <w:pStyle w:val="TableContents"/>
              <w:bidi w:val="0"/>
              <w:spacing w:before="0" w:after="20"/>
              <w:jc w:val="center"/>
              <w:rPr>
                <w:rFonts w:ascii="ARIAL" w:hAnsi="ARIAL"/>
                <w:b/>
                <w:sz w:val="16"/>
              </w:rPr>
            </w:pPr>
            <w:r>
              <w:rPr>
                <w:rFonts w:ascii="ARIAL" w:hAnsi="ARIAL"/>
                <w:b/>
                <w:sz w:val="16"/>
              </w:rPr>
              <w:t>FOR</w:t>
            </w:r>
          </w:p>
        </w:tc>
      </w:tr>
      <w:tr>
        <w:trPr/>
        <w:tc>
          <w:tcPr>
            <w:tcW w:w="29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4998" w:type="dxa"/>
            <w:tcBorders/>
          </w:tcPr>
          <w:p>
            <w:pPr>
              <w:pStyle w:val="TableContents"/>
              <w:bidi w:val="0"/>
              <w:spacing w:before="0" w:after="283"/>
              <w:jc w:val="left"/>
              <w:rPr>
                <w:sz w:val="16"/>
              </w:rPr>
            </w:pPr>
            <w:r>
              <w:rPr>
                <w:sz w:val="16"/>
              </w:rPr>
              <w:t>1.01 Jean I. Liu, J.D.</w:t>
            </w:r>
          </w:p>
        </w:tc>
        <w:tc>
          <w:tcPr>
            <w:tcW w:w="144"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center"/>
              <w:rPr/>
            </w:pPr>
            <w:r>
              <w:rPr/>
              <w:t>☐</w:t>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tcPr>
          <w:p>
            <w:pPr>
              <w:pStyle w:val="TableContents"/>
              <w:bidi w:val="0"/>
              <w:spacing w:before="0" w:after="283"/>
              <w:jc w:val="left"/>
              <w:rPr/>
            </w:pPr>
            <w:r>
              <w:rPr/>
              <w:t> </w:t>
            </w:r>
          </w:p>
        </w:tc>
        <w:tc>
          <w:tcPr>
            <w:tcW w:w="144" w:type="dxa"/>
            <w:vMerge w:val="continue"/>
            <w:tcBorders/>
            <w:vAlign w:val="bottom"/>
          </w:tcPr>
          <w:p>
            <w:pPr>
              <w:pStyle w:val="Normal"/>
              <w:bidi w:val="0"/>
              <w:jc w:val="left"/>
              <w:rPr/>
            </w:pPr>
            <w:r>
              <w:rPr/>
            </w:r>
          </w:p>
        </w:tc>
        <w:tc>
          <w:tcPr>
            <w:tcW w:w="1122" w:type="dxa"/>
            <w:vMerge w:val="continue"/>
            <w:tcBorders/>
            <w:vAlign w:val="bottom"/>
          </w:tcPr>
          <w:p>
            <w:pPr>
              <w:pStyle w:val="Normal"/>
              <w:bidi w:val="0"/>
              <w:jc w:val="left"/>
              <w:rPr/>
            </w:pPr>
            <w:r>
              <w:rPr/>
            </w:r>
          </w:p>
        </w:tc>
      </w:tr>
      <w:tr>
        <w:trPr/>
        <w:tc>
          <w:tcPr>
            <w:tcW w:w="29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4998"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tcPr>
          <w:p>
            <w:pPr>
              <w:pStyle w:val="TableContents"/>
              <w:bidi w:val="0"/>
              <w:spacing w:before="0" w:after="283"/>
              <w:jc w:val="left"/>
              <w:rPr/>
            </w:pPr>
            <w:r>
              <w:rPr/>
              <w:t> </w:t>
            </w:r>
          </w:p>
        </w:tc>
        <w:tc>
          <w:tcPr>
            <w:tcW w:w="144" w:type="dxa"/>
            <w:vMerge w:val="continue"/>
            <w:tcBorders/>
            <w:vAlign w:val="bottom"/>
          </w:tcPr>
          <w:p>
            <w:pPr>
              <w:pStyle w:val="Normal"/>
              <w:bidi w:val="0"/>
              <w:jc w:val="left"/>
              <w:rPr/>
            </w:pPr>
            <w:r>
              <w:rPr/>
            </w:r>
          </w:p>
        </w:tc>
        <w:tc>
          <w:tcPr>
            <w:tcW w:w="1122" w:type="dxa"/>
            <w:vMerge w:val="continue"/>
            <w:tcBorders/>
            <w:vAlign w:val="bottom"/>
          </w:tcPr>
          <w:p>
            <w:pPr>
              <w:pStyle w:val="Normal"/>
              <w:bidi w:val="0"/>
              <w:jc w:val="left"/>
              <w:rPr/>
            </w:pPr>
            <w:r>
              <w:rPr/>
            </w:r>
          </w:p>
        </w:tc>
      </w:tr>
      <w:tr>
        <w:trPr/>
        <w:tc>
          <w:tcPr>
            <w:tcW w:w="29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4998" w:type="dxa"/>
            <w:tcBorders/>
          </w:tcPr>
          <w:p>
            <w:pPr>
              <w:pStyle w:val="TableContents"/>
              <w:bidi w:val="0"/>
              <w:spacing w:before="0" w:after="283"/>
              <w:jc w:val="left"/>
              <w:rPr>
                <w:sz w:val="16"/>
              </w:rPr>
            </w:pPr>
            <w:r>
              <w:rPr>
                <w:sz w:val="16"/>
              </w:rPr>
              <w:t>1.02 Pratik S. Multani, M.D.</w:t>
            </w:r>
          </w:p>
        </w:tc>
        <w:tc>
          <w:tcPr>
            <w:tcW w:w="144"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center"/>
              <w:rPr/>
            </w:pPr>
            <w:r>
              <w:rPr/>
              <w:t>☐</w:t>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tcPr>
          <w:p>
            <w:pPr>
              <w:pStyle w:val="TableContents"/>
              <w:bidi w:val="0"/>
              <w:spacing w:before="0" w:after="283"/>
              <w:jc w:val="left"/>
              <w:rPr/>
            </w:pPr>
            <w:r>
              <w:rPr/>
              <w:t> </w:t>
            </w:r>
          </w:p>
        </w:tc>
        <w:tc>
          <w:tcPr>
            <w:tcW w:w="144" w:type="dxa"/>
            <w:vMerge w:val="continue"/>
            <w:tcBorders/>
            <w:vAlign w:val="bottom"/>
          </w:tcPr>
          <w:p>
            <w:pPr>
              <w:pStyle w:val="Normal"/>
              <w:bidi w:val="0"/>
              <w:jc w:val="left"/>
              <w:rPr/>
            </w:pPr>
            <w:r>
              <w:rPr/>
            </w:r>
          </w:p>
        </w:tc>
        <w:tc>
          <w:tcPr>
            <w:tcW w:w="1122" w:type="dxa"/>
            <w:vMerge w:val="continue"/>
            <w:tcBorders/>
            <w:vAlign w:val="bottom"/>
          </w:tcPr>
          <w:p>
            <w:pPr>
              <w:pStyle w:val="Normal"/>
              <w:bidi w:val="0"/>
              <w:jc w:val="left"/>
              <w:rPr/>
            </w:pPr>
            <w:r>
              <w:rPr/>
            </w:r>
          </w:p>
        </w:tc>
      </w:tr>
      <w:tr>
        <w:trPr>
          <w:trHeight w:val="240" w:hRule="atLeast"/>
        </w:trPr>
        <w:tc>
          <w:tcPr>
            <w:tcW w:w="291" w:type="dxa"/>
            <w:tcBorders/>
            <w:vAlign w:val="center"/>
          </w:tcPr>
          <w:p>
            <w:pPr>
              <w:pStyle w:val="TableContents"/>
              <w:bidi w:val="0"/>
              <w:spacing w:before="0" w:after="283"/>
              <w:jc w:val="left"/>
              <w:rPr>
                <w:sz w:val="4"/>
                <w:szCs w:val="4"/>
              </w:rPr>
            </w:pPr>
            <w:r>
              <w:rPr>
                <w:sz w:val="4"/>
                <w:szCs w:val="4"/>
              </w:rPr>
            </w:r>
          </w:p>
        </w:tc>
        <w:tc>
          <w:tcPr>
            <w:tcW w:w="5142"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1523" w:type="dxa"/>
            <w:gridSpan w:val="2"/>
            <w:tcBorders/>
            <w:vAlign w:val="center"/>
          </w:tcPr>
          <w:p>
            <w:pPr>
              <w:pStyle w:val="TableContents"/>
              <w:bidi w:val="0"/>
              <w:spacing w:before="0" w:after="283"/>
              <w:jc w:val="left"/>
              <w:rPr>
                <w:sz w:val="4"/>
                <w:szCs w:val="4"/>
              </w:rPr>
            </w:pPr>
            <w:r>
              <w:rPr>
                <w:sz w:val="4"/>
                <w:szCs w:val="4"/>
              </w:rPr>
            </w:r>
          </w:p>
        </w:tc>
        <w:tc>
          <w:tcPr>
            <w:tcW w:w="1287" w:type="dxa"/>
            <w:gridSpan w:val="2"/>
            <w:tcBorders>
              <w:right w:val="single" w:sz="2" w:space="0" w:color="585858"/>
            </w:tcBorders>
            <w:tcMar>
              <w:right w:w="28" w:type="dxa"/>
            </w:tcMar>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283"/>
              <w:jc w:val="left"/>
              <w:rPr>
                <w:sz w:val="4"/>
                <w:szCs w:val="4"/>
              </w:rPr>
            </w:pPr>
            <w:r>
              <w:rPr>
                <w:sz w:val="4"/>
                <w:szCs w:val="4"/>
              </w:rPr>
            </w:r>
          </w:p>
        </w:tc>
      </w:tr>
      <w:tr>
        <w:trPr/>
        <w:tc>
          <w:tcPr>
            <w:tcW w:w="29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4998"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center"/>
              <w:rPr>
                <w:b/>
              </w:rPr>
            </w:pPr>
            <w:r>
              <w:rPr>
                <w:b/>
              </w:rPr>
              <w:t>FOR</w:t>
            </w:r>
          </w:p>
        </w:tc>
        <w:tc>
          <w:tcPr>
            <w:tcW w:w="120"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center"/>
              <w:rPr>
                <w:b/>
              </w:rPr>
            </w:pPr>
            <w:r>
              <w:rPr>
                <w:b/>
              </w:rPr>
              <w:t>AGAINST</w:t>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tcPr>
          <w:p>
            <w:pPr>
              <w:pStyle w:val="TableContents"/>
              <w:bidi w:val="0"/>
              <w:spacing w:before="0" w:after="283"/>
              <w:jc w:val="center"/>
              <w:rPr>
                <w:b/>
              </w:rPr>
            </w:pPr>
            <w:r>
              <w:rPr>
                <w:b/>
              </w:rPr>
              <w:t>ABSTAIN</w:t>
            </w:r>
          </w:p>
        </w:tc>
        <w:tc>
          <w:tcPr>
            <w:tcW w:w="14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16"/>
              </w:rPr>
            </w:pPr>
            <w:r>
              <w:rPr>
                <w:sz w:val="16"/>
              </w:rPr>
              <w:t>2. </w:t>
            </w:r>
          </w:p>
        </w:tc>
        <w:tc>
          <w:tcPr>
            <w:tcW w:w="144" w:type="dxa"/>
            <w:tcBorders/>
            <w:vAlign w:val="bottom"/>
          </w:tcPr>
          <w:p>
            <w:pPr>
              <w:pStyle w:val="TableContents"/>
              <w:bidi w:val="0"/>
              <w:spacing w:before="0" w:after="283"/>
              <w:jc w:val="left"/>
              <w:rPr/>
            </w:pPr>
            <w:r>
              <w:rPr/>
              <w:t>  </w:t>
            </w:r>
          </w:p>
        </w:tc>
        <w:tc>
          <w:tcPr>
            <w:tcW w:w="4998" w:type="dxa"/>
            <w:tcBorders/>
            <w:vAlign w:val="bottom"/>
          </w:tcPr>
          <w:p>
            <w:pPr>
              <w:pStyle w:val="TableContents"/>
              <w:bidi w:val="0"/>
              <w:spacing w:before="0" w:after="283"/>
              <w:jc w:val="left"/>
              <w:rPr>
                <w:sz w:val="16"/>
              </w:rPr>
            </w:pPr>
            <w:r>
              <w:rPr>
                <w:sz w:val="16"/>
              </w:rPr>
              <w:t>To ratify the appointment of KPMG LLP as our independent registered public accounting firm for the fiscal year ending December 31, 2024.</w:t>
            </w:r>
          </w:p>
        </w:tc>
        <w:tc>
          <w:tcPr>
            <w:tcW w:w="144"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center"/>
              <w:rPr/>
            </w:pPr>
            <w:r>
              <w:rPr/>
              <w:t>☐</w:t>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tcPr>
          <w:p>
            <w:pPr>
              <w:pStyle w:val="TableContents"/>
              <w:bidi w:val="0"/>
              <w:spacing w:before="0" w:after="283"/>
              <w:jc w:val="center"/>
              <w:rPr/>
            </w:pPr>
            <w:r>
              <w:rPr/>
              <w:t>☐</w:t>
            </w:r>
          </w:p>
        </w:tc>
        <w:tc>
          <w:tcPr>
            <w:tcW w:w="14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center"/>
              <w:rPr>
                <w:b/>
                <w:sz w:val="16"/>
              </w:rPr>
            </w:pPr>
            <w:r>
              <w:rPr>
                <w:b/>
                <w:sz w:val="16"/>
              </w:rPr>
              <w:t>FOR</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5142"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1523" w:type="dxa"/>
            <w:gridSpan w:val="2"/>
            <w:tcBorders/>
            <w:vAlign w:val="center"/>
          </w:tcPr>
          <w:p>
            <w:pPr>
              <w:pStyle w:val="TableContents"/>
              <w:bidi w:val="0"/>
              <w:spacing w:before="0" w:after="283"/>
              <w:jc w:val="left"/>
              <w:rPr>
                <w:sz w:val="4"/>
                <w:szCs w:val="4"/>
              </w:rPr>
            </w:pPr>
            <w:r>
              <w:rPr>
                <w:sz w:val="4"/>
                <w:szCs w:val="4"/>
              </w:rPr>
            </w:r>
          </w:p>
        </w:tc>
        <w:tc>
          <w:tcPr>
            <w:tcW w:w="1287" w:type="dxa"/>
            <w:gridSpan w:val="2"/>
            <w:tcBorders>
              <w:right w:val="single" w:sz="2" w:space="0" w:color="585858"/>
            </w:tcBorders>
            <w:tcMar>
              <w:right w:w="28" w:type="dxa"/>
            </w:tcMar>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pPr>
            <w:r>
              <w:rPr/>
              <w:t>3.</w:t>
            </w:r>
          </w:p>
        </w:tc>
        <w:tc>
          <w:tcPr>
            <w:tcW w:w="144" w:type="dxa"/>
            <w:tcBorders/>
            <w:vAlign w:val="bottom"/>
          </w:tcPr>
          <w:p>
            <w:pPr>
              <w:pStyle w:val="TableContents"/>
              <w:bidi w:val="0"/>
              <w:spacing w:before="0" w:after="283"/>
              <w:jc w:val="left"/>
              <w:rPr/>
            </w:pPr>
            <w:r>
              <w:rPr/>
              <w:t>  </w:t>
            </w:r>
          </w:p>
        </w:tc>
        <w:tc>
          <w:tcPr>
            <w:tcW w:w="4998" w:type="dxa"/>
            <w:tcBorders/>
            <w:vAlign w:val="bottom"/>
          </w:tcPr>
          <w:p>
            <w:pPr>
              <w:pStyle w:val="TableContents"/>
              <w:bidi w:val="0"/>
              <w:spacing w:before="0" w:after="283"/>
              <w:jc w:val="left"/>
              <w:rPr/>
            </w:pPr>
            <w:r>
              <w:rPr/>
              <w:t>To transact such other business as may properly come before the Annual Meeting or any continuation, postponement or adjournment of the Annual Meeting.</w:t>
            </w:r>
          </w:p>
        </w:tc>
        <w:tc>
          <w:tcPr>
            <w:tcW w:w="144"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r>
      <w:tr>
        <w:trPr/>
        <w:tc>
          <w:tcPr>
            <w:tcW w:w="29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4998"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r>
      <w:tr>
        <w:trPr/>
        <w:tc>
          <w:tcPr>
            <w:tcW w:w="29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4998"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3" w:type="dxa"/>
            <w:tcBorders/>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143" w:type="dxa"/>
            <w:tcBorders>
              <w:right w:val="single" w:sz="2" w:space="0" w:color="585858"/>
            </w:tcBorders>
            <w:tcMar>
              <w:right w:w="28" w:type="dxa"/>
            </w:tcMa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left"/>
        <w:rPr>
          <w:rFonts w:ascii="ARIAL" w:hAnsi="ARIAL"/>
          <w:b/>
          <w:sz w:val="16"/>
        </w:rPr>
      </w:pPr>
      <w:r>
        <w:rPr>
          <w:rFonts w:ascii="ARIAL" w:hAnsi="ARIAL"/>
          <w:b/>
          <w:sz w:val="16"/>
        </w:rPr>
        <w:t xml:space="preserve">You must register to attend the meeting online and/or participate at www.proxydocs.com/ERAS </w:t>
      </w:r>
    </w:p>
    <w:p>
      <w:pPr>
        <w:pStyle w:val="TextBody"/>
        <w:bidi w:val="0"/>
        <w:spacing w:before="0" w:after="0"/>
        <w:jc w:val="left"/>
        <w:rPr>
          <w:rFonts w:ascii="ARIAL" w:hAnsi="ARIAL"/>
          <w:sz w:val="16"/>
        </w:rPr>
      </w:pPr>
      <w:r>
        <w:rPr>
          <w:rFonts w:ascii="ARIAL" w:hAnsi="ARIAL"/>
          <w:sz w:val="16"/>
        </w:rPr>
        <w:t xml:space="preserve">Authorized Signatures - Must be completed for your instructions to be executed. </w:t>
      </w:r>
    </w:p>
    <w:p>
      <w:pPr>
        <w:pStyle w:val="TextBody"/>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2"/>
        <w:gridCol w:w="134"/>
        <w:gridCol w:w="988"/>
        <w:gridCol w:w="110"/>
        <w:gridCol w:w="141"/>
        <w:gridCol w:w="134"/>
        <w:gridCol w:w="3690"/>
        <w:gridCol w:w="134"/>
        <w:gridCol w:w="992"/>
      </w:tblGrid>
      <w:tr>
        <w:trPr/>
        <w:tc>
          <w:tcPr>
            <w:tcW w:w="388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882" w:type="dxa"/>
            <w:tcBorders>
              <w:top w:val="single" w:sz="12" w:space="0" w:color="000000"/>
            </w:tcBorders>
            <w:tcMar>
              <w:top w:w="28" w:type="dxa"/>
            </w:tcMar>
          </w:tcPr>
          <w:p>
            <w:pPr>
              <w:pStyle w:val="TableContents"/>
              <w:bidi w:val="0"/>
              <w:spacing w:before="0" w:after="283"/>
              <w:jc w:val="left"/>
              <w:rPr/>
            </w:pPr>
            <w:r>
              <w:rPr/>
              <w:t>Signature (and Title if applicable)</w:t>
            </w:r>
          </w:p>
        </w:tc>
        <w:tc>
          <w:tcPr>
            <w:tcW w:w="134" w:type="dxa"/>
            <w:tcBorders>
              <w:top w:val="single" w:sz="12" w:space="0" w:color="000000"/>
            </w:tcBorders>
            <w:tcMar>
              <w:top w:w="28" w:type="dxa"/>
            </w:tcMar>
            <w:vAlign w:val="bottom"/>
          </w:tcPr>
          <w:p>
            <w:pPr>
              <w:pStyle w:val="TableContents"/>
              <w:bidi w:val="0"/>
              <w:spacing w:before="0" w:after="283"/>
              <w:jc w:val="left"/>
              <w:rPr/>
            </w:pPr>
            <w:r>
              <w:rPr/>
              <w:t>  </w:t>
            </w:r>
          </w:p>
        </w:tc>
        <w:tc>
          <w:tcPr>
            <w:tcW w:w="988" w:type="dxa"/>
            <w:tcBorders>
              <w:top w:val="single" w:sz="12" w:space="0" w:color="000000"/>
            </w:tcBorders>
            <w:tcMar>
              <w:top w:w="28" w:type="dxa"/>
            </w:tcMar>
          </w:tcPr>
          <w:p>
            <w:pPr>
              <w:pStyle w:val="TableContents"/>
              <w:bidi w:val="0"/>
              <w:spacing w:before="0" w:after="283"/>
              <w:jc w:val="right"/>
              <w:rPr/>
            </w:pPr>
            <w:r>
              <w:rPr/>
              <w:t>Date   </w:t>
            </w:r>
          </w:p>
        </w:tc>
        <w:tc>
          <w:tcPr>
            <w:tcW w:w="110"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134" w:type="dxa"/>
            <w:tcBorders>
              <w:top w:val="single" w:sz="12" w:space="0" w:color="000000"/>
            </w:tcBorders>
            <w:tcMar>
              <w:top w:w="28" w:type="dxa"/>
            </w:tcMar>
            <w:vAlign w:val="bottom"/>
          </w:tcPr>
          <w:p>
            <w:pPr>
              <w:pStyle w:val="TableContents"/>
              <w:bidi w:val="0"/>
              <w:spacing w:before="0" w:after="283"/>
              <w:jc w:val="left"/>
              <w:rPr/>
            </w:pPr>
            <w:r>
              <w:rPr/>
              <w:t>  </w:t>
            </w:r>
          </w:p>
        </w:tc>
        <w:tc>
          <w:tcPr>
            <w:tcW w:w="3690" w:type="dxa"/>
            <w:tcBorders>
              <w:top w:val="single" w:sz="12" w:space="0" w:color="000000"/>
            </w:tcBorders>
            <w:tcMar>
              <w:top w:w="28" w:type="dxa"/>
            </w:tcMar>
          </w:tcPr>
          <w:p>
            <w:pPr>
              <w:pStyle w:val="TableContents"/>
              <w:bidi w:val="0"/>
              <w:spacing w:before="0" w:after="0"/>
              <w:jc w:val="left"/>
              <w:rPr>
                <w:rFonts w:ascii="ARIAL" w:hAnsi="ARIAL"/>
                <w:sz w:val="16"/>
              </w:rPr>
            </w:pPr>
            <w:r>
              <w:rPr>
                <w:rFonts w:ascii="ARIAL" w:hAnsi="ARIAL"/>
                <w:sz w:val="16"/>
              </w:rPr>
              <w:t>Signature (if held jointly)</w:t>
            </w:r>
          </w:p>
        </w:tc>
        <w:tc>
          <w:tcPr>
            <w:tcW w:w="134" w:type="dxa"/>
            <w:tcBorders>
              <w:top w:val="single" w:sz="12" w:space="0" w:color="000000"/>
            </w:tcBorders>
            <w:tcMar>
              <w:top w:w="28" w:type="dxa"/>
            </w:tcMar>
            <w:vAlign w:val="bottom"/>
          </w:tcPr>
          <w:p>
            <w:pPr>
              <w:pStyle w:val="TableContents"/>
              <w:bidi w:val="0"/>
              <w:spacing w:before="0" w:after="283"/>
              <w:jc w:val="left"/>
              <w:rPr/>
            </w:pPr>
            <w:r>
              <w:rPr/>
              <w:t>  </w:t>
            </w:r>
          </w:p>
        </w:tc>
        <w:tc>
          <w:tcPr>
            <w:tcW w:w="992" w:type="dxa"/>
            <w:tcBorders>
              <w:top w:val="single" w:sz="12" w:space="0" w:color="000000"/>
            </w:tcBorders>
            <w:tcMar>
              <w:top w:w="28" w:type="dxa"/>
            </w:tcMar>
          </w:tcPr>
          <w:p>
            <w:pPr>
              <w:pStyle w:val="TableContents"/>
              <w:bidi w:val="0"/>
              <w:spacing w:before="0" w:after="283"/>
              <w:jc w:val="right"/>
              <w:rPr/>
            </w:pPr>
            <w:r>
              <w:rPr/>
              <w:t>Date   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24072</Words>
  <Characters>125179</Characters>
  <CharactersWithSpaces>149998</CharactersWithSpaces>
  <Paragraphs>2676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