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800" w:right="1960" w:hanging="3779"/>
        <w:spacing w:after="0" w:line="266"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7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33" w:lineRule="exact"/>
        <w:rPr>
          <w:sz w:val="24"/>
          <w:szCs w:val="24"/>
          <w:color w:val="auto"/>
        </w:rPr>
      </w:pPr>
    </w:p>
    <w:p>
      <w:pPr>
        <w:ind w:left="48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Arial" w:cs="Arial" w:eastAsia="Arial" w:hAnsi="Arial"/>
          <w:sz w:val="18"/>
          <w:szCs w:val="18"/>
          <w:b w:val="1"/>
          <w:bCs w:val="1"/>
          <w:color w:val="auto"/>
        </w:rPr>
        <w:t>001-40602</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ERASCA,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jc w:val="center"/>
              <w:ind w:left="1282"/>
              <w:spacing w:after="0"/>
              <w:rPr>
                <w:sz w:val="20"/>
                <w:szCs w:val="20"/>
                <w:color w:val="auto"/>
              </w:rPr>
            </w:pPr>
            <w:r>
              <w:rPr>
                <w:rFonts w:ascii="Arial" w:cs="Arial" w:eastAsia="Arial" w:hAnsi="Arial"/>
                <w:sz w:val="18"/>
                <w:szCs w:val="18"/>
                <w:b w:val="1"/>
                <w:bCs w:val="1"/>
                <w:color w:val="auto"/>
              </w:rPr>
              <w:t>Delaware</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160" w:type="dxa"/>
            <w:vAlign w:val="bottom"/>
            <w:gridSpan w:val="2"/>
          </w:tcPr>
          <w:p>
            <w:pPr>
              <w:jc w:val="right"/>
              <w:ind w:right="2252"/>
              <w:spacing w:after="0"/>
              <w:rPr>
                <w:sz w:val="20"/>
                <w:szCs w:val="20"/>
                <w:color w:val="auto"/>
              </w:rPr>
            </w:pPr>
            <w:r>
              <w:rPr>
                <w:rFonts w:ascii="Arial" w:cs="Arial" w:eastAsia="Arial" w:hAnsi="Arial"/>
                <w:sz w:val="18"/>
                <w:szCs w:val="18"/>
                <w:b w:val="1"/>
                <w:bCs w:val="1"/>
                <w:color w:val="auto"/>
              </w:rPr>
              <w:t>83-1217027</w:t>
            </w:r>
          </w:p>
        </w:tc>
        <w:tc>
          <w:tcPr>
            <w:tcW w:w="0" w:type="dxa"/>
            <w:vAlign w:val="bottom"/>
          </w:tcPr>
          <w:p>
            <w:pPr>
              <w:spacing w:after="0"/>
              <w:rPr>
                <w:sz w:val="1"/>
                <w:szCs w:val="1"/>
                <w:color w:val="auto"/>
              </w:rPr>
            </w:pPr>
          </w:p>
        </w:tc>
      </w:tr>
      <w:tr>
        <w:trPr>
          <w:trHeight w:val="135"/>
        </w:trPr>
        <w:tc>
          <w:tcPr>
            <w:tcW w:w="4280" w:type="dxa"/>
            <w:vAlign w:val="bottom"/>
          </w:tcPr>
          <w:p>
            <w:pPr>
              <w:jc w:val="center"/>
              <w:ind w:left="1262"/>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40" w:type="dxa"/>
            <w:vAlign w:val="bottom"/>
          </w:tcPr>
          <w:p>
            <w:pPr>
              <w:jc w:val="center"/>
              <w:ind w:right="512"/>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36"/>
        </w:trPr>
        <w:tc>
          <w:tcPr>
            <w:tcW w:w="4280" w:type="dxa"/>
            <w:vAlign w:val="bottom"/>
          </w:tcPr>
          <w:p>
            <w:pPr>
              <w:jc w:val="center"/>
              <w:ind w:left="1282"/>
              <w:spacing w:after="0" w:line="136"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40" w:type="dxa"/>
            <w:vAlign w:val="bottom"/>
          </w:tcPr>
          <w:p>
            <w:pPr>
              <w:jc w:val="center"/>
              <w:ind w:right="512"/>
              <w:spacing w:after="0" w:line="136"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03"/>
        </w:trPr>
        <w:tc>
          <w:tcPr>
            <w:tcW w:w="4280" w:type="dxa"/>
            <w:vAlign w:val="bottom"/>
          </w:tcPr>
          <w:p>
            <w:pPr>
              <w:jc w:val="center"/>
              <w:ind w:left="1282"/>
              <w:spacing w:after="0" w:line="202" w:lineRule="exact"/>
              <w:rPr>
                <w:sz w:val="20"/>
                <w:szCs w:val="20"/>
                <w:color w:val="auto"/>
              </w:rPr>
            </w:pPr>
            <w:r>
              <w:rPr>
                <w:rFonts w:ascii="Arial" w:cs="Arial" w:eastAsia="Arial" w:hAnsi="Arial"/>
                <w:sz w:val="18"/>
                <w:szCs w:val="18"/>
                <w:b w:val="1"/>
                <w:bCs w:val="1"/>
                <w:color w:val="auto"/>
              </w:rPr>
              <w:t>3115 Merryfield Row, Suite 300</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160" w:type="dxa"/>
            <w:vAlign w:val="bottom"/>
            <w:gridSpan w:val="2"/>
            <w:vMerge w:val="restart"/>
          </w:tcPr>
          <w:p>
            <w:pPr>
              <w:jc w:val="right"/>
              <w:ind w:right="2512"/>
              <w:spacing w:after="0"/>
              <w:rPr>
                <w:sz w:val="20"/>
                <w:szCs w:val="20"/>
                <w:color w:val="auto"/>
              </w:rPr>
            </w:pPr>
            <w:r>
              <w:rPr>
                <w:rFonts w:ascii="Times New Roman" w:cs="Times New Roman" w:eastAsia="Times New Roman" w:hAnsi="Times New Roman"/>
                <w:sz w:val="18"/>
                <w:szCs w:val="18"/>
                <w:b w:val="1"/>
                <w:bCs w:val="1"/>
                <w:color w:val="auto"/>
              </w:rPr>
              <w:t>92121</w:t>
            </w:r>
          </w:p>
        </w:tc>
        <w:tc>
          <w:tcPr>
            <w:tcW w:w="0" w:type="dxa"/>
            <w:vAlign w:val="bottom"/>
          </w:tcPr>
          <w:p>
            <w:pPr>
              <w:spacing w:after="0"/>
              <w:rPr>
                <w:sz w:val="1"/>
                <w:szCs w:val="1"/>
                <w:color w:val="auto"/>
              </w:rPr>
            </w:pPr>
          </w:p>
        </w:tc>
      </w:tr>
      <w:tr>
        <w:trPr>
          <w:trHeight w:val="201"/>
        </w:trPr>
        <w:tc>
          <w:tcPr>
            <w:tcW w:w="4280" w:type="dxa"/>
            <w:vAlign w:val="bottom"/>
          </w:tcPr>
          <w:p>
            <w:pPr>
              <w:jc w:val="center"/>
              <w:ind w:left="1282"/>
              <w:spacing w:after="0" w:line="201" w:lineRule="exact"/>
              <w:rPr>
                <w:sz w:val="20"/>
                <w:szCs w:val="20"/>
                <w:color w:val="auto"/>
              </w:rPr>
            </w:pPr>
            <w:r>
              <w:rPr>
                <w:rFonts w:ascii="Arial" w:cs="Arial" w:eastAsia="Arial" w:hAnsi="Arial"/>
                <w:sz w:val="18"/>
                <w:szCs w:val="18"/>
                <w:b w:val="1"/>
                <w:bCs w:val="1"/>
                <w:color w:val="auto"/>
                <w:w w:val="99"/>
              </w:rPr>
              <w:t>San Diego, CA</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4280" w:type="dxa"/>
            <w:vAlign w:val="bottom"/>
          </w:tcPr>
          <w:p>
            <w:pPr>
              <w:jc w:val="center"/>
              <w:ind w:left="1282"/>
              <w:spacing w:after="0" w:line="133" w:lineRule="exact"/>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40" w:type="dxa"/>
            <w:vAlign w:val="bottom"/>
          </w:tcPr>
          <w:p>
            <w:pPr>
              <w:jc w:val="center"/>
              <w:ind w:right="512"/>
              <w:spacing w:after="0" w:line="133" w:lineRule="exact"/>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50"/>
        </w:trPr>
        <w:tc>
          <w:tcPr>
            <w:tcW w:w="11240" w:type="dxa"/>
            <w:vAlign w:val="bottom"/>
            <w:gridSpan w:val="5"/>
          </w:tcPr>
          <w:p>
            <w:pPr>
              <w:ind w:left="2980"/>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Arial" w:cs="Arial" w:eastAsia="Arial" w:hAnsi="Arial"/>
                <w:sz w:val="18"/>
                <w:szCs w:val="18"/>
                <w:b w:val="1"/>
                <w:bCs w:val="1"/>
                <w:color w:val="auto"/>
              </w:rPr>
              <w:t>(858) 465-6511</w:t>
            </w:r>
          </w:p>
        </w:tc>
        <w:tc>
          <w:tcPr>
            <w:tcW w:w="0" w:type="dxa"/>
            <w:vAlign w:val="bottom"/>
          </w:tcPr>
          <w:p>
            <w:pPr>
              <w:spacing w:after="0"/>
              <w:rPr>
                <w:sz w:val="1"/>
                <w:szCs w:val="1"/>
                <w:color w:val="auto"/>
              </w:rPr>
            </w:pPr>
          </w:p>
        </w:tc>
      </w:tr>
      <w:tr>
        <w:trPr>
          <w:trHeight w:val="56"/>
        </w:trPr>
        <w:tc>
          <w:tcPr>
            <w:tcW w:w="4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280" w:type="dxa"/>
            <w:vAlign w:val="bottom"/>
          </w:tcPr>
          <w:p>
            <w:pPr>
              <w:jc w:val="center"/>
              <w:spacing w:after="0"/>
              <w:rPr>
                <w:sz w:val="20"/>
                <w:szCs w:val="20"/>
                <w:color w:val="auto"/>
              </w:rPr>
            </w:pPr>
            <w:r>
              <w:rPr>
                <w:rFonts w:ascii="Arial" w:cs="Arial" w:eastAsia="Arial" w:hAnsi="Arial"/>
                <w:sz w:val="16"/>
                <w:szCs w:val="16"/>
                <w:color w:val="auto"/>
              </w:rPr>
              <w:t>Common Stock, $0.0001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ERAS</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Nasdaq Global Select Market</w:t>
            </w:r>
          </w:p>
        </w:tc>
        <w:tc>
          <w:tcPr>
            <w:tcW w:w="0" w:type="dxa"/>
            <w:vAlign w:val="bottom"/>
          </w:tcPr>
          <w:p>
            <w:pPr>
              <w:spacing w:after="0"/>
              <w:rPr>
                <w:sz w:val="1"/>
                <w:szCs w:val="1"/>
                <w:color w:val="auto"/>
              </w:rPr>
            </w:pPr>
          </w:p>
        </w:tc>
      </w:tr>
    </w:tbl>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ind w:right="406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5"/>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43"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8"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4"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48"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4" w:lineRule="exact"/>
        <w:rPr>
          <w:sz w:val="24"/>
          <w:szCs w:val="24"/>
          <w:color w:val="auto"/>
        </w:rPr>
      </w:pPr>
    </w:p>
    <w:p>
      <w:pPr>
        <w:ind w:right="40"/>
        <w:spacing w:after="0" w:line="251"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of the Registrant was approximately $562.9 million based on the closing price of the Registrant's common stock as reported on the Nasdaq Global Select Market of $2.36 per share on June 28, 2024, the last business day of the Registrant's most recently completed second quarter.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13, 2025 was 283,265,716.</w:t>
      </w:r>
    </w:p>
    <w:p>
      <w:pPr>
        <w:spacing w:after="0" w:line="144"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7" w:lineRule="exact"/>
        <w:rPr>
          <w:sz w:val="24"/>
          <w:szCs w:val="24"/>
          <w:color w:val="auto"/>
        </w:rPr>
      </w:pPr>
    </w:p>
    <w:p>
      <w:pPr>
        <w:ind w:right="60"/>
        <w:spacing w:after="0" w:line="278" w:lineRule="auto"/>
        <w:rPr>
          <w:sz w:val="20"/>
          <w:szCs w:val="20"/>
          <w:color w:val="auto"/>
        </w:rPr>
      </w:pPr>
      <w:r>
        <w:rPr>
          <w:rFonts w:ascii="Times New Roman" w:cs="Times New Roman" w:eastAsia="Times New Roman" w:hAnsi="Times New Roman"/>
          <w:sz w:val="13"/>
          <w:szCs w:val="13"/>
          <w:color w:val="auto"/>
        </w:rPr>
        <w:t>Certain sections of the Registrant’s definitive proxy statement for the 2025 annual meeting of stockholders to be filed with the Securities and Exchange Commission pursuant to Regulation 14A not later than 120 days after the end of the fiscal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7"/>
        </w:trPr>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80" w:type="dxa"/>
            <w:vAlign w:val="bottom"/>
            <w:gridSpan w:val="11"/>
          </w:tcPr>
          <w:p>
            <w:pPr>
              <w:ind w:left="4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2"/>
        </w:trPr>
        <w:tc>
          <w:tcPr>
            <w:tcW w:w="1140" w:type="dxa"/>
            <w:vAlign w:val="bottom"/>
            <w:gridSpan w:val="5"/>
            <w:vMerge w:val="restart"/>
          </w:tcPr>
          <w:p>
            <w:pPr>
              <w:spacing w:after="0"/>
              <w:rPr>
                <w:sz w:val="20"/>
                <w:szCs w:val="20"/>
                <w:color w:val="auto"/>
              </w:rPr>
            </w:pPr>
            <w:r>
              <w:rPr>
                <w:rFonts w:ascii="Arial" w:cs="Arial" w:eastAsia="Arial" w:hAnsi="Arial"/>
                <w:sz w:val="18"/>
                <w:szCs w:val="18"/>
                <w:b w:val="1"/>
                <w:bCs w:val="1"/>
                <w:color w:val="0000FF"/>
              </w:rPr>
              <w:t>PART I</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8"/>
                <w:szCs w:val="18"/>
                <w:color w:val="0000FF"/>
                <w:w w:val="98"/>
              </w:rPr>
              <w:t>Business</w:t>
            </w:r>
          </w:p>
        </w:tc>
        <w:tc>
          <w:tcPr>
            <w:tcW w:w="8560" w:type="dxa"/>
            <w:vAlign w:val="bottom"/>
            <w:gridSpan w:val="28"/>
            <w:vMerge w:val="restart"/>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8"/>
        </w:trPr>
        <w:tc>
          <w:tcPr>
            <w:tcW w:w="600" w:type="dxa"/>
            <w:vAlign w:val="bottom"/>
            <w:tcBorders>
              <w:top w:val="single" w:sz="8" w:color="0000FF"/>
            </w:tcBorders>
          </w:tcPr>
          <w:p>
            <w:pPr>
              <w:spacing w:after="0" w:line="182" w:lineRule="exact"/>
              <w:rPr>
                <w:sz w:val="20"/>
                <w:szCs w:val="20"/>
                <w:color w:val="auto"/>
              </w:rPr>
            </w:pPr>
            <w:r>
              <w:rPr>
                <w:rFonts w:ascii="Arial" w:cs="Arial" w:eastAsia="Arial" w:hAnsi="Arial"/>
                <w:sz w:val="18"/>
                <w:szCs w:val="18"/>
                <w:color w:val="auto"/>
              </w:rPr>
              <w:t>Item 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Borders>
              <w:bottom w:val="single" w:sz="8" w:color="0000FF"/>
            </w:tcBorders>
            <w:vMerge w:val="continue"/>
          </w:tcPr>
          <w:p>
            <w:pPr>
              <w:spacing w:after="0"/>
              <w:rPr>
                <w:sz w:val="15"/>
                <w:szCs w:val="15"/>
                <w:color w:val="auto"/>
              </w:rPr>
            </w:pPr>
          </w:p>
        </w:tc>
        <w:tc>
          <w:tcPr>
            <w:tcW w:w="8560" w:type="dxa"/>
            <w:vAlign w:val="bottom"/>
            <w:gridSpan w:val="2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1A.</w:t>
            </w:r>
          </w:p>
        </w:tc>
        <w:tc>
          <w:tcPr>
            <w:tcW w:w="9300" w:type="dxa"/>
            <w:vAlign w:val="bottom"/>
            <w:gridSpan w:val="29"/>
          </w:tcPr>
          <w:p>
            <w:pPr>
              <w:spacing w:after="0" w:line="182"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1B.</w:t>
            </w:r>
          </w:p>
        </w:tc>
        <w:tc>
          <w:tcPr>
            <w:tcW w:w="10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Unresolved</w:t>
            </w:r>
          </w:p>
        </w:tc>
        <w:tc>
          <w:tcPr>
            <w:tcW w:w="20" w:type="dxa"/>
            <w:vAlign w:val="bottom"/>
            <w:tcBorders>
              <w:top w:val="single" w:sz="8" w:color="0000EE"/>
            </w:tcBorders>
          </w:tcPr>
          <w:p>
            <w:pPr>
              <w:spacing w:after="0"/>
              <w:rPr>
                <w:sz w:val="15"/>
                <w:szCs w:val="15"/>
                <w:color w:val="auto"/>
              </w:rPr>
            </w:pPr>
          </w:p>
        </w:tc>
        <w:tc>
          <w:tcPr>
            <w:tcW w:w="8280" w:type="dxa"/>
            <w:vAlign w:val="bottom"/>
            <w:gridSpan w:val="23"/>
          </w:tcPr>
          <w:p>
            <w:pPr>
              <w:spacing w:after="0" w:line="182" w:lineRule="exact"/>
              <w:rPr>
                <w:sz w:val="20"/>
                <w:szCs w:val="20"/>
                <w:color w:val="auto"/>
              </w:rPr>
            </w:pPr>
            <w:r>
              <w:rPr>
                <w:rFonts w:ascii="Arial" w:cs="Arial" w:eastAsia="Arial" w:hAnsi="Arial"/>
                <w:sz w:val="18"/>
                <w:szCs w:val="18"/>
                <w:color w:val="0000FF"/>
              </w:rPr>
              <w:t>Staff Comments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1C.</w:t>
            </w:r>
          </w:p>
        </w:tc>
        <w:tc>
          <w:tcPr>
            <w:tcW w:w="226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Cybersecurity</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2.</w:t>
            </w:r>
          </w:p>
        </w:tc>
        <w:tc>
          <w:tcPr>
            <w:tcW w:w="110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Properties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3.</w:t>
            </w: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line="20" w:lineRule="exact"/>
              <w:rPr>
                <w:sz w:val="1"/>
                <w:szCs w:val="1"/>
                <w:color w:val="auto"/>
              </w:rPr>
            </w:pPr>
          </w:p>
        </w:tc>
      </w:tr>
      <w:tr>
        <w:trPr>
          <w:trHeight w:val="183"/>
        </w:trPr>
        <w:tc>
          <w:tcPr>
            <w:tcW w:w="1140" w:type="dxa"/>
            <w:vAlign w:val="bottom"/>
            <w:gridSpan w:val="5"/>
            <w:vMerge w:val="continue"/>
          </w:tcPr>
          <w:p>
            <w:pPr>
              <w:spacing w:after="0"/>
              <w:rPr>
                <w:sz w:val="15"/>
                <w:szCs w:val="15"/>
                <w:color w:val="auto"/>
              </w:rPr>
            </w:pPr>
          </w:p>
        </w:tc>
        <w:tc>
          <w:tcPr>
            <w:tcW w:w="1500" w:type="dxa"/>
            <w:vAlign w:val="bottom"/>
            <w:tcBorders>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9"/>
              </w:rPr>
              <w:t>Legal Proceedings</w:t>
            </w:r>
          </w:p>
        </w:tc>
        <w:tc>
          <w:tcPr>
            <w:tcW w:w="20" w:type="dxa"/>
            <w:vAlign w:val="bottom"/>
            <w:tcBorders>
              <w:bottom w:val="single" w:sz="8" w:color="0000EE"/>
            </w:tcBorders>
          </w:tcPr>
          <w:p>
            <w:pPr>
              <w:spacing w:after="0"/>
              <w:rPr>
                <w:sz w:val="15"/>
                <w:szCs w:val="15"/>
                <w:color w:val="auto"/>
              </w:rPr>
            </w:pPr>
          </w:p>
        </w:tc>
        <w:tc>
          <w:tcPr>
            <w:tcW w:w="7780" w:type="dxa"/>
            <w:vAlign w:val="bottom"/>
            <w:gridSpan w:val="19"/>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9"/>
              </w:rPr>
              <w:t>Mine Safety Disclosures</w:t>
            </w:r>
          </w:p>
        </w:tc>
        <w:tc>
          <w:tcPr>
            <w:tcW w:w="736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385"/>
        </w:trPr>
        <w:tc>
          <w:tcPr>
            <w:tcW w:w="114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9300" w:type="dxa"/>
            <w:vAlign w:val="bottom"/>
            <w:gridSpan w:val="29"/>
            <w:vMerge w:val="restart"/>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640" w:type="dxa"/>
            <w:vAlign w:val="bottom"/>
            <w:tcBorders>
              <w:left w:val="single" w:sz="8" w:color="0000EE"/>
            </w:tcBorders>
            <w:gridSpan w:val="2"/>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9300" w:type="dxa"/>
            <w:vAlign w:val="bottom"/>
            <w:gridSpan w:val="29"/>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9300" w:type="dxa"/>
            <w:vAlign w:val="bottom"/>
            <w:gridSpan w:val="2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6.</w:t>
            </w:r>
          </w:p>
        </w:tc>
        <w:tc>
          <w:tcPr>
            <w:tcW w:w="88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8"/>
              </w:rPr>
              <w:t>[Reserved]</w:t>
            </w:r>
          </w:p>
        </w:tc>
        <w:tc>
          <w:tcPr>
            <w:tcW w:w="20" w:type="dxa"/>
            <w:vAlign w:val="bottom"/>
            <w:tcBorders>
              <w:top w:val="single" w:sz="8" w:color="0000FF"/>
              <w:bottom w:val="single" w:sz="8" w:color="0000EE"/>
            </w:tcBorders>
          </w:tcPr>
          <w:p>
            <w:pPr>
              <w:spacing w:after="0"/>
              <w:rPr>
                <w:sz w:val="15"/>
                <w:szCs w:val="15"/>
                <w:color w:val="auto"/>
              </w:rPr>
            </w:pPr>
          </w:p>
        </w:tc>
        <w:tc>
          <w:tcPr>
            <w:tcW w:w="8000" w:type="dxa"/>
            <w:vAlign w:val="bottom"/>
            <w:tcBorders>
              <w:top w:val="single" w:sz="8" w:color="0000FF"/>
            </w:tcBorders>
            <w:gridSpan w:val="24"/>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7.</w:t>
            </w:r>
          </w:p>
        </w:tc>
        <w:tc>
          <w:tcPr>
            <w:tcW w:w="9300" w:type="dxa"/>
            <w:vAlign w:val="bottom"/>
            <w:gridSpan w:val="29"/>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7A.</w:t>
            </w:r>
          </w:p>
        </w:tc>
        <w:tc>
          <w:tcPr>
            <w:tcW w:w="708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8.</w:t>
            </w:r>
          </w:p>
        </w:tc>
        <w:tc>
          <w:tcPr>
            <w:tcW w:w="472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Financial Statements and Supplementary Data</w:t>
            </w: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9.</w:t>
            </w:r>
          </w:p>
        </w:tc>
        <w:tc>
          <w:tcPr>
            <w:tcW w:w="372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w w:val="94"/>
              </w:rPr>
              <w:t>Changes in and Disagreements with Accountants</w:t>
            </w:r>
          </w:p>
        </w:tc>
        <w:tc>
          <w:tcPr>
            <w:tcW w:w="20" w:type="dxa"/>
            <w:vAlign w:val="bottom"/>
            <w:tcBorders>
              <w:top w:val="single" w:sz="8" w:color="0000EE"/>
            </w:tcBorders>
          </w:tcPr>
          <w:p>
            <w:pPr>
              <w:spacing w:after="0"/>
              <w:rPr>
                <w:sz w:val="15"/>
                <w:szCs w:val="15"/>
                <w:color w:val="auto"/>
              </w:rPr>
            </w:pPr>
          </w:p>
        </w:tc>
        <w:tc>
          <w:tcPr>
            <w:tcW w:w="5560" w:type="dxa"/>
            <w:vAlign w:val="bottom"/>
            <w:gridSpan w:val="9"/>
          </w:tcPr>
          <w:p>
            <w:pPr>
              <w:ind w:left="240"/>
              <w:spacing w:after="0" w:line="182" w:lineRule="exact"/>
              <w:rPr>
                <w:sz w:val="20"/>
                <w:szCs w:val="20"/>
                <w:color w:val="auto"/>
              </w:rPr>
            </w:pPr>
            <w:r>
              <w:rPr>
                <w:rFonts w:ascii="Arial" w:cs="Arial" w:eastAsia="Arial" w:hAnsi="Arial"/>
                <w:sz w:val="18"/>
                <w:szCs w:val="18"/>
                <w:color w:val="0000FF"/>
              </w:rPr>
              <w:t>on Accounting and Financial Disclosure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9A.</w:t>
            </w:r>
          </w:p>
        </w:tc>
        <w:tc>
          <w:tcPr>
            <w:tcW w:w="7140" w:type="dxa"/>
            <w:vAlign w:val="bottom"/>
            <w:tcBorders>
              <w:top w:val="single" w:sz="8" w:color="0000FF"/>
            </w:tcBorders>
            <w:gridSpan w:val="26"/>
          </w:tcPr>
          <w:p>
            <w:pPr>
              <w:spacing w:after="0" w:line="182" w:lineRule="exact"/>
              <w:rPr>
                <w:sz w:val="20"/>
                <w:szCs w:val="20"/>
                <w:color w:val="auto"/>
              </w:rPr>
            </w:pPr>
            <w:r>
              <w:rPr>
                <w:rFonts w:ascii="Arial" w:cs="Arial" w:eastAsia="Arial" w:hAnsi="Arial"/>
                <w:sz w:val="18"/>
                <w:szCs w:val="18"/>
                <w:color w:val="0000FF"/>
              </w:rPr>
              <w:t>Controls and Procedures</w:t>
            </w:r>
          </w:p>
        </w:tc>
        <w:tc>
          <w:tcPr>
            <w:tcW w:w="88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9B.</w:t>
            </w:r>
          </w:p>
        </w:tc>
        <w:tc>
          <w:tcPr>
            <w:tcW w:w="200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Other Information</w:t>
            </w:r>
          </w:p>
        </w:tc>
        <w:tc>
          <w:tcPr>
            <w:tcW w:w="2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3"/>
          </w:tcPr>
          <w:p>
            <w:pPr>
              <w:spacing w:after="0"/>
              <w:rPr>
                <w:sz w:val="15"/>
                <w:szCs w:val="15"/>
                <w:color w:val="auto"/>
              </w:rPr>
            </w:pPr>
          </w:p>
        </w:tc>
        <w:tc>
          <w:tcPr>
            <w:tcW w:w="9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920" w:type="dxa"/>
            <w:vAlign w:val="bottom"/>
            <w:gridSpan w:val="3"/>
          </w:tcPr>
          <w:p>
            <w:pPr>
              <w:spacing w:after="0"/>
              <w:rPr>
                <w:sz w:val="15"/>
                <w:szCs w:val="15"/>
                <w:color w:val="auto"/>
              </w:rPr>
            </w:pP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9C.</w:t>
            </w:r>
          </w:p>
        </w:tc>
        <w:tc>
          <w:tcPr>
            <w:tcW w:w="1420" w:type="dxa"/>
            <w:vAlign w:val="bottom"/>
            <w:tcBorders>
              <w:right w:val="single" w:sz="8" w:color="0000EE"/>
            </w:tcBorders>
            <w:gridSpan w:val="8"/>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line="20" w:lineRule="exact"/>
              <w:rPr>
                <w:sz w:val="1"/>
                <w:szCs w:val="1"/>
                <w:color w:val="auto"/>
              </w:rPr>
            </w:pPr>
          </w:p>
        </w:tc>
      </w:tr>
      <w:tr>
        <w:trPr>
          <w:trHeight w:val="183"/>
        </w:trPr>
        <w:tc>
          <w:tcPr>
            <w:tcW w:w="1140" w:type="dxa"/>
            <w:vAlign w:val="bottom"/>
            <w:gridSpan w:val="5"/>
            <w:vMerge w:val="continue"/>
          </w:tcPr>
          <w:p>
            <w:pPr>
              <w:spacing w:after="0"/>
              <w:rPr>
                <w:sz w:val="15"/>
                <w:szCs w:val="15"/>
                <w:color w:val="auto"/>
              </w:rPr>
            </w:pPr>
          </w:p>
        </w:tc>
        <w:tc>
          <w:tcPr>
            <w:tcW w:w="9300" w:type="dxa"/>
            <w:vAlign w:val="bottom"/>
            <w:gridSpan w:val="29"/>
          </w:tcPr>
          <w:p>
            <w:pPr>
              <w:spacing w:after="0" w:line="18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40" w:type="dxa"/>
            <w:vAlign w:val="bottom"/>
            <w:gridSpan w:val="5"/>
          </w:tcPr>
          <w:p>
            <w:pPr>
              <w:spacing w:after="0"/>
              <w:rPr>
                <w:sz w:val="20"/>
                <w:szCs w:val="20"/>
                <w:color w:val="auto"/>
              </w:rPr>
            </w:pPr>
            <w:r>
              <w:rPr>
                <w:rFonts w:ascii="Arial" w:cs="Arial" w:eastAsia="Arial" w:hAnsi="Arial"/>
                <w:sz w:val="18"/>
                <w:szCs w:val="18"/>
                <w:b w:val="1"/>
                <w:bCs w:val="1"/>
                <w:color w:val="0000FF"/>
              </w:rPr>
              <w:t>PART III</w:t>
            </w:r>
          </w:p>
        </w:tc>
        <w:tc>
          <w:tcPr>
            <w:tcW w:w="5400" w:type="dxa"/>
            <w:vAlign w:val="bottom"/>
            <w:tcBorders>
              <w:top w:val="single" w:sz="8" w:color="0000FF"/>
            </w:tcBorders>
            <w:gridSpan w:val="23"/>
            <w:vMerge w:val="restart"/>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3900" w:type="dxa"/>
            <w:vAlign w:val="bottom"/>
            <w:gridSpan w:val="6"/>
            <w:vMerge w:val="restart"/>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700" w:type="dxa"/>
            <w:vAlign w:val="bottom"/>
            <w:tcBorders>
              <w:left w:val="single" w:sz="8" w:color="0000EE"/>
            </w:tcBorders>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5400" w:type="dxa"/>
            <w:vAlign w:val="bottom"/>
            <w:gridSpan w:val="23"/>
            <w:vMerge w:val="continue"/>
          </w:tcPr>
          <w:p>
            <w:pPr>
              <w:spacing w:after="0" w:line="20" w:lineRule="exact"/>
              <w:rPr>
                <w:sz w:val="1"/>
                <w:szCs w:val="1"/>
                <w:color w:val="auto"/>
              </w:rPr>
            </w:pPr>
          </w:p>
        </w:tc>
        <w:tc>
          <w:tcPr>
            <w:tcW w:w="3900" w:type="dxa"/>
            <w:vAlign w:val="bottom"/>
            <w:gridSpan w:val="6"/>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gridSpan w:val="3"/>
          </w:tcPr>
          <w:p>
            <w:pPr>
              <w:spacing w:after="0" w:line="182" w:lineRule="exact"/>
              <w:rPr>
                <w:sz w:val="20"/>
                <w:szCs w:val="20"/>
                <w:color w:val="auto"/>
              </w:rPr>
            </w:pPr>
            <w:r>
              <w:rPr>
                <w:rFonts w:ascii="Arial" w:cs="Arial" w:eastAsia="Arial" w:hAnsi="Arial"/>
                <w:sz w:val="18"/>
                <w:szCs w:val="18"/>
                <w:color w:val="auto"/>
              </w:rPr>
              <w:t>Item 10.</w:t>
            </w:r>
          </w:p>
        </w:tc>
        <w:tc>
          <w:tcPr>
            <w:tcW w:w="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400" w:type="dxa"/>
            <w:vAlign w:val="bottom"/>
            <w:gridSpan w:val="23"/>
            <w:vMerge w:val="continue"/>
          </w:tcPr>
          <w:p>
            <w:pPr>
              <w:spacing w:after="0"/>
              <w:rPr>
                <w:sz w:val="15"/>
                <w:szCs w:val="15"/>
                <w:color w:val="auto"/>
              </w:rPr>
            </w:pPr>
          </w:p>
        </w:tc>
        <w:tc>
          <w:tcPr>
            <w:tcW w:w="390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11.</w:t>
            </w:r>
          </w:p>
        </w:tc>
        <w:tc>
          <w:tcPr>
            <w:tcW w:w="2000" w:type="dxa"/>
            <w:vAlign w:val="bottom"/>
            <w:tcBorders>
              <w:top w:val="single" w:sz="8" w:color="0000FF"/>
              <w:bottom w:val="single" w:sz="8" w:color="0000FF"/>
            </w:tcBorders>
            <w:gridSpan w:val="14"/>
          </w:tcPr>
          <w:p>
            <w:pPr>
              <w:spacing w:after="0" w:line="182" w:lineRule="exact"/>
              <w:rPr>
                <w:sz w:val="20"/>
                <w:szCs w:val="20"/>
                <w:color w:val="auto"/>
              </w:rPr>
            </w:pPr>
            <w:r>
              <w:rPr>
                <w:rFonts w:ascii="Arial" w:cs="Arial" w:eastAsia="Arial" w:hAnsi="Arial"/>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5"/>
                <w:szCs w:val="15"/>
                <w:color w:val="auto"/>
              </w:rPr>
            </w:pPr>
          </w:p>
        </w:tc>
        <w:tc>
          <w:tcPr>
            <w:tcW w:w="2480" w:type="dxa"/>
            <w:vAlign w:val="bottom"/>
            <w:tcBorders>
              <w:top w:val="single" w:sz="8" w:color="0000FF"/>
            </w:tcBorders>
            <w:gridSpan w:val="6"/>
          </w:tcPr>
          <w:p>
            <w:pPr>
              <w:spacing w:after="0"/>
              <w:rPr>
                <w:sz w:val="15"/>
                <w:szCs w:val="15"/>
                <w:color w:val="auto"/>
              </w:rPr>
            </w:pPr>
          </w:p>
        </w:tc>
        <w:tc>
          <w:tcPr>
            <w:tcW w:w="1600" w:type="dxa"/>
            <w:vAlign w:val="bottom"/>
            <w:gridSpan w:val="3"/>
          </w:tcPr>
          <w:p>
            <w:pPr>
              <w:spacing w:after="0"/>
              <w:rPr>
                <w:sz w:val="15"/>
                <w:szCs w:val="15"/>
                <w:color w:val="auto"/>
              </w:rPr>
            </w:pPr>
          </w:p>
        </w:tc>
        <w:tc>
          <w:tcPr>
            <w:tcW w:w="1920" w:type="dxa"/>
            <w:vAlign w:val="bottom"/>
            <w:gridSpan w:val="3"/>
          </w:tcPr>
          <w:p>
            <w:pPr>
              <w:spacing w:after="0"/>
              <w:rPr>
                <w:sz w:val="15"/>
                <w:szCs w:val="15"/>
                <w:color w:val="auto"/>
              </w:rPr>
            </w:pP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12.</w:t>
            </w:r>
          </w:p>
        </w:tc>
        <w:tc>
          <w:tcPr>
            <w:tcW w:w="9300" w:type="dxa"/>
            <w:vAlign w:val="bottom"/>
            <w:gridSpan w:val="29"/>
          </w:tcPr>
          <w:p>
            <w:pPr>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13.</w:t>
            </w:r>
          </w:p>
        </w:tc>
        <w:tc>
          <w:tcPr>
            <w:tcW w:w="8020" w:type="dxa"/>
            <w:vAlign w:val="bottom"/>
            <w:tcBorders>
              <w:top w:val="single" w:sz="8" w:color="0000FF"/>
            </w:tcBorders>
            <w:gridSpan w:val="27"/>
          </w:tcPr>
          <w:p>
            <w:pPr>
              <w:spacing w:after="0" w:line="18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2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14.</w:t>
            </w:r>
          </w:p>
        </w:tc>
        <w:tc>
          <w:tcPr>
            <w:tcW w:w="610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rPr>
              <w:t>Principal Accountant Fees and Services</w:t>
            </w:r>
          </w:p>
        </w:tc>
        <w:tc>
          <w:tcPr>
            <w:tcW w:w="320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spacing w:after="0"/>
              <w:rPr>
                <w:sz w:val="20"/>
                <w:szCs w:val="20"/>
                <w:color w:val="auto"/>
              </w:rPr>
            </w:pPr>
            <w:r>
              <w:rPr>
                <w:rFonts w:ascii="Arial" w:cs="Arial" w:eastAsia="Arial" w:hAnsi="Arial"/>
                <w:sz w:val="18"/>
                <w:szCs w:val="18"/>
                <w:b w:val="1"/>
                <w:bCs w:val="1"/>
                <w:color w:val="0000FF"/>
              </w:rPr>
              <w:t>PART IV</w:t>
            </w:r>
          </w:p>
        </w:tc>
        <w:tc>
          <w:tcPr>
            <w:tcW w:w="7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5"/>
            <w:vMerge w:val="continue"/>
          </w:tcPr>
          <w:p>
            <w:pPr>
              <w:spacing w:after="0"/>
              <w:rPr>
                <w:sz w:val="24"/>
                <w:szCs w:val="24"/>
                <w:color w:val="auto"/>
              </w:rPr>
            </w:pPr>
          </w:p>
        </w:tc>
        <w:tc>
          <w:tcPr>
            <w:tcW w:w="9300" w:type="dxa"/>
            <w:vAlign w:val="bottom"/>
            <w:gridSpan w:val="29"/>
            <w:vMerge w:val="restart"/>
          </w:tcPr>
          <w:p>
            <w:pPr>
              <w:spacing w:after="0"/>
              <w:rPr>
                <w:sz w:val="20"/>
                <w:szCs w:val="20"/>
                <w:color w:val="auto"/>
              </w:rPr>
            </w:pPr>
            <w:r>
              <w:rPr>
                <w:rFonts w:ascii="Arial" w:cs="Arial" w:eastAsia="Arial" w:hAnsi="Arial"/>
                <w:sz w:val="18"/>
                <w:szCs w:val="18"/>
                <w:color w:val="0000FF"/>
              </w:rPr>
              <w:t>Exhibits, Financial Statement Schedules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720" w:type="dxa"/>
            <w:vAlign w:val="bottom"/>
            <w:tcBorders>
              <w:left w:val="single" w:sz="8" w:color="0000EE"/>
            </w:tcBorders>
            <w:gridSpan w:val="4"/>
            <w:shd w:val="clear" w:color="auto" w:fill="0000FF"/>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9300" w:type="dxa"/>
            <w:vAlign w:val="bottom"/>
            <w:gridSpan w:val="29"/>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gridSpan w:val="4"/>
          </w:tcPr>
          <w:p>
            <w:pPr>
              <w:spacing w:after="0" w:line="182" w:lineRule="exact"/>
              <w:rPr>
                <w:sz w:val="20"/>
                <w:szCs w:val="20"/>
                <w:color w:val="auto"/>
              </w:rPr>
            </w:pPr>
            <w:r>
              <w:rPr>
                <w:rFonts w:ascii="Arial" w:cs="Arial" w:eastAsia="Arial" w:hAnsi="Arial"/>
                <w:sz w:val="18"/>
                <w:szCs w:val="18"/>
                <w:color w:val="auto"/>
              </w:rPr>
              <w:t>Item 15.</w:t>
            </w:r>
          </w:p>
        </w:tc>
        <w:tc>
          <w:tcPr>
            <w:tcW w:w="420" w:type="dxa"/>
            <w:vAlign w:val="bottom"/>
            <w:vMerge w:val="continue"/>
          </w:tcPr>
          <w:p>
            <w:pPr>
              <w:spacing w:after="0"/>
              <w:rPr>
                <w:sz w:val="15"/>
                <w:szCs w:val="15"/>
                <w:color w:val="auto"/>
              </w:rPr>
            </w:pPr>
          </w:p>
        </w:tc>
        <w:tc>
          <w:tcPr>
            <w:tcW w:w="9300" w:type="dxa"/>
            <w:vAlign w:val="bottom"/>
            <w:gridSpan w:val="2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5"/>
          </w:tcPr>
          <w:p>
            <w:pPr>
              <w:spacing w:after="0" w:line="182" w:lineRule="exact"/>
              <w:rPr>
                <w:sz w:val="20"/>
                <w:szCs w:val="20"/>
                <w:color w:val="auto"/>
              </w:rPr>
            </w:pPr>
            <w:r>
              <w:rPr>
                <w:rFonts w:ascii="Arial" w:cs="Arial" w:eastAsia="Arial" w:hAnsi="Arial"/>
                <w:sz w:val="18"/>
                <w:szCs w:val="18"/>
                <w:color w:val="auto"/>
              </w:rPr>
              <w:t>Item 16</w:t>
            </w:r>
          </w:p>
        </w:tc>
        <w:tc>
          <w:tcPr>
            <w:tcW w:w="1680" w:type="dxa"/>
            <w:vAlign w:val="bottom"/>
            <w:tcBorders>
              <w:top w:val="single" w:sz="8" w:color="0000FF"/>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99"/>
              </w:rPr>
              <w:t>Form 10-K Summary</w:t>
            </w:r>
          </w:p>
        </w:tc>
        <w:tc>
          <w:tcPr>
            <w:tcW w:w="20" w:type="dxa"/>
            <w:vAlign w:val="bottom"/>
            <w:tcBorders>
              <w:top w:val="single" w:sz="8" w:color="0000FF"/>
              <w:bottom w:val="single" w:sz="8" w:color="0000EE"/>
            </w:tcBorders>
          </w:tcPr>
          <w:p>
            <w:pPr>
              <w:spacing w:after="0"/>
              <w:rPr>
                <w:sz w:val="15"/>
                <w:szCs w:val="15"/>
                <w:color w:val="auto"/>
              </w:rPr>
            </w:pPr>
          </w:p>
        </w:tc>
        <w:tc>
          <w:tcPr>
            <w:tcW w:w="1520" w:type="dxa"/>
            <w:vAlign w:val="bottom"/>
            <w:tcBorders>
              <w:top w:val="single" w:sz="8" w:color="0000FF"/>
            </w:tcBorders>
            <w:gridSpan w:val="6"/>
          </w:tcPr>
          <w:p>
            <w:pPr>
              <w:spacing w:after="0"/>
              <w:rPr>
                <w:sz w:val="15"/>
                <w:szCs w:val="15"/>
                <w:color w:val="auto"/>
              </w:rPr>
            </w:pPr>
          </w:p>
        </w:tc>
        <w:tc>
          <w:tcPr>
            <w:tcW w:w="608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19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This Annual Report on Form 10-K contains forward-looking statements within the meaning of Section 21E of the Securities Exchange Act of 1934, as amended (the Exchange Act), and Section 27A of the Securities Act of 1933, as amended (the Securities Act). All statements other than statements of historical facts contained in this Annual Report on Form 10-K, including statements regarding our future results of operations and financial position, business strategy, research and development plans, the anticipated timing, costs, design and conduct of our ongoing and planned preclinical studies and planned clinical trials for our product candidates, the timing and likelihood of regulatory filings and approvals for our product candidates, our ability to commercialize our product candidates, if approved, the pricing and reimbursement of our product candidates, if approved, the potential to develop future product candidates, the potential benefits of current and future licenses, acquisitions, and strategic arrangements with third parties, and our intent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on Form 10-K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7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risks, uncertainties and assumptions, including those described in Part I, Item 1A, “Risk Factors.”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69"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This Annual Report on Form 10-K includes our trademarks as well as trademarks, tradenames and service marks that are the property of other organizations. Solely for convenience, trademarks and tradenames referred to in this Annual Report on Form 10-K appear without the</w:t>
      </w:r>
    </w:p>
    <w:p>
      <w:pPr>
        <w:ind w:right="100" w:firstLine="8"/>
        <w:spacing w:after="0" w:line="250" w:lineRule="auto"/>
        <w:tabs>
          <w:tab w:leader="none" w:pos="183"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maintain a website at www.erasca.com, to which we regularly post copies of our press releases as well as additional</w:t>
      </w:r>
    </w:p>
    <w:p>
      <w:pPr>
        <w:spacing w:after="0" w:line="14" w:lineRule="exact"/>
        <w:rPr>
          <w:sz w:val="20"/>
          <w:szCs w:val="20"/>
          <w:color w:val="auto"/>
        </w:rPr>
      </w:pPr>
    </w:p>
    <w:p>
      <w:pPr>
        <w:jc w:val="both"/>
        <w:ind w:right="300"/>
        <w:spacing w:after="0" w:line="242" w:lineRule="auto"/>
        <w:rPr>
          <w:sz w:val="20"/>
          <w:szCs w:val="20"/>
          <w:color w:val="auto"/>
        </w:rPr>
      </w:pPr>
      <w:r>
        <w:rPr>
          <w:rFonts w:ascii="Arial" w:cs="Arial" w:eastAsia="Arial" w:hAnsi="Arial"/>
          <w:sz w:val="18"/>
          <w:szCs w:val="18"/>
          <w:color w:val="auto"/>
        </w:rPr>
        <w:t>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0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in Item 1A of Part I of this Annual Report on Form 10-K, and should be carefully considered, together with other information in this Annual Report on Form 10-K and our other filings with the SEC before making investment decisions regarding our common stock.</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ind w:left="503" w:right="20" w:hanging="503"/>
        <w:spacing w:after="0" w:line="252" w:lineRule="auto"/>
        <w:tabs>
          <w:tab w:leader="none" w:pos="503"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62" w:lineRule="exact"/>
        <w:rPr>
          <w:rFonts w:ascii="Times New Roman" w:cs="Times New Roman" w:eastAsia="Times New Roman" w:hAnsi="Times New Roman"/>
          <w:sz w:val="18"/>
          <w:szCs w:val="18"/>
          <w:color w:val="auto"/>
        </w:rPr>
      </w:pPr>
    </w:p>
    <w:p>
      <w:pPr>
        <w:ind w:left="503" w:right="600" w:hanging="503"/>
        <w:spacing w:after="0" w:line="252" w:lineRule="auto"/>
        <w:tabs>
          <w:tab w:leader="none" w:pos="503"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spacing w:after="0" w:line="62" w:lineRule="exact"/>
        <w:rPr>
          <w:rFonts w:ascii="Times New Roman" w:cs="Times New Roman" w:eastAsia="Times New Roman" w:hAnsi="Times New Roman"/>
          <w:sz w:val="18"/>
          <w:szCs w:val="18"/>
          <w:color w:val="auto"/>
        </w:rPr>
      </w:pPr>
    </w:p>
    <w:p>
      <w:pPr>
        <w:ind w:left="503" w:right="60" w:hanging="503"/>
        <w:spacing w:after="0" w:line="270" w:lineRule="auto"/>
        <w:tabs>
          <w:tab w:leader="none" w:pos="503"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successfully develop and commercialize our product candidates or experience significant delays in doing so, our business will be materially harmed.</w:t>
      </w:r>
    </w:p>
    <w:p>
      <w:pPr>
        <w:spacing w:after="0" w:line="46" w:lineRule="exact"/>
        <w:rPr>
          <w:rFonts w:ascii="Times New Roman" w:cs="Times New Roman" w:eastAsia="Times New Roman" w:hAnsi="Times New Roman"/>
          <w:sz w:val="18"/>
          <w:szCs w:val="18"/>
          <w:color w:val="auto"/>
        </w:rPr>
      </w:pPr>
    </w:p>
    <w:p>
      <w:pPr>
        <w:ind w:left="503" w:hanging="503"/>
        <w:spacing w:after="0" w:line="252" w:lineRule="auto"/>
        <w:tabs>
          <w:tab w:leader="none" w:pos="503"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approach to the discovery and development of product candidates is unproven, and we do not know whether we will be able to develop any products of commercial value, or if competing approaches will limit the commercial value of our product candidates.</w:t>
      </w:r>
    </w:p>
    <w:p>
      <w:pPr>
        <w:spacing w:after="0" w:line="62" w:lineRule="exact"/>
        <w:rPr>
          <w:rFonts w:ascii="Times New Roman" w:cs="Times New Roman" w:eastAsia="Times New Roman" w:hAnsi="Times New Roman"/>
          <w:sz w:val="18"/>
          <w:szCs w:val="18"/>
          <w:color w:val="auto"/>
        </w:rPr>
      </w:pPr>
    </w:p>
    <w:p>
      <w:pPr>
        <w:ind w:left="503" w:right="200" w:hanging="503"/>
        <w:spacing w:after="0" w:line="252" w:lineRule="auto"/>
        <w:tabs>
          <w:tab w:leader="none" w:pos="503"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Clinical and preclinical development involves a lengthy and expensive process with an uncertain outcome, and the results of preclinical studies and early clinical trials are not necessarily predictive of future results. Our product candidates may not have favorable results in clinical trials, if any, or receive regulatory approval on a timely basis, or at all.</w:t>
      </w:r>
    </w:p>
    <w:p>
      <w:pPr>
        <w:spacing w:after="0" w:line="62" w:lineRule="exact"/>
        <w:rPr>
          <w:rFonts w:ascii="Times New Roman" w:cs="Times New Roman" w:eastAsia="Times New Roman" w:hAnsi="Times New Roman"/>
          <w:sz w:val="18"/>
          <w:szCs w:val="18"/>
          <w:color w:val="auto"/>
        </w:rPr>
      </w:pPr>
    </w:p>
    <w:p>
      <w:pPr>
        <w:ind w:left="503" w:right="280" w:hanging="503"/>
        <w:spacing w:after="0" w:line="252" w:lineRule="auto"/>
        <w:tabs>
          <w:tab w:leader="none" w:pos="503"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62" w:lineRule="exact"/>
        <w:rPr>
          <w:rFonts w:ascii="Times New Roman" w:cs="Times New Roman" w:eastAsia="Times New Roman" w:hAnsi="Times New Roman"/>
          <w:sz w:val="18"/>
          <w:szCs w:val="18"/>
          <w:color w:val="auto"/>
        </w:rPr>
      </w:pPr>
    </w:p>
    <w:p>
      <w:pPr>
        <w:ind w:left="503" w:right="260" w:hanging="503"/>
        <w:spacing w:after="0" w:line="246" w:lineRule="auto"/>
        <w:tabs>
          <w:tab w:leader="none" w:pos="503"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68" w:lineRule="exact"/>
        <w:rPr>
          <w:rFonts w:ascii="Times New Roman" w:cs="Times New Roman" w:eastAsia="Times New Roman" w:hAnsi="Times New Roman"/>
          <w:sz w:val="18"/>
          <w:szCs w:val="18"/>
          <w:color w:val="auto"/>
        </w:rPr>
      </w:pPr>
    </w:p>
    <w:p>
      <w:pPr>
        <w:ind w:left="503" w:right="100" w:hanging="503"/>
        <w:spacing w:after="0" w:line="270" w:lineRule="auto"/>
        <w:tabs>
          <w:tab w:leader="none" w:pos="503"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to conduct many of our preclinical studies and clinical trials and to manufacture our product candidates, and these third parties may not perform satisfactorily.</w:t>
      </w:r>
    </w:p>
    <w:p>
      <w:pPr>
        <w:spacing w:after="0" w:line="46" w:lineRule="exact"/>
        <w:rPr>
          <w:rFonts w:ascii="Times New Roman" w:cs="Times New Roman" w:eastAsia="Times New Roman" w:hAnsi="Times New Roman"/>
          <w:sz w:val="18"/>
          <w:szCs w:val="18"/>
          <w:color w:val="auto"/>
        </w:rPr>
      </w:pPr>
    </w:p>
    <w:p>
      <w:pPr>
        <w:ind w:left="503" w:right="180" w:hanging="503"/>
        <w:spacing w:after="0" w:line="252" w:lineRule="auto"/>
        <w:tabs>
          <w:tab w:leader="none" w:pos="503"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technologies or product candidates more rapidly than we do or their technologies are more effective, our business and ability to develop and successfully commercialize products may be adversely affected.</w:t>
      </w:r>
    </w:p>
    <w:p>
      <w:pPr>
        <w:spacing w:after="0" w:line="6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16" w:lineRule="exact"/>
        <w:rPr>
          <w:rFonts w:ascii="Times New Roman" w:cs="Times New Roman" w:eastAsia="Times New Roman" w:hAnsi="Times New Roman"/>
          <w:sz w:val="18"/>
          <w:szCs w:val="18"/>
          <w:color w:val="auto"/>
        </w:rPr>
      </w:pPr>
    </w:p>
    <w:p>
      <w:pPr>
        <w:ind w:left="503" w:right="200" w:hanging="503"/>
        <w:spacing w:after="0" w:line="270" w:lineRule="auto"/>
        <w:tabs>
          <w:tab w:leader="none" w:pos="503"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trading price of the shares of our common stock could be highly volatile, and purchasers of our common stock could incur substantial losses.</w:t>
      </w:r>
    </w:p>
    <w:p>
      <w:pPr>
        <w:spacing w:after="0" w:line="114"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93"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 Erasca, our name is our mission: to </w:t>
      </w:r>
      <w:r>
        <w:rPr>
          <w:rFonts w:ascii="Arial" w:cs="Arial" w:eastAsia="Arial" w:hAnsi="Arial"/>
          <w:sz w:val="18"/>
          <w:szCs w:val="18"/>
          <w:u w:val="single" w:color="auto"/>
          <w:color w:val="auto"/>
        </w:rPr>
        <w:t>eras</w:t>
      </w:r>
      <w:r>
        <w:rPr>
          <w:rFonts w:ascii="Arial" w:cs="Arial" w:eastAsia="Arial" w:hAnsi="Arial"/>
          <w:sz w:val="18"/>
          <w:szCs w:val="18"/>
          <w:color w:val="auto"/>
        </w:rPr>
        <w:t xml:space="preserve">e </w:t>
      </w:r>
      <w:r>
        <w:rPr>
          <w:rFonts w:ascii="Arial" w:cs="Arial" w:eastAsia="Arial" w:hAnsi="Arial"/>
          <w:sz w:val="18"/>
          <w:szCs w:val="18"/>
          <w:u w:val="single" w:color="auto"/>
          <w:color w:val="auto"/>
        </w:rPr>
        <w:t>ca</w:t>
      </w:r>
      <w:r>
        <w:rPr>
          <w:rFonts w:ascii="Arial" w:cs="Arial" w:eastAsia="Arial" w:hAnsi="Arial"/>
          <w:sz w:val="18"/>
          <w:szCs w:val="18"/>
          <w:color w:val="auto"/>
        </w:rPr>
        <w:t>ncer.</w:t>
      </w:r>
    </w:p>
    <w:p>
      <w:pPr>
        <w:spacing w:after="0" w:line="19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more than five million new patients diagnosed with cancer globally each year. Our company was co-founded by leading pioneers in precision oncology and RAS targeting to create novel therapies and combination regimens designed to comprehensively shut down the RAS/MAPK pathway for the treatment of patients with cancer. We have assembled one of the deepest RAS/MAPK pathway-focused pipelines in the industry, which comprises modality-agnostic programs aligned with our three therapeutic strategies of: (1) targeting key upstream and downstream signaling nodes in the RAS/MAPK pathway; (2) targeting RAS directly; and (3) targeting escape routes that emerge in response to treatment. The target breadth and molecular diversity represented in our pipeline enable us to pursue a systematic, data-driven, portfolio-wide clinical development effort to identify single agent and combination approaches with the goal of prolonging survival in numerous patient populations with high unmet medical needs.</w:t>
      </w:r>
    </w:p>
    <w:p>
      <w:pPr>
        <w:spacing w:after="0" w:line="15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modality-agnostic approach aims to allow us to selectively and potently target critical signaling nodes with the most appropriate modality, including small and large molecule therapeutics. Our purpose-built pipeline includes one clinical-stage program (a pan-RAF inhibitor), two IND-enabling stage programs (a pan-RAS molecular glue and a pan-KRAS inhibitor), and an additional discovery-stage program (an EGFR D2/D3 biparatopic antibody). We believe our world-class team’s capabilities and experience, further guided by our scientific advisory board (SAB), which includes the world’s leading experts in the RAS/MAPK pathway, uniquely position us to achieve our bold mission of erasing cancer.</w:t>
      </w:r>
    </w:p>
    <w:p>
      <w:pPr>
        <w:spacing w:after="0" w:line="16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Of the more than five million new patients diagnosed globally per year with cancers driven by RAS/MAPK pathway molecular alterations, most have limited or no targeted therapy treatment options. While the RAS/MAPK pathway has been well characterized and validated based on multiple compounds approved or in development targeting discrete signaling nodes in the cascade, most of these compounds face resistance and tolerability challenges, highlighting the need for new approaches to target this pathway. We believe that to effectively shut down a pathway that signals as promiscuously as RAS/MAPK, a holistic approach must be taken to target not just individual nodes, but multiple nodes and cooperative mechanisms in parallel. As depicted in the following figure and described below, we are pursuing three therapeutic strategies that may be used in combination with the goal of comprehensively, and perhaps synergistically, shutting down the RAS/MAPK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117475</wp:posOffset>
            </wp:positionV>
            <wp:extent cx="3968750" cy="3188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6875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5" w:name="page6"/>
    <w:bookmarkEnd w:id="5"/>
    <w:p>
      <w:pPr>
        <w:ind w:left="1020" w:right="60" w:hanging="503"/>
        <w:spacing w:after="0" w:line="239" w:lineRule="auto"/>
        <w:tabs>
          <w:tab w:leader="none" w:pos="10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upstream and downstream MAPK pathway nodes with single agents and combinations intended to clamp these oncogenic drivers. </w:t>
      </w:r>
      <w:r>
        <w:rPr>
          <w:rFonts w:ascii="Arial" w:cs="Arial" w:eastAsia="Arial" w:hAnsi="Arial"/>
          <w:sz w:val="18"/>
          <w:szCs w:val="18"/>
          <w:color w:val="auto"/>
        </w:rPr>
        <w:t>Our lead product candidate, naporafenib, targets RAF, a key node of the RAS/MAPK pathway.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naporafenib in combination with trametinib (MEKINIST) (MEK inhibitor) and other targeted therapies to delay emergence of resistance in response to RAS/MAPK pathway inhibition. We are also evaluating drug combinations targeting upstream and downstream nodes to shut down, or “clamp,” the signaling of various oncogenic drivers, such as receptor tyrosine kinases (RTKs), NF1, RAS, RAF, and MEK alterations, trapped between the inhibited nodes. We refer to this approach as a "MAPKlamp." With this MAPKlamp approach, we hope to induce tumor regression in RAS/MAPK pathway-driven cancers, while also blocking the in-pathway escape routes that lead to tumor resistance.</w:t>
      </w:r>
    </w:p>
    <w:p>
      <w:pPr>
        <w:spacing w:after="0" w:line="171" w:lineRule="exact"/>
        <w:rPr>
          <w:rFonts w:ascii="Arial" w:cs="Arial" w:eastAsia="Arial" w:hAnsi="Arial"/>
          <w:sz w:val="18"/>
          <w:szCs w:val="18"/>
          <w:b w:val="1"/>
          <w:bCs w:val="1"/>
          <w:i w:val="1"/>
          <w:iCs w:val="1"/>
          <w:color w:val="auto"/>
        </w:rPr>
      </w:pPr>
    </w:p>
    <w:p>
      <w:pPr>
        <w:ind w:left="1020" w:right="240" w:hanging="503"/>
        <w:spacing w:after="0" w:line="242" w:lineRule="auto"/>
        <w:tabs>
          <w:tab w:leader="none" w:pos="10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RAS, the midstream MAPK pathway node, directly with single agents and combinations. </w:t>
      </w:r>
      <w:r>
        <w:rPr>
          <w:rFonts w:ascii="Arial" w:cs="Arial" w:eastAsia="Arial" w:hAnsi="Arial"/>
          <w:sz w:val="18"/>
          <w:szCs w:val="18"/>
          <w:color w:val="auto"/>
        </w:rPr>
        <w:t>Our RAS-targeting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franchise, ERAS-0015 and ERAS-4001, consists of molecules that are designed to potently and selectively bind to oncogenic RAS alterations (e.g., G12X, G13X +/- Q61X) and to block activation of wildtype RAS isoforms that mediate tumor resistance. These molecules are designed to prevent RAS-mediated signaling either by preventing RAS from binding to downstream effector proteins by forming a RAS-Cyclophilin A protein complex (as in the case of ERAS-0015) or by locking KRAS in the inactive GDP-bound state (as in the case of ERAS-4001).</w:t>
      </w:r>
    </w:p>
    <w:p>
      <w:pPr>
        <w:spacing w:after="0" w:line="165" w:lineRule="exact"/>
        <w:rPr>
          <w:rFonts w:ascii="Arial" w:cs="Arial" w:eastAsia="Arial" w:hAnsi="Arial"/>
          <w:sz w:val="18"/>
          <w:szCs w:val="18"/>
          <w:b w:val="1"/>
          <w:bCs w:val="1"/>
          <w:i w:val="1"/>
          <w:iCs w:val="1"/>
          <w:color w:val="auto"/>
        </w:rPr>
      </w:pPr>
    </w:p>
    <w:p>
      <w:pPr>
        <w:ind w:left="1020" w:right="140" w:hanging="503"/>
        <w:spacing w:after="0" w:line="253" w:lineRule="auto"/>
        <w:tabs>
          <w:tab w:leader="none" w:pos="10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escape routes enabled by other proteins or pathways to further disrupt RAS/MAPK pathway signaling. </w:t>
      </w:r>
      <w:r>
        <w:rPr>
          <w:rFonts w:ascii="Arial" w:cs="Arial" w:eastAsia="Arial" w:hAnsi="Arial"/>
          <w:sz w:val="18"/>
          <w:szCs w:val="18"/>
          <w:color w:val="auto"/>
        </w:rPr>
        <w:t>RAS-driven cancers utilize escape routes, namely cooperative mechanisms, to develop resistance to targeted therapies. By shutting down these potential escape routes, we aim to provide more robust inhibition of oncogenic signaling.</w:t>
      </w:r>
    </w:p>
    <w:p>
      <w:pPr>
        <w:spacing w:after="0" w:line="155"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To pursue these therapeutic strategies, we have assembled and are developing one of the deepest pipelines targeting multiple signaling nodes to shut down the RAS/MAPK pathway. We intend to study these agents either alone or in rational combinations across multiple relevant tumor types. The following table summarizes our current modality-agnostic pipeline to eradicate RAS/MAPK pathway-driven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113665</wp:posOffset>
            </wp:positionV>
            <wp:extent cx="5349240" cy="1894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pipeline also includes ERAS-801, a brain-penetrant EGFR inhibitor in development for patients with EGFR-altered recurrent glioblastoma (GBM) (for which we are concluding a Phase 1 trial and exploring further advancement, including via partnerships and investigator-sponsored trials), ERAS-007 ERK1/2 inhibitor, and ERAS-601 SHP2 inhibitor. ERAS-007 and ERAS-601 are being assessed in preclinical studies as potential combination partners with other programs in our pipeline for RAS/MAPK pathway inhibition. Via Erasca Ventures, LLC (Erasca Ventures), we made an equity investment in Affini-T Therapeutics, Inc. (Affini-T), which is developing TCR T-cell therapies against KRAS G12V, KRAS G12D, and KRAS G12C.</w:t>
      </w:r>
    </w:p>
    <w:p>
      <w:pPr>
        <w:spacing w:after="0" w:line="16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Our lead product candidate is naporafenib, for which we initiated our SEACRAFT-2 pivotal Phase 3 trial in the first half of 2024 for patients with NRAS-mutated (NRASm) melanoma. In October 2024, we announced promising preliminary data from our SEACRAFT-1 Phase 1b trial for patients with NRAS Q61X melanoma in an oral presentation at the 36th EORTC-NCI-AACR (ENA) Symposium (2024 Triple Meeting). Naporafenib is a pan-RAF inhibitor with first-in-class and best-in-class potential for patients with NRASm melanoma and other RAS/MAPK pathway-driven tumors. RAF proteins are ubiquitously expressed serine-threonine kinases that constitute a key node of the RAS/MAPK pathway downstream of RAS and upstream of MEK. The RAF protein family consists of ARAF, BRAF, and CRAF (RAF1) that are activated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6" w:name="page7"/>
    <w:bookmarkEnd w:id="6"/>
    <w:p>
      <w:pPr>
        <w:spacing w:after="0" w:line="207" w:lineRule="exact"/>
        <w:rPr>
          <w:sz w:val="20"/>
          <w:szCs w:val="20"/>
          <w:color w:val="auto"/>
        </w:rPr>
      </w:pPr>
      <w:r>
        <w:rPr>
          <w:rFonts w:ascii="Arial" w:cs="Arial" w:eastAsia="Arial" w:hAnsi="Arial"/>
          <w:sz w:val="18"/>
          <w:szCs w:val="18"/>
          <w:color w:val="auto"/>
        </w:rPr>
        <w:t>through dimerization. Mutations in RAF proteins have been observed in many cancers, such as melanoma, colorectal cancer (CRC), non-small cell lung cancer (NSCLC), and thyroid cancer. We in-licensed naporafenib from Novartis Pharma AG (Novartis) in December 2022. Naporafenib has been dosed in over 600 patients to date, whereby safety, tolerability, and acceptable pharmacokinetics (PK) and pharmacodynamics (PD) have been established in both monotherapy and select combinations, with clinical proof-of-concept (PoC) data in combination with trametinib for patients with NRASm melanoma, which includes NRAS Q61X melanoma. In December 2023, we announced that the US Food and Drug Administration (FDA) granted Fast Track Designation (FTD) to naporafenib in combination with trametinib for the treatment of adult patients with unresectable or metastatic melanoma who have progressed on, or are intolerant to, an anti</w:t>
      </w:r>
      <w:r>
        <w:rPr>
          <w:rFonts w:ascii="MS PGothic" w:cs="MS PGothic" w:eastAsia="MS PGothic" w:hAnsi="MS PGothic"/>
          <w:sz w:val="18"/>
          <w:szCs w:val="18"/>
          <w:color w:val="auto"/>
        </w:rPr>
        <w:t>‑</w:t>
      </w:r>
      <w:r>
        <w:rPr>
          <w:rFonts w:ascii="Arial" w:cs="Arial" w:eastAsia="Arial" w:hAnsi="Arial"/>
          <w:sz w:val="18"/>
          <w:szCs w:val="18"/>
          <w:color w:val="auto"/>
        </w:rPr>
        <w:t>programmed death-1 (ligand 1) (PD</w:t>
      </w:r>
      <w:r>
        <w:rPr>
          <w:rFonts w:ascii="MS PGothic" w:cs="MS PGothic" w:eastAsia="MS PGothic" w:hAnsi="MS PGothic"/>
          <w:sz w:val="18"/>
          <w:szCs w:val="18"/>
          <w:color w:val="auto"/>
        </w:rPr>
        <w:t>‑</w:t>
      </w:r>
      <w:r>
        <w:rPr>
          <w:rFonts w:ascii="Arial" w:cs="Arial" w:eastAsia="Arial" w:hAnsi="Arial"/>
          <w:sz w:val="18"/>
          <w:szCs w:val="18"/>
          <w:color w:val="auto"/>
        </w:rPr>
        <w:t>(L)1)-based regimen, and whose tumors contain an NRAS mutation. Programs that receive FTD may benefit from early and frequent interactions with the FDA during the clinical development process and, if relevant criteria are met, the FDA may consider reviewing portions of a marketing application before the sponsor submits the complete application.</w:t>
      </w:r>
    </w:p>
    <w:p>
      <w:pPr>
        <w:spacing w:after="0" w:line="166"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 xml:space="preserve">Our development strategy for naporafenib includes our SEACRAFT trials designed to evaluate naporafenib in combination with other targeted therapies. Our SEACRAFT-2 trial is supported by the clinical PoC data in patients with NRASm melanoma that we presented from the SEACRAFT-1 trial at the 2024 Triple Meeting. In addition, we believe such clinical PoC in NRASm melanoma is supported by data presented by Novartis at the European Society for Medical Oncology Congress 2022 (ESMO Congress 2022) medical conference and as published in March 2023 by de Braud et al. in the </w:t>
      </w:r>
      <w:r>
        <w:rPr>
          <w:rFonts w:ascii="Arial" w:cs="Arial" w:eastAsia="Arial" w:hAnsi="Arial"/>
          <w:sz w:val="17"/>
          <w:szCs w:val="17"/>
          <w:i w:val="1"/>
          <w:iCs w:val="1"/>
          <w:color w:val="auto"/>
        </w:rPr>
        <w:t>Journal of Clinical Oncology</w:t>
      </w:r>
      <w:r>
        <w:rPr>
          <w:rFonts w:ascii="Arial" w:cs="Arial" w:eastAsia="Arial" w:hAnsi="Arial"/>
          <w:sz w:val="17"/>
          <w:szCs w:val="17"/>
          <w:color w:val="auto"/>
        </w:rPr>
        <w:t>. In connection with our SEACRAFT-2 trial, we have entered into a clinical trial collaboration and supply agreement (CTCSA) with Novartis for its MEK inhibitor, trametinib. Pursuant to the CTCSA, we are sponsoring and funding the clinical trial and Novartis is providing its drug to us free of charge. In addition, we are evaluating additional combinations of naporafenib with our other RAS/MAPK pathway targeting agents and/or external agents in preclinical models.</w:t>
      </w:r>
    </w:p>
    <w:p>
      <w:pPr>
        <w:spacing w:after="0" w:line="154"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On October 24, 2024, we announced preliminary data from our SEACRAFT-1 trial in an oral presentation at the 2024 Triple Meeting. The preliminary clinical activity of naporafenib plus trametinib in the melanoma cohort of SEACRAFT-1 include, as of the efficacy cutoff date*:</w:t>
      </w:r>
    </w:p>
    <w:p>
      <w:pPr>
        <w:spacing w:after="0" w:line="46" w:lineRule="exact"/>
        <w:rPr>
          <w:sz w:val="20"/>
          <w:szCs w:val="20"/>
          <w:color w:val="auto"/>
        </w:rPr>
      </w:pPr>
    </w:p>
    <w:p>
      <w:pPr>
        <w:jc w:val="both"/>
        <w:ind w:left="1020" w:right="200" w:hanging="503"/>
        <w:spacing w:after="0" w:line="252"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40% (4/10) response rate observed in the efficacy-evaluable patients with NRAS Q61X melanoma, including three confirmed partial responses and one unconfirmed partial response; the melanoma cohort in SEACRAFT-1 is generally representative of the patient population currently being enrolled in the pivotal SEACRAFT-2 trial</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70% (7/10) of patients remained on treatment as of the data cutoff, including all four responders</w:t>
      </w:r>
    </w:p>
    <w:p>
      <w:pPr>
        <w:spacing w:after="0" w:line="211"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In addition, we reported that naporafenib plus trametinib was generally well tolerated as of the safety cutoff date*, with mostly low-grade adverse events in the majority of patients. We believe that the use of mandatory primary rash prophylaxis helped reduce the frequency and severity of skin toxicities, reduced the drug discontinuation rate due to adverse events, and improved the observed tolerability results as measured by the increased relative dose intensity, as compared to the prior clinical trials of naporafenib plus trametinib conducted by Novartis, which did not include the use of mandatory primary rash prophylaxis.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Efficacy data cutoff date was September 5, 2024. Safety data cutoff date was September 3, 2024.</w:t>
      </w:r>
    </w:p>
    <w:p>
      <w:pPr>
        <w:spacing w:after="0" w:line="19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believe that while the preliminary SEACRAFT-1 data do not support further exploration of a tissue-agnostic indication, they do reinforce the potential of the ongoing Phase 3 SEACRAFT-2 trial in patients with NRASm melanoma. We expect to read out randomized dose optimization data of naporafenib plus trametinib from Stage 1 of the SEACRAFT-2 Phase 3 trial in the second half of 2025. Stage 2 of the SEACRAFT-2 Phase 3 trial is currently designed to compare naporafenib plus trametinib against physician's choice of chemotherapy or trametinib using dual primary endpoints of progression free survival and overall survival for regulatory approval.</w:t>
      </w:r>
    </w:p>
    <w:p>
      <w:pPr>
        <w:spacing w:after="0" w:line="16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Our next two programs are part of our RAS-targeting franchise, which we in-licensed in May 2024. We believe these two programs fit within our second approach of targeting RAS directly, both in its active GTP and inactive GDP states. The RAS targeting landscape can be divided into pan-RAS, pan-KRAS, and mutant-selective approaches. We believe pan-RAS and pan-KRAS targeting molecules can address a broad population of patients with G12X, G13X, and possibly Q61X mutations, and also have the potential to address or prevent resistance by blocking wildtype RAS activation.</w:t>
      </w:r>
    </w:p>
    <w:p>
      <w:pPr>
        <w:spacing w:after="0" w:line="163" w:lineRule="exact"/>
        <w:rPr>
          <w:sz w:val="20"/>
          <w:szCs w:val="20"/>
          <w:color w:val="auto"/>
        </w:rPr>
      </w:pPr>
    </w:p>
    <w:p>
      <w:pPr>
        <w:jc w:val="both"/>
        <w:ind w:right="80"/>
        <w:spacing w:after="0" w:line="247" w:lineRule="auto"/>
        <w:rPr>
          <w:sz w:val="20"/>
          <w:szCs w:val="20"/>
          <w:color w:val="auto"/>
        </w:rPr>
      </w:pPr>
      <w:r>
        <w:rPr>
          <w:rFonts w:ascii="Arial" w:cs="Arial" w:eastAsia="Arial" w:hAnsi="Arial"/>
          <w:sz w:val="18"/>
          <w:szCs w:val="18"/>
          <w:color w:val="auto"/>
        </w:rPr>
        <w:t>ERAS-0015 is a potential best-in-class pan-RAS molecular glue in development for the treatment of patients with RAS-altered solid tumors. In vitro, ERAS-0015 has shown approximately 8-21 times higher binding affinity to cyclophilin A versus the leading pan-RAS molecular glue in development. We believe this higher binding affinity results in approximately 5 times more potent RAS inhibition than the comparator that has been demonstrated in cell-based assays.</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7" w:name="page8"/>
    <w:bookmarkEnd w:id="7"/>
    <w:p>
      <w:pPr>
        <w:ind w:right="20"/>
        <w:spacing w:after="0" w:line="244" w:lineRule="auto"/>
        <w:rPr>
          <w:sz w:val="20"/>
          <w:szCs w:val="20"/>
          <w:color w:val="auto"/>
        </w:rPr>
      </w:pPr>
      <w:r>
        <w:rPr>
          <w:rFonts w:ascii="Arial" w:cs="Arial" w:eastAsia="Arial" w:hAnsi="Arial"/>
          <w:sz w:val="18"/>
          <w:szCs w:val="18"/>
          <w:color w:val="auto"/>
        </w:rPr>
        <w:t>ERAS-0015 also has favorable absorption, distribution, metabolism and excretion (ADME) and PK properties in multiple animal species. As a result of these favorable in vitro potency and ADME/PK attributes, ERAS-0015 has demonstrated comparable to greater in vivo antitumor activity at doses which are approximately one-tenth to one-eighth of the dose of the leading pan-RAS molecular glue. The initial clinical trial for ERAS-0015 will be AURORAS-1, for which we plan to file an investigational new drug application (IND) in mid-Q2 2025, with an anticipated Phase 1 monotherapy data readout in 2026.</w:t>
      </w:r>
    </w:p>
    <w:p>
      <w:pPr>
        <w:spacing w:after="0" w:line="16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ERAS-4001 is a potential first-in-class pan-KRAS inhibitor in development for the treatment of patients with KRAS-altered solid tumors. The preclinical in vitro potency of ERAS-4001 showed good activity against KRAS G12X mutations, as well as KRAS wildtype amplifications, with no activity observed against HRAS or NRAS wildtype proteins. We believe sparing wild-type HRAS and NRAS has the potential to provide a wider therapeutic window. ERAS-4001 demonstrated activity against both GDP-bound (“inactive state”) and GTP-bound (“active state”) KRAS G12D with single digit nanomolar IC</w:t>
      </w:r>
      <w:r>
        <w:rPr>
          <w:rFonts w:ascii="Arial" w:cs="Arial" w:eastAsia="Arial" w:hAnsi="Arial"/>
          <w:sz w:val="23"/>
          <w:szCs w:val="23"/>
          <w:color w:val="auto"/>
          <w:vertAlign w:val="subscript"/>
        </w:rPr>
        <w:t>50</w:t>
      </w:r>
      <w:r>
        <w:rPr>
          <w:rFonts w:ascii="Arial" w:cs="Arial" w:eastAsia="Arial" w:hAnsi="Arial"/>
          <w:sz w:val="17"/>
          <w:szCs w:val="17"/>
          <w:color w:val="auto"/>
        </w:rPr>
        <w:t>s in a biochemical RAS – RAF1 RBD (RAS Binding Domain) assay. In vivo, ERAS-4001 showed</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good tumor regression in multiple models. In combination with anti-PD-1, ERAS-4001 was able to achieve complete disappearance of tumors in mice on day 31. The initial clinical trial for ERAS-4001 will be BOREALIS-1, for which we plan to file an IND in the second quarter of 2025, with an anticipated Phase 1 monotherapy data readout in 2026.</w:t>
      </w:r>
    </w:p>
    <w:p>
      <w:pPr>
        <w:spacing w:after="0" w:line="16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believe ERAS-0015 has the potential to address unmet medical needs in approximately 2.7 million patients who are diagnosed annually worldwide with RAS-mutant tumors, including the more than 2.2 million patients with KRAS-mutant tumors that ERAS-4001 could also address.</w:t>
      </w:r>
    </w:p>
    <w:p>
      <w:pPr>
        <w:spacing w:after="0" w:line="15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Our next program is ERAS-12, our investigational EGFR D2/D3 biparatopic antibody (bpAb). ERAS-12 is a potential best-in-class biologic that is designed to inhibit EGFR through the combination of multiple proposed mechanisms of action. In tumors where EGFR signaling is thought to be a primary driver of tumor growth, an antibody-based approach has been shown to be an effective way to target the receptor. However, all approved anti-EGFR antibodies target domain III (D3) only, which is the main site for ligand binding, and no approved antibodies target domain II (D2), which is responsible for dimerization of EGFR upon ligand binding. Binding of D2 prevents both EGFR homodimerization as well as heterodimerization. We believe the combined binding of D2 and D3 could result in differentiated and improved inhibition of downstream EGFR signaling. ERAS-12 also aims to exploit the innate immune system to induce tumor cell apoptosis. The Fragment crystallizable (Fc) region of IgG1 antibodies contain binding spots for both immune effector cells (e.g., NK cells) and the classical complement component C1q. By combining novel cell signal inhibition with enhancements to the Fc, we aim to create a potent multi-modal BIC anti-EGFR biologic which we believe could function as a targeted therapy with immunomodulatory activity.</w:t>
      </w:r>
    </w:p>
    <w:p>
      <w:pPr>
        <w:spacing w:after="0" w:line="16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May 2024, in connection with entering into the two license agreements related to ERAS-0015 and ERAS 4001, a review of our strategic priorities, and our decision to deemphasize certain drug discovery activities, we approved a strategic reprioritization to focus a substantial portion of our resources on our naporafenib program, ERAS-0015, and ERAS-4001. We deprioritized our HERKULES-3 clinical trial evaluating ERAS-007 in combination with encorafenib and cetuximab (EC) in patients with EC-naïve BRAF mutated colorectal cancer as we believe the clinical efficacy data did not support continued evaluation. We also deprioritized our THUNDERBBOLT-1 clinical trial evaluating ERAS-801 in patients with GBM, although we are exploring further advancement of the ERAS-801 program, including via partnerships and investigator-sponsored trials. Finally, we deprioritized our preclinical ERAS-4 program; however, certain of our existing ERAS-4 molecules may serve as backup compounds for ERAS-4001.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Our core values, team, and social mission</w:t>
      </w:r>
    </w:p>
    <w:p>
      <w:pPr>
        <w:spacing w:after="0" w:line="207"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are a team of experienced drug discoverers, developers, and company builders who are united by our mission to erase cancer and passionate about creating potentially life-saving precision oncology medicines singularly focused on targeting the RAS/MAPK pathway. Our leadership team has broad and deep experience in oncology, including advancing therapeutic candidates from discovery research to clinical development, regulatory approval, and commercialization. Our core values are embodied by our quest for the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122555</wp:posOffset>
            </wp:positionV>
            <wp:extent cx="5246370" cy="1174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4637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Dr. Jonathan Lim, our Chairman, CEO, and Co-Founder, has helped pioneer transformative advancements in precision oncology and drug delivery, including leading Ignyta’s trailblazing pursuit of a global tissue agnostic label for ROZLYTREK, which became the first drug in biopharmaceutical history to achieve the unprecedented triple crown of breakthrough designations with BTD (FDA), PRIME (EMA) and Sakigake (PMDA). He has served as Chairman and/or CEO and founding investor of six biotechnology companies that have collectively achieved global regulatory approval and launch of seven therapeutic products in oncology, immunology, and drug delivery, benefitting thousands of patients worldwide.</w:t>
      </w:r>
    </w:p>
    <w:p>
      <w:pPr>
        <w:spacing w:after="0" w:line="17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Dr. Michael Varney, our Chair of R&amp;D, SAB member, and a member of our board of directors, is a pioneer drug discoverer and biotech leader. His leadership at Agouron resulted in the discovery of multiple currently marketed anti-cancer agents, including XALKORI and INLYTA. As Executive Vice President and Head of Genentech’s Research and Early Development (gRED) and a member of the Roche Corporate Executive Committee, he was responsible for all aspects of gRED innovation, drug discovery and development, and built a team-based organization that today contributes to more than 40% of Genentech’s development portfolio, including the marketed anti-cancer agents ERIVEDGE and COTELLIC. Under his leadership, gRED teams discovered and developed successful medicines that include VENCLEXTA with AbbVie, the first BCL-2 inhibitor, and POLIVY, an antibody drug conjugate for the treatment of diffuse large B-cell lymphoma.</w:t>
      </w:r>
    </w:p>
    <w:p>
      <w:pPr>
        <w:spacing w:after="0" w:line="18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Dr. Shannon Morris, our Chief Medical Officer, initially joined us as Senior Vice President of Clinical Development and was promoted to Chief Medical Officer in April 2023. She has more than 20 years of experience in the life sciences industry with a focus in oncology drug development, including contributions in both early and late phase development, as well as in both targeted and immune-based therapies. Prior to joining Erasca, she was responsible for the clinical development of lerapolturev, a novel poliovirus-based therapeutic targeting GBM, at Istari Oncology. Prior to Istari, she was the clinical lead for the approval of COSELA. During her time at GSK and MedImmune, she held positions of increasing responsibility and was involved in the development of a number of molecules, including the early development of MEKINIST, and supported the successful biologics license application for IMFINZI in bladder cancer.</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Dr. David Chacko, our Chief Financial Officer and Chief Business Officer, joined us from Versant Ventures, where he was a Principal with both investing and operating responsibilities. He helped lead investment opportunities across multiple therapeutic areas and advanced several Versant portfolio companies operationally through company formation, fundraising, corporate and business development, and clinical and regulatory activities. His prior roles at Alcon/Novartis, McKinsey, SR One, and Morgan Stanley bring to Erasca deep experience in strategy, finance, fundraising, business development, and operations.</w:t>
      </w:r>
    </w:p>
    <w:p>
      <w:pPr>
        <w:spacing w:after="0" w:line="16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Many members of our leadership team have worked together previously at Ignyta or Roche/Genentech, or have joined us from other leading companies in the biopharmaceutical and life science tools sectors such as Illumina, Lilly, Medivation, Merck, Myovant, Neurocrine, Pfizer, and Turning Point, and have worked on numerous oncology drugs that have been approved and launched for the benefit of patients.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9" w:name="page10"/>
    <w:bookmarkEnd w:id="9"/>
    <w:p>
      <w:pPr>
        <w:jc w:val="both"/>
        <w:ind w:right="240"/>
        <w:spacing w:after="0" w:line="253" w:lineRule="auto"/>
        <w:rPr>
          <w:sz w:val="20"/>
          <w:szCs w:val="20"/>
          <w:color w:val="auto"/>
        </w:rPr>
      </w:pPr>
      <w:r>
        <w:rPr>
          <w:rFonts w:ascii="Arial" w:cs="Arial" w:eastAsia="Arial" w:hAnsi="Arial"/>
          <w:sz w:val="18"/>
          <w:szCs w:val="18"/>
          <w:color w:val="auto"/>
        </w:rPr>
        <w:t>Dr. Lim founded Erasca with Dr. Kevan Shokat (Professor and Chair of the Department of Cellular and Molecular Pharmacology at UCSF; Professor of Chemistry at the University of California, Berkeley; and an investigator at the Howard Hughes Medical Institute). In addition to Dr. Shokat, our SAB includes the following RAS/MAPK pathway experts:</w:t>
      </w:r>
    </w:p>
    <w:p>
      <w:pPr>
        <w:spacing w:after="0" w:line="61" w:lineRule="exact"/>
        <w:rPr>
          <w:sz w:val="20"/>
          <w:szCs w:val="20"/>
          <w:color w:val="auto"/>
        </w:rPr>
      </w:pPr>
    </w:p>
    <w:p>
      <w:pPr>
        <w:ind w:left="1020" w:hanging="503"/>
        <w:spacing w:after="0" w:line="243"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Dr. Rene Bernards is a leader in the field of molecular carcinogenesis. His research at the Netherlands Cancer Institute uses functional genomic approaches to find vulnerabilities of cancers that can be exploited therapeutically. He studied medical biology at the University of Amsterdam and obtained his Ph.D. from Leiden University. After a post-doctoral fellowship, he became an assistant professor at Harvard University. In 1992, he joined the Netherlands Cancer Institute, where he continues to work at present.</w:t>
      </w:r>
    </w:p>
    <w:p>
      <w:pPr>
        <w:spacing w:after="0" w:line="71" w:lineRule="exact"/>
        <w:rPr>
          <w:rFonts w:ascii="Times New Roman" w:cs="Times New Roman" w:eastAsia="Times New Roman" w:hAnsi="Times New Roman"/>
          <w:sz w:val="18"/>
          <w:szCs w:val="18"/>
          <w:color w:val="auto"/>
        </w:rPr>
      </w:pPr>
    </w:p>
    <w:p>
      <w:pPr>
        <w:ind w:left="1020" w:hanging="503"/>
        <w:spacing w:after="0" w:line="243"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Dr. Stephen Blacklow is a world expert in SHP2 who helped pioneer development of the first SHP2 inhibitor with Novartis, and is the Gustavus Adolphus Pfeiffer Professor of Biological Chemistry and Molecular Pharmacology, Biological Chemistry and Molecular Pharmacology at Harvard Medical School; a Professor of Pathology at the Brigham And Women’s Hospital; a Professor of Cancer Biology at the Dana-Farber Cancer Institute; and the Chair of the Department of Biological Chemistry and Molecular Pharmacology at Harvard Medical School.</w:t>
      </w:r>
    </w:p>
    <w:p>
      <w:pPr>
        <w:spacing w:after="0" w:line="71" w:lineRule="exact"/>
        <w:rPr>
          <w:rFonts w:ascii="Times New Roman" w:cs="Times New Roman" w:eastAsia="Times New Roman" w:hAnsi="Times New Roman"/>
          <w:sz w:val="18"/>
          <w:szCs w:val="18"/>
          <w:color w:val="auto"/>
        </w:rPr>
      </w:pPr>
    </w:p>
    <w:p>
      <w:pPr>
        <w:ind w:left="1020" w:hanging="503"/>
        <w:spacing w:after="0" w:line="243"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Dr. Karen Cichowski is a world expert in RAS/MAPK pathway signaling, including elucidating how deregulated cell signaling drives tumorigenesis in nervous system, lung, prostate, and breast cancers, combining translational mouse modeling techniques with basic biochemical and cell biological studies, and in identifying novel combination therapies to shut down aberrant RAS/MAPK pathway signaling. She is Professor of Medicine at Harvard Medical School and Professor of Medicine/Genetics at Brigham and Women’s Hospital.</w:t>
      </w:r>
    </w:p>
    <w:p>
      <w:pPr>
        <w:spacing w:after="0" w:line="71" w:lineRule="exact"/>
        <w:rPr>
          <w:rFonts w:ascii="Times New Roman" w:cs="Times New Roman" w:eastAsia="Times New Roman" w:hAnsi="Times New Roman"/>
          <w:sz w:val="18"/>
          <w:szCs w:val="18"/>
          <w:color w:val="auto"/>
        </w:rPr>
      </w:pPr>
    </w:p>
    <w:p>
      <w:pPr>
        <w:ind w:left="1020" w:right="20" w:hanging="503"/>
        <w:spacing w:after="0" w:line="243"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Dr. Ryan Corcoran is a gastrointestinal oncologist with a primary interest in translational oncology research who focuses on targeted therapies directed against mutations commonly found in human cancers, such as BRAF and KRAS mutations. He is also a world expert in ERK, having studied nearly every ERK inhibitor that has been or is being developed in the field. He is also the Director of the Gastrointestinal Cancer Center Program; the Scientific Director of the Termeer Center for Targeted Therapy at Massachusetts General Hospital Cancer Center; and an Associate Professor of Medicine at Harvard Medical School.</w:t>
      </w:r>
    </w:p>
    <w:p>
      <w:pPr>
        <w:spacing w:after="0" w:line="71" w:lineRule="exact"/>
        <w:rPr>
          <w:rFonts w:ascii="Times New Roman" w:cs="Times New Roman" w:eastAsia="Times New Roman" w:hAnsi="Times New Roman"/>
          <w:sz w:val="18"/>
          <w:szCs w:val="18"/>
          <w:color w:val="auto"/>
        </w:rPr>
      </w:pPr>
    </w:p>
    <w:p>
      <w:pPr>
        <w:ind w:left="1020" w:hanging="503"/>
        <w:spacing w:after="0" w:line="246"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Dr. George Demetri is a world expert in targeted oncology therapies who pioneered the development of GLEEVEC that helped launch the revolution in precision oncology. He is the Director of the Center for Sarcoma and Bone Oncology at the Dana-Farber Cancer Institute; the Director of the Ludwig Center at the Dana-Farber/Harvard Cancer Center; and Executive Director for Clinical and Translational Research at the Ludwig Institute for Cancer Research.</w:t>
      </w:r>
    </w:p>
    <w:p>
      <w:pPr>
        <w:spacing w:after="0" w:line="68" w:lineRule="exact"/>
        <w:rPr>
          <w:rFonts w:ascii="Times New Roman" w:cs="Times New Roman" w:eastAsia="Times New Roman" w:hAnsi="Times New Roman"/>
          <w:sz w:val="18"/>
          <w:szCs w:val="18"/>
          <w:color w:val="auto"/>
        </w:rPr>
      </w:pPr>
    </w:p>
    <w:p>
      <w:pPr>
        <w:ind w:left="1020" w:right="20" w:hanging="503"/>
        <w:spacing w:after="0" w:line="243"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Dr. Piro Lito is a world expert in KRAS-driven cancers. His research focuses on proteins that drive cancer cell growth aiming to uncover the fundamental processes that govern tumor biology and to identify novel therapies that prolong survival and improve the quality of life in patients with cancer. More specifically, his research has made several key contributions in the effort to better understand KRAS-driven cancers and to develop therapeutics that directly target mutant KRAS. He is an associate member and attending physician at Memorial Sloan Kettering Cancer Center.</w:t>
      </w:r>
    </w:p>
    <w:p>
      <w:pPr>
        <w:spacing w:after="0" w:line="71" w:lineRule="exact"/>
        <w:rPr>
          <w:rFonts w:ascii="Times New Roman" w:cs="Times New Roman" w:eastAsia="Times New Roman" w:hAnsi="Times New Roman"/>
          <w:sz w:val="18"/>
          <w:szCs w:val="18"/>
          <w:color w:val="auto"/>
        </w:rPr>
      </w:pPr>
    </w:p>
    <w:p>
      <w:pPr>
        <w:ind w:left="1020" w:right="100" w:hanging="503"/>
        <w:spacing w:after="0" w:line="246"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Dr. Pablo Rodriguez-Viciana is a world expert in the RAS/MAPK pathway whose major focus is the function of the SHOC2 phosphatase complex as a unique regulatory node required for efficient RAS/MAPK pathway activation in the context of diseases such as cancer and RASopathies. He has served as the group leader at the UCL Cancer Institute since 2008 and is a former postdoctoral researcher in Dr. Frank McCormick’s lab at the University of California, San Francisco.</w:t>
      </w:r>
    </w:p>
    <w:p>
      <w:pPr>
        <w:spacing w:after="0" w:line="68" w:lineRule="exact"/>
        <w:rPr>
          <w:rFonts w:ascii="Times New Roman" w:cs="Times New Roman" w:eastAsia="Times New Roman" w:hAnsi="Times New Roman"/>
          <w:sz w:val="18"/>
          <w:szCs w:val="18"/>
          <w:color w:val="auto"/>
        </w:rPr>
      </w:pPr>
    </w:p>
    <w:p>
      <w:pPr>
        <w:ind w:left="1020" w:right="580" w:hanging="503"/>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Dr. Michael Varney is a pioneer drug discoverer and biotech leader and the former Executive Vice President and Head of Genentech’s gRED and a former member of the Roche Corporate Executive Committee.</w:t>
      </w:r>
    </w:p>
    <w:p>
      <w:pPr>
        <w:spacing w:after="0" w:line="14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At Erasca, while our mission to erase cancer inspires us, we know we can do more to make an even broader contribution to society. To that end, we are pursuing environmental, social, and governance (ESG) initiatives that are aligned with our core mission.</w:t>
      </w:r>
    </w:p>
    <w:p>
      <w:pPr>
        <w:spacing w:after="0" w:line="59" w:lineRule="exact"/>
        <w:rPr>
          <w:sz w:val="20"/>
          <w:szCs w:val="20"/>
          <w:color w:val="auto"/>
        </w:rPr>
      </w:pPr>
    </w:p>
    <w:p>
      <w:pPr>
        <w:ind w:left="1020" w:right="260" w:hanging="503"/>
        <w:spacing w:after="0" w:line="243"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Erasca Foundation: </w:t>
      </w:r>
      <w:r>
        <w:rPr>
          <w:rFonts w:ascii="Arial" w:cs="Arial" w:eastAsia="Arial" w:hAnsi="Arial"/>
          <w:sz w:val="18"/>
          <w:szCs w:val="18"/>
          <w:color w:val="auto"/>
        </w:rPr>
        <w:t>In May 2021, we established the Erasca Foundation, a nonprofit California public benefit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was funded by the donation of 1,093,557 shares of our common stock (which at the time represented 1% of our capital stock), in conjunction with our initial public offering (IPO). In 2024, the Erasca Foundation provided funding for initiatives to positively impact society, including providing funding to Best Buddies International; Cancer Angels of San Diego; Curebound Cancer Research; Life Science Cares; and The Clearity Foundation.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 w:name="page11"/>
    <w:bookmarkEnd w:id="10"/>
    <w:p>
      <w:pPr>
        <w:ind w:left="1020" w:right="40" w:hanging="503"/>
        <w:spacing w:after="0" w:line="24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Environmental initiatives: </w:t>
      </w:r>
      <w:r>
        <w:rPr>
          <w:rFonts w:ascii="Arial" w:cs="Arial" w:eastAsia="Arial" w:hAnsi="Arial"/>
          <w:sz w:val="18"/>
          <w:szCs w:val="18"/>
          <w:color w:val="auto"/>
        </w:rPr>
        <w:t>Both of our physical buildings limit their carbon footprint. Our San Diego office is Gold Level</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in Energy and Environmental Design (LEED) certified, and our San Francisco office is Platinum Level LEED certified. Each building is easily accessible by public transportation and has electric vehicle charging stations and indoor bike racks. We also encourage our employees to recycle, including recycling programs for a subset of our lab supplies. While we rely on third-party vendors to conduct our drug manufacturing, our chemists that are engaged in the manufacturing process are committed to increasing efficiencies, reducing materials, and minimizing waste.</w:t>
      </w:r>
    </w:p>
    <w:p>
      <w:pPr>
        <w:spacing w:after="0" w:line="69" w:lineRule="exact"/>
        <w:rPr>
          <w:rFonts w:ascii="Times New Roman" w:cs="Times New Roman" w:eastAsia="Times New Roman" w:hAnsi="Times New Roman"/>
          <w:sz w:val="18"/>
          <w:szCs w:val="18"/>
          <w:color w:val="auto"/>
        </w:rPr>
      </w:pPr>
    </w:p>
    <w:p>
      <w:pPr>
        <w:ind w:left="1020" w:right="20" w:hanging="503"/>
        <w:spacing w:after="0" w:line="246"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Code of Conduct and Ethics: </w:t>
      </w:r>
      <w:r>
        <w:rPr>
          <w:rFonts w:ascii="Arial" w:cs="Arial" w:eastAsia="Arial" w:hAnsi="Arial"/>
          <w:sz w:val="18"/>
          <w:szCs w:val="18"/>
          <w:color w:val="auto"/>
        </w:rPr>
        <w:t>Our Code of Business Conduct and Ethics applies to all of our employees, officers and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requires the highest standards of business ethics. The Code of Business Conduct and Ethics and other corporate governance documents are located in the “Corporate Governance” section of the “Investors” page of our website located at www.erasca.com.</w:t>
      </w:r>
    </w:p>
    <w:p>
      <w:pPr>
        <w:spacing w:after="0" w:line="68" w:lineRule="exact"/>
        <w:rPr>
          <w:rFonts w:ascii="Times New Roman" w:cs="Times New Roman" w:eastAsia="Times New Roman" w:hAnsi="Times New Roman"/>
          <w:sz w:val="18"/>
          <w:szCs w:val="18"/>
          <w:color w:val="auto"/>
        </w:rPr>
      </w:pPr>
    </w:p>
    <w:p>
      <w:pPr>
        <w:ind w:left="1020" w:right="38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Inclusive clinical trial participation: </w:t>
      </w:r>
      <w:r>
        <w:rPr>
          <w:rFonts w:ascii="Arial" w:cs="Arial" w:eastAsia="Arial" w:hAnsi="Arial"/>
          <w:sz w:val="18"/>
          <w:szCs w:val="18"/>
          <w:color w:val="auto"/>
        </w:rPr>
        <w:t>We intend to make clinical trials of our product candidates more accessible to diverse</w:t>
      </w:r>
      <w:r>
        <w:rPr>
          <w:rFonts w:ascii="Arial" w:cs="Arial" w:eastAsia="Arial" w:hAnsi="Arial"/>
          <w:sz w:val="18"/>
          <w:szCs w:val="18"/>
          <w:b w:val="1"/>
          <w:bCs w:val="1"/>
          <w:color w:val="auto"/>
        </w:rPr>
        <w:t xml:space="preserve"> </w:t>
      </w:r>
      <w:r>
        <w:rPr>
          <w:rFonts w:ascii="Arial" w:cs="Arial" w:eastAsia="Arial" w:hAnsi="Arial"/>
          <w:sz w:val="18"/>
          <w:szCs w:val="18"/>
          <w:color w:val="auto"/>
        </w:rPr>
        <w:t>patient populations and plan to partner with others who are like-minded in this regard.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Drug access program: </w:t>
      </w:r>
      <w:r>
        <w:rPr>
          <w:rFonts w:ascii="Arial" w:cs="Arial" w:eastAsia="Arial" w:hAnsi="Arial"/>
          <w:sz w:val="18"/>
          <w:szCs w:val="18"/>
          <w:color w:val="auto"/>
        </w:rPr>
        <w:t>If our products become commercially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we intend to pursue initiatives to provide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access to such drugs, including through patient assistance programs and compassionate use programs.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corporate strategies to erase cancer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erase cancer by eradicating RAS/MAPK pathway-driven cancers. Our corporate strategies to achieve our mission include:</w:t>
      </w:r>
    </w:p>
    <w:p>
      <w:pPr>
        <w:spacing w:after="0" w:line="117" w:lineRule="exact"/>
        <w:rPr>
          <w:sz w:val="20"/>
          <w:szCs w:val="20"/>
          <w:color w:val="auto"/>
        </w:rPr>
      </w:pPr>
    </w:p>
    <w:p>
      <w:pPr>
        <w:jc w:val="both"/>
        <w:ind w:left="1020" w:right="200" w:hanging="503"/>
        <w:spacing w:after="0" w:line="246"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Relentlessly focus on patients and society in our mission to erase cancer. </w:t>
      </w:r>
      <w:r>
        <w:rPr>
          <w:rFonts w:ascii="Arial" w:cs="Arial" w:eastAsia="Arial" w:hAnsi="Arial"/>
          <w:sz w:val="18"/>
          <w:szCs w:val="18"/>
          <w:color w:val="auto"/>
        </w:rPr>
        <w:t>There are more than five million new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diagnosed globally per year with cancers driven by RAS/MAPK pathway alterations, most of whom have limited or no targeted therapy treatment options. We are a team of experienced drug discoverers, developers, and company builders who are united by our mission to erase cancer and passionate about creating potentially life-saving precision oncology medicines.</w:t>
      </w:r>
    </w:p>
    <w:p>
      <w:pPr>
        <w:spacing w:after="0" w:line="70" w:lineRule="exact"/>
        <w:rPr>
          <w:rFonts w:ascii="Times New Roman" w:cs="Times New Roman" w:eastAsia="Times New Roman" w:hAnsi="Times New Roman"/>
          <w:sz w:val="18"/>
          <w:szCs w:val="18"/>
          <w:color w:val="auto"/>
        </w:rPr>
      </w:pPr>
    </w:p>
    <w:p>
      <w:pPr>
        <w:ind w:left="1020" w:right="10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Develop novel single agent and combination regimens to comprehensively shut down the RAS/MAPK pathway for the treatment of patients with cancer. </w:t>
      </w:r>
      <w:r>
        <w:rPr>
          <w:rFonts w:ascii="Arial" w:cs="Arial" w:eastAsia="Arial" w:hAnsi="Arial"/>
          <w:sz w:val="18"/>
          <w:szCs w:val="18"/>
          <w:color w:val="auto"/>
        </w:rPr>
        <w:t>We are pursuing three therapeutic strategies that may be used in combination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comprehensively, and perhaps synergistically, shut down the RAS/MAPK pathway: (1) target upstream and downstream MAPK pathway nodes with single agents and combinations intended to clamp these oncogenic drivers; (2) target RAS directly with single agents and combinations; and (3) target escape routes enabled by other proteins or pathways to further disrupt RAS/MAPK pathway signaling. Our strategic focus on the RAS/MAPK pathway allows us to comprehensively target critical nodes in the pathway that could drive cancer signaling.</w:t>
      </w:r>
    </w:p>
    <w:p>
      <w:pPr>
        <w:spacing w:after="0" w:line="73" w:lineRule="exact"/>
        <w:rPr>
          <w:rFonts w:ascii="Times New Roman" w:cs="Times New Roman" w:eastAsia="Times New Roman" w:hAnsi="Times New Roman"/>
          <w:sz w:val="18"/>
          <w:szCs w:val="18"/>
          <w:color w:val="auto"/>
        </w:rPr>
      </w:pPr>
    </w:p>
    <w:p>
      <w:pPr>
        <w:ind w:left="1020" w:right="240" w:hanging="503"/>
        <w:spacing w:after="0" w:line="24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Advance our deep, modality-agnostic RAS/MAPK pathway-focused pipeline. </w:t>
      </w:r>
      <w:r>
        <w:rPr>
          <w:rFonts w:ascii="Arial" w:cs="Arial" w:eastAsia="Arial" w:hAnsi="Arial"/>
          <w:sz w:val="18"/>
          <w:szCs w:val="18"/>
          <w:color w:val="auto"/>
        </w:rPr>
        <w:t>Our RAS/MAPK pathway-focused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comprising several targeted therapy programs, is one of the deepest in the industry. Our modality-agnostic approach aims to selectively and potently target critical RAS/MAPK signaling nodes with the appropriate modality, including small and large molecule therapeutics. Naporafenib (our pan-RAF inhibitor) is currently being studied in clinical trials. Given the high unmet medical need of the patients we seek to treat, we will continually evaluate the potential for expedited development and review pathways.</w:t>
      </w:r>
    </w:p>
    <w:p>
      <w:pPr>
        <w:spacing w:after="0" w:line="71" w:lineRule="exact"/>
        <w:rPr>
          <w:rFonts w:ascii="Times New Roman" w:cs="Times New Roman" w:eastAsia="Times New Roman" w:hAnsi="Times New Roman"/>
          <w:sz w:val="18"/>
          <w:szCs w:val="18"/>
          <w:color w:val="auto"/>
        </w:rPr>
      </w:pPr>
    </w:p>
    <w:p>
      <w:pPr>
        <w:ind w:left="1020" w:right="100" w:hanging="503"/>
        <w:spacing w:after="0" w:line="239"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Internally develop and externally source, on a global basis, potentially disruptive programs targeting RAS/MAPK pathway alterations. </w:t>
      </w:r>
      <w:r>
        <w:rPr>
          <w:rFonts w:ascii="Arial" w:cs="Arial" w:eastAsia="Arial" w:hAnsi="Arial"/>
          <w:sz w:val="18"/>
          <w:szCs w:val="18"/>
          <w:color w:val="auto"/>
        </w:rPr>
        <w:t>We use computational biology and computational chemistry to accelerate our development activities.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standardized how we characterize our compounds across in vitro/vivo activity, drug distribution, metabolism, and PK, structural, and secondary pharmacology assays, and centralized the storage of these data for automated analyses. We also believe that innovation is a collective, global endeavor and a single platform is unlikely to discover all the best ideas and approaches. We therefore plan to continue to opportunistically evaluate synergistic, in-pathway opportunities, regardless of origin, that meet our high scientific bar. Our extensive network and relationships provide us preferential—and at times exclusive —access to certain assets of interest.</w:t>
      </w:r>
    </w:p>
    <w:p>
      <w:pPr>
        <w:spacing w:after="0" w:line="76" w:lineRule="exact"/>
        <w:rPr>
          <w:rFonts w:ascii="Times New Roman" w:cs="Times New Roman" w:eastAsia="Times New Roman" w:hAnsi="Times New Roman"/>
          <w:sz w:val="18"/>
          <w:szCs w:val="18"/>
          <w:color w:val="auto"/>
        </w:rPr>
      </w:pPr>
    </w:p>
    <w:p>
      <w:pPr>
        <w:ind w:left="1020" w:right="20" w:hanging="503"/>
        <w:spacing w:after="0" w:line="243"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Lead the next revolution in precision oncology. </w:t>
      </w:r>
      <w:r>
        <w:rPr>
          <w:rFonts w:ascii="Arial" w:cs="Arial" w:eastAsia="Arial" w:hAnsi="Arial"/>
          <w:sz w:val="18"/>
          <w:szCs w:val="18"/>
          <w:color w:val="auto"/>
        </w:rPr>
        <w:t>The first wave of precision oncology included tyrosine kinase inhibitors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ROZLYTREK, approved for select tumors that harbor ROS1 or NTRK fusions. While these initial development efforts focused on specific disease-causing alterations in areas of high unmet medical need, these patient populations were modest in size. We believe that to effectively shut down a pathway that signals as promiscuously as RAS/MAPK and encompasses a range of alterations, a holistic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1020" w:right="120"/>
        <w:spacing w:after="0" w:line="247" w:lineRule="auto"/>
        <w:rPr>
          <w:sz w:val="20"/>
          <w:szCs w:val="20"/>
          <w:color w:val="auto"/>
        </w:rPr>
      </w:pPr>
      <w:r>
        <w:rPr>
          <w:rFonts w:ascii="Arial" w:cs="Arial" w:eastAsia="Arial" w:hAnsi="Arial"/>
          <w:sz w:val="18"/>
          <w:szCs w:val="18"/>
          <w:color w:val="auto"/>
        </w:rPr>
        <w:t>approach must be taken to target not just specific individual mutations, but multiple alterations and cooperative mechanisms in parallel. We are pursuing tissue agnostic and tissue specific indications using flexible trial designs intended to efficiently transition molecules through each phase of development with the goal of identifying early efficacy signals warranting additional resource allocation for both monotherapy and combination approaches.</w:t>
      </w:r>
    </w:p>
    <w:p>
      <w:pPr>
        <w:spacing w:after="0" w:line="68" w:lineRule="exact"/>
        <w:rPr>
          <w:sz w:val="20"/>
          <w:szCs w:val="20"/>
          <w:color w:val="auto"/>
        </w:rPr>
      </w:pPr>
    </w:p>
    <w:p>
      <w:pPr>
        <w:ind w:left="1020" w:right="60" w:hanging="503"/>
        <w:spacing w:after="0" w:line="239"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Evaluate opportunities to accelerate development timelines and enhance the commercial potential of our programs in collaboration with third parties</w:t>
      </w:r>
      <w:r>
        <w:rPr>
          <w:rFonts w:ascii="Arial" w:cs="Arial" w:eastAsia="Arial" w:hAnsi="Arial"/>
          <w:sz w:val="18"/>
          <w:szCs w:val="18"/>
          <w:color w:val="auto"/>
        </w:rPr>
        <w:t>. We own or control worldwide development and commercialization rights to our entire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targeted therapy programs, other than with respect to ERAS-0015 in China, Hong Kong, and Macau. This provides us with the flexibility to explore combinations of our agents with each other, other investigational agents, and/or standard of care therapies. We intend to continue evaluating opportunities to work with partners that meaningfully enhance our capabilities with respect to the development and commercialization of our product candidates. In addition, we intend to commercialize our product candidates in the United States. We intend to explore partnerships in selected geographies to maximize the worldwide commercial potential of our programs.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singular focus on the RAS/MAPK pathway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1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RAS/MAPK pathway is one of the most frequently altered signaling pathways in cancer. Molecular alterations in key signaling nodes within the RAS/MAPK pathway have been shown to drive cell proliferation across a wide range of tumor types. As described further below, our pipeline targets all of the key signaling nodes colored in purple, either directly or indirectly as single agents and in combination in order to prolong survival in a wide range of patient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113665</wp:posOffset>
            </wp:positionV>
            <wp:extent cx="3677285" cy="43802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77285"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EGFR</w:t>
      </w:r>
    </w:p>
    <w:p>
      <w:pPr>
        <w:spacing w:after="0" w:line="21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RTKs like EGFR are proteins that are embedded in the cell membrane and relay growth signals from the outside environment to the cell’s internal machinery. At rest, these proteins reside on the cell membrane as inactive monomers. Growth factors secreted by nearby cells bind to specific RTKs, such as epidermal growth factor (EGF) binding to EGFR, and cause these RTKs to dimerize. Dimerized RTKs activate one another through transphosphorylation of their intracellular regions. Intracellular proteins, such as adapter proteins, bind to these phosphorylated regions and propagate the pro-growth signals within the cell via one or more signaling pathways. Cells express a variety of RTKs so that environmental cues can be relayed to specific cell populations in specific contexts. EGFR mediates pro-growth signaling in skin and in the ducts and outer surfaces of many organs.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Overactive RTK signaling can result in uncontrolled cell growth and survival that transforms normal cells into cancer cells.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SHP2</w:t>
      </w:r>
    </w:p>
    <w:p>
      <w:pPr>
        <w:spacing w:after="0" w:line="21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SHP2 is a protein tyrosine phosphatase and a key positive regulator of the growth signals from the RTK growth factor receptors to the intracellular signaling pathways (including RAS/MAPK and PI3K) that promote growth and survival of normal cells and cancer cells. As such, SHP2 is a convergent node for upstream RTK signaling, such that activated SHP2 upregulates (“turns up”) the positive signals and downregulates (“turns down”) the negative signals in the signaling cascades. SHP2 also serves as a central node in relaying the growth and survival signals from RTKs such as EGFR to RAS/MAPK and other intracellular pathways. SHP2 is an attractive target because SHP2 inhibition ubiquitously blocks the growth signals from multiple RTKs, thereby preventing cancer cells from bypassing the blockade on a specific RTK (e.g., EGFR inhibitor) through activation of other RTK growth factor receptors (e.g., MET).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NF1</w:t>
      </w:r>
    </w:p>
    <w:p>
      <w:pPr>
        <w:spacing w:after="0" w:line="21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NF1, or neurofibromin, is a protein that accelerates the transition of RAS proteins from the active RAS-GTP state to the inactive RAS-GDP state. NF1 is classified as a GTPase activating protein (GAP) because it boosts the ability of RAS to hydrolyze bound GTP to GDP. Although RAS can autonomously hydrolyze GTP, it is dependent on GAPs such as NF1 to rapidly cycle it from the active state to the inactive state and thereby prevent overactive signaling. If NF1 is inactivated due to a mutation (NF1 loss-of-function mutation), RAS proteins may spend more time in the active RAS-GTP state. This can result in hyperactive RAS/MAPK pathway activation that drives aberrant cell growth and ultimately tumorigenesis. This is observed in patients affected by a genetic disorder caused by somatic mutations in the NF1 gene called neurofibromatosis type 1. NF1 loss-of-function mutations are observed in a variety of cancers, including melanoma and CRC, where they activate RAS/MAPK signaling alone or in conjunction with other RAS/MAPK pathway activating mutations.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RAS</w:t>
      </w:r>
    </w:p>
    <w:p>
      <w:pPr>
        <w:spacing w:after="0" w:line="19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RAS proteins are ubiquitously expressed GTPase proteins. The RAS protein family consists of KRAS, NRAS, and HRAS proteins and acts as the entry node in the RAS/MAPK signaling pathway. KRAS is the most abundantly expressed RAS protein followed by NRAS and then HRAS. RAS proteins act as signaling transducers since they are recruited to activated RTK complexes where they are converted into an active conformation (RAS-GTP) that enables them to activate downstream effector proteins, such as RAF proteins. The activation state of a RAS protein is dictated by the phosphorylation state of the bound guanosine; RAS adopts an inactive RAS-GDP conformation when bound to GDP and an active RAS-GTP conformation when bound to GTP. Conversion of RAS into an active conformation is mediated by binding to co-factor proteins, e.g., SOS1, and these co-factor proteins enable the exchange of the RAS-bound nucleotide from GDP to GTP. In the active state, RAS-GTP proteins interact with multiple effector proteins to propagate cell signaling through multiple pathways. For example, activated RAS-GTP proteins interact with RAF proteins to activate MAPK signaling, and PI3K proteins to activate PI3K pathway signaling. RAS can transition from the active state into the inactive state by hydrolyzing its bound nucleotide from GTP to GDP either intrinsically or catalyzed through interactions with co-factor proteins, such as NF1. RAS proteins are the most frequently mutated oncoproteins in cancer. These mutations occur at hotspots, such as amino acid residues 12, 13, and 61, and these hotspot mutations impair RAS’s ability to hydrolyze GTP to GDP. As a result, mutant RAS-GTP remains in the active state for prolonged periods of time resulting in hyperactive stimulation of the RAS/MAPK and other pathways.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RAF</w:t>
      </w:r>
    </w:p>
    <w:p>
      <w:pPr>
        <w:spacing w:after="0" w:line="2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RAF proteins are ubiquitously expressed serine-threonine kinases that are a part of the RAS/MAPK pathway and whose activity is regulated by RAS proteins. The RAF protein family consists of ARAF, BRAF, and CRAF (RAF1). In the absence of activated RAS-GTP, RAF proteins assume an autoinhibited conformation in complex with downstream effector proteins, MEK1 and MEK2. RAF proteins can homodimerize (e.g., BRAF-BRAF dimers) or heterodimerize (e.g., CRAF-BRAF dimers). When RAF proteins bind to activated RAS-GTP, they adopt an active conformation that results in activation of their kinase domains. The activated kinase domains then phosphorylate complexed MEK proteins, activating those proteins and releasing them from the RAF-MEK complex. Activated MEK then signals further down the RAS/MAPK pathway. Mutations in RAF proteins, especially in BRAF, have been observed in many cancers, such as melanoma, CRC, NSCLC, and thyroid cancer. For example, the BRAF V600E mutation (a class I BRAF mutation) is frequently observed in melanoma and this mutation enables BRAF to constitutively activate MEK as a monomer. Approved BRAF inhibitors for class I mutations include vemurafenib, dabrafenib, and encorafenib. Class II BRAF mutations enable BRAF to constitutively dimerize and activate MEK. Class III BRAF mutations impair the ability of the mutant BRAF protein to phosphorylate MEK, but class III mutant BRAF proteins can aberrantly dimerize with wildtype RAF proteins and enable their dimerized wildtype RAF partners to activate MEK. To our knowledge, there are no approved inhibitors of BRAF Class II or Class III mutations. A number of inhibitors targeting BRAF Class II and Class III mutations, as well as pan-RAF inhibitors designed to disrupt wildtype RAF signaling, are in development; however, to our knowledge, none have received regulatory approval.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MEK</w:t>
      </w:r>
    </w:p>
    <w:p>
      <w:pPr>
        <w:spacing w:after="0" w:line="21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MEK1 and MEK2 proteins are ubiquitously expressed serine-threonine kinases that are activated by RAF-mediated phosphorylation and signal downstream by activating ERK proteins. MEK1 and MEK2 proteins form complexes with RAF proteins in the inactive state and are recruited as a unit to activated RAS-GTP. RAS-GTP then activates the RAF-MEK complex by binding to RAF, which then activates MEK via phosphorylation and releases from the RAF-MEK complex. Activated MEK then selectively phosphorylates ERK1 and ERK2 proteins, which are the terminal nodes of the RAS/MAPK pathway. Currently approved MEK inhibitors, such as trametinib, binimetinib, cobimetinib, and selumetinib, allosterically bind MEK proteins and inhibit MEK activation, either as free proteins alone or in complex with RAF. The inhibition of RAS/MAPK signaling by MEK inhibitors can result in an upregulation of signaling upstream of MEK due to negative feedback loops within the RAS/MAPK pathway. This increased signaling pressure can overwhelm MEK inhibitors and result in reactivation of MAPK signaling. Most MEK inhibitors are approved in combination with a BRAF inhibitor partially due to their vulnerability of being overwhelmed by the reactivation of MAPK signaling. In this combination, BRAF inhibitors attenuate upstream signaling pressure on MEK inhibitors, and MEK inhibitors further limit downstream MAPK signaling not inhibited by the BRAF inhibitor.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extracellular signal-regulated kinases (ERK), ERK1 and ERK2, are ubiquitous serine-threonine kinases that regulate cellular signaling in both physiological and pathological states and comprise the terminal node of the RAS/MAPK pathway. Once activated by MEK, ERK proteins phosphorylate thousands of downstream proteins, propagating RAS/MAPK signaling across multiple cellular functions. In contrast to currently approved allosteric MEK inhibitors, ERK inhibitors in development are ATP-competitive and as a result, their potency is robust against the activated state of ERK. Based on this property, ERK inhibitors potentially can overcome drug resistance mechanisms that involve reactivation of RAS/MAPK pathway signaling, such as a rebound of RAS/MAPK signaling resulting from the alleviation of negative feedback or an upstream RAS/MAPK pathway protein adopting an acquired resistance mutation.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Our therapeutic strategies for shutting down the RAS/MAPK pathway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to effectively shut down a pathway that signals as promiscuously as RAS/MAPK, a holistic approach must be taken to target not just single nodes, but multiple nodes and cooperative mechanisms in parallel. Our internally and externally sourced RAS/MAPK pathway-focused pipeline, comprising several targeted therapy programs, is one of the deepest in the industry. The target breadth and molecular diversity represented in our pipeline enable us to pursue a systematic, data-driven, portfolio-wide clinical development effort to identify single agent and combination approaches that aim to prolong survival in numerous patient populations with high unmet medical needs. We are pursuing three therapeutic strategies that may be used in combination with the goal of comprehensively, and perhaps synergistically, shutting down the RAS/MAPK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120650</wp:posOffset>
            </wp:positionV>
            <wp:extent cx="5383530" cy="2065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8353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20" w:right="80" w:hanging="503"/>
        <w:spacing w:after="0"/>
        <w:tabs>
          <w:tab w:leader="none" w:pos="10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upstream and downstream MAPK pathway nodes with single agents and combinations intended to clamp these oncogenic drivers. </w:t>
      </w:r>
      <w:r>
        <w:rPr>
          <w:rFonts w:ascii="Arial" w:cs="Arial" w:eastAsia="Arial" w:hAnsi="Arial"/>
          <w:sz w:val="18"/>
          <w:szCs w:val="18"/>
          <w:color w:val="auto"/>
        </w:rPr>
        <w:t>Our lead product candidate, naporafenib, targets RAF, a key node of the RAS/MAPK pathway.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naporafenib in combination with the MEK inhibitor trametinib and other targeted therapies to delay emergence of resistance in response to RAS/MAPK pathway inhibition. We are also evaluating drug combinations targeting upstream and downstream nodes to shut down, or "clamp," the signaling of various oncogenic drivers such as RTKs, NF1, RAS, RAF, and MEK alterations, trapped between the inhibited nodes. With our MAPKlamp approach, we hope to induce tumor regression in RAS/MAPK pathway-driven cancers, while also blocking the in-pathway escape routes that lead to tumor resistance.</w:t>
      </w:r>
    </w:p>
    <w:p>
      <w:pPr>
        <w:spacing w:after="0" w:line="277" w:lineRule="exact"/>
        <w:rPr>
          <w:rFonts w:ascii="Arial" w:cs="Arial" w:eastAsia="Arial" w:hAnsi="Arial"/>
          <w:sz w:val="18"/>
          <w:szCs w:val="18"/>
          <w:b w:val="1"/>
          <w:bCs w:val="1"/>
          <w:i w:val="1"/>
          <w:iCs w:val="1"/>
          <w:color w:val="auto"/>
        </w:rPr>
      </w:pPr>
    </w:p>
    <w:p>
      <w:pPr>
        <w:ind w:left="1020" w:right="240" w:hanging="503"/>
        <w:spacing w:after="0" w:line="242" w:lineRule="auto"/>
        <w:tabs>
          <w:tab w:leader="none" w:pos="10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RAS, the midstream MAPK pathway node, directly with single agents and combinations. </w:t>
      </w:r>
      <w:r>
        <w:rPr>
          <w:rFonts w:ascii="Arial" w:cs="Arial" w:eastAsia="Arial" w:hAnsi="Arial"/>
          <w:sz w:val="18"/>
          <w:szCs w:val="18"/>
          <w:color w:val="auto"/>
        </w:rPr>
        <w:t>Our RAS-targeting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franchise, ERAS-0015 and ERAS-4001, consists of molecules that are designed to potently and selectively bind to oncogenic RAS alterations (e.g., G12X, G13X +/- Q61X) and to block activation of wildtype RAS isoforms that mediate tumor resistance. These molecules are designed to prevent RAS-mediated signaling either by preventing RAS from binding to downstream effector proteins by forming a RAS-Cyclophilin A protein complex (as in the case of ERAS-0015) or by locking KRAS in the inactive GDP-bound state (as in the case of ERAS-4001).</w:t>
      </w:r>
    </w:p>
    <w:p>
      <w:pPr>
        <w:spacing w:after="0" w:line="273" w:lineRule="exact"/>
        <w:rPr>
          <w:rFonts w:ascii="Arial" w:cs="Arial" w:eastAsia="Arial" w:hAnsi="Arial"/>
          <w:sz w:val="18"/>
          <w:szCs w:val="18"/>
          <w:b w:val="1"/>
          <w:bCs w:val="1"/>
          <w:i w:val="1"/>
          <w:iCs w:val="1"/>
          <w:color w:val="auto"/>
        </w:rPr>
      </w:pPr>
    </w:p>
    <w:p>
      <w:pPr>
        <w:ind w:left="1020" w:right="140" w:hanging="503"/>
        <w:spacing w:after="0" w:line="253" w:lineRule="auto"/>
        <w:tabs>
          <w:tab w:leader="none" w:pos="10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Target escape routes enabled by other proteins or pathways to further disrupt RAS/MAPK pathway signaling. </w:t>
      </w:r>
      <w:r>
        <w:rPr>
          <w:rFonts w:ascii="Arial" w:cs="Arial" w:eastAsia="Arial" w:hAnsi="Arial"/>
          <w:sz w:val="18"/>
          <w:szCs w:val="18"/>
          <w:color w:val="auto"/>
        </w:rPr>
        <w:t>RAS-driven cancers utilize escape routes, namely cooperative mechanisms, to develop resistance to targeted therapies. By shutting down these potential escape routes, we aim to provide more robust inhibition of oncogenic signaling.</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Our strategic focus on the RAS/MAPK pathway allows us to comprehensively target critical nodes in the pathway that could drive signaling.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 shown in the figure below, our pipeline targets, either directly or indirectly, each of the signaling nodes colored in purple.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134620</wp:posOffset>
            </wp:positionV>
            <wp:extent cx="3385820" cy="384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85820" cy="384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innovation model</w:t>
      </w:r>
    </w:p>
    <w:p>
      <w:pPr>
        <w:spacing w:after="0" w:line="207"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Due to the magnitude of the challenge of erasing cancer, we are combining our robust internal development capabilities with a global in-licensing and acquisition strategy to assemble one of the industry’s deepest, modality-agnostic RAS/MAPK pathway-focused pipeline. We believe these complementary approaches to innovation provide us with important optionality, both therapeutically and strategically, as we endeavor to bring forth the next generation of potentially differentiated targeted therapies for RAS/MAPK pathway-driven cancers.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development</w:t>
      </w:r>
    </w:p>
    <w:p>
      <w:pPr>
        <w:spacing w:after="0" w:line="21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use computational biology and computational chemistry to accelerate our development activities. We have standardized how we characterize our compounds across in vitro/vivo activity, drug distribution, metabolism, and PK, structural, and secondary pharmacology assays, and centralized the storage of these data for automated analyses. These data are continuously reviewed by our scientific teams, and promising trends, including unpredicted ones that arise serendipitously, are prioritized for future exploration.</w:t>
      </w:r>
    </w:p>
    <w:p>
      <w:pPr>
        <w:spacing w:after="0" w:line="17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Based on our previous collective experiences at Ignyta, Roche/Genentech, Pfizer, and elsewhere, our team has extensive precision oncology expertise with dynamic clinical trial designs such as adaptive trials, biomarker-based basket and umbrella studies, and master protocols. We will continue to leverage this experience, in collaboration with industry and academic partners, in order to quickly demonstrate clinical proof-of-concept in a variety of tumor types for both single agent and combination approaches.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External sources of innovation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believe innovation in cancer therapy is a collective, global endeavor unlikely to emerge from a single company or a single platform. There are exciting product candidates, technologies, and approaches in development worldwide, and our innovation model gives us the flexibility to supplement our internal efforts with externally sourced assets through collaboration, in-license, or acquisition. We also established Erasca Ventures, our wholly-owned subsidiary, in March 2021 to make equity investments in early-stage biotechnology companies that are aligned with our mission and strategy. To date, we have in-licensed or acquired novel therapies from multiple geographic regions, including our lead program, naporafenib, which we in-licensed from Novartis, ERAS-0015, which we in-licensed from Guangzhou Joyo Pharmatech Co., Ltd. (Joyo), ERAS-4001, which we in-licensed from Medshine Discovery Inc. (Medshine), and our ERAS-12 program, which we acquired from Emerge Life Sciences, Pte. Ltd. (ELS).</w:t>
      </w:r>
    </w:p>
    <w:p>
      <w:pPr>
        <w:spacing w:after="0" w:line="180" w:lineRule="exact"/>
        <w:rPr>
          <w:sz w:val="20"/>
          <w:szCs w:val="20"/>
          <w:color w:val="auto"/>
        </w:rPr>
      </w:pPr>
    </w:p>
    <w:p>
      <w:pPr>
        <w:ind w:right="380"/>
        <w:spacing w:after="0" w:line="242" w:lineRule="auto"/>
        <w:rPr>
          <w:sz w:val="20"/>
          <w:szCs w:val="20"/>
          <w:color w:val="auto"/>
        </w:rPr>
      </w:pPr>
      <w:r>
        <w:rPr>
          <w:rFonts w:ascii="Arial" w:cs="Arial" w:eastAsia="Arial" w:hAnsi="Arial"/>
          <w:sz w:val="18"/>
          <w:szCs w:val="18"/>
          <w:color w:val="auto"/>
        </w:rPr>
        <w:t>We leverage our extensive network of preferred relationships with our Scientific Advisory Board and our Research, Development, and Commercial Advisory Board, as well as leading institutional investors, investment banks, academic institutions, and biopharmaceutical companies that keep us apprised of assets of strategic interest. We pursue the best science in the world, regardless of its origin, and will continue to opportunistically evaluate additional opportunities to strengthen and diversify our pipeline through academic and biopharmaceutical collaborations, in-licenses, acquisitions, and strategic investments that meet our high scientific bar and can help us advance our mission to erase cancer.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Modality-agnostic pipeline</w:t>
      </w:r>
    </w:p>
    <w:p>
      <w:pPr>
        <w:spacing w:after="0" w:line="210"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Cancer is a complex, heterogeneous disease that is unlikely to succumb to a one-size-fits-all approach. We believe shutting down the RAS/MAPK pathway in cancer requires a systematic, data-driven approach to development, part of which involves choosing the most appropriate technology for the target of interest, or what we call a modality-agnostic approach. We therefore seek to understand the biology of the target of interest first, and then choose the therapeutic modality best suited to optimally inhibit that target. We are currently utilizing several modalities to target the RAS/MAPK pathway, including small and large molecule therapeutics.</w:t>
      </w:r>
    </w:p>
    <w:p>
      <w:pPr>
        <w:spacing w:after="0" w:line="17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For example, we are developing proprietary bispecific antibodies that are designed to bind EGFR in both the active and inactive conformations, potentially leading to deeper inhibition of EGFR-mediated RAS/MAPK pathway signaling. In addition to inhibiting EGFR signaling, our bispecific antibodies are designed to induce higher orders of EGFR receptor clustering on the cell surface, which may induce antitumor activity mediated by the immune system, such as antibody-dependent cellular cytotoxicity, antibody-dependent cellular phagocytosis, and/or complement-dependent cytotoxicity. We believe these design attributes can potentially enable our proprietary bispecific anti-EGFR antibodies to achieve meaningfully improved activity relative to currently approved anti-EGFR antibodies, such as cetuximab, panitumumab, and amivantamab, since those antibodies preferentially bind EGFR only in the inactive state and may not as strongly elicit antitumor immunological responses.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Our pipeline</w:t>
      </w:r>
    </w:p>
    <w:p>
      <w:pPr>
        <w:spacing w:after="0" w:line="207"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have assembled one of the deepest RAS/MAPK pathway-focused pipelines in the industry, consisting of modality-agnostic programs aligned with our three therapeutic strategies of: (1) targeting key upstream and downstream signaling nodes in the RAS/MAPK pathway; (2) targeting RAS directly; and (3) targeting escape routes that emerge in response to treatment. The table below summarizes our current pipeline. Other than with respect to ERAS-0015 in China, Hong Kong, and Macau, we have exclusive worldwide development and commercial rights for all of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115570</wp:posOffset>
            </wp:positionV>
            <wp:extent cx="5349240" cy="1894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Our pipeline also includes ERAS-801, a brain-penetrant EGFR inhibitor in development for patients with EGFR-altered GBM (for which we are concluding a Phase 1 trial and exploring further advancement, including via partnerships and investigator-sponsored trials), ERAS-007 ERK1/2 inhibitor, and ERAS-601 SHP2 inhibitor. ERAS-007 and ERAS-601 are being assessed in preclinical studies as potential combination partners with other programs in our pipeline for RAS/MAPK pathway inhibition. Via Erasca Ventures, we made an equity investment in Affini-T, which is developing TCR T-cell therapies against KRAS G12V, KRAS G12D, and KRAS G12C.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Naporafenib: our pan-RAF inhibitor</w:t>
      </w:r>
    </w:p>
    <w:p>
      <w:pPr>
        <w:spacing w:after="0" w:line="196"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Our lead product candidate is naporafenib, for which we initiated a pivotal Phase 3 trial in the first half of 2024 for patients with NRASm melanoma. Naporafenib is a pan-RAF inhibitor with first-in-class and best-in-class potential for patients with NRASm melanoma and other RAS/MAPK pathway-driven tumors. In-licensed from Novartis, naporafenib has been dosed in over 600 patients to date, whereby safety, tolerability, and acceptable PK and PD have been established in both monotherapy and select combinations, with clinical PoC data in combination with trametinib for patients with NRASm melanoma.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development strategy for naporafenib includes our SEACRAFT trials designed to evaluate naporafenib in combination with other targeted therapies. Our SEACRAFT-2 trial is supported by the clinical PoC data in patients with NRASm melanoma that we presented from the SEACRAFT-1 trial at the 2024 Triple Meeting. Clinical PoC in NRASm melanoma is also supported by data presented by Novartis at the ESMO Congress 2022 medical conference and as published in March 2023 by de Braud et al. in the </w:t>
      </w:r>
      <w:r>
        <w:rPr>
          <w:rFonts w:ascii="Arial" w:cs="Arial" w:eastAsia="Arial" w:hAnsi="Arial"/>
          <w:sz w:val="18"/>
          <w:szCs w:val="18"/>
          <w:i w:val="1"/>
          <w:iCs w:val="1"/>
          <w:color w:val="auto"/>
        </w:rPr>
        <w:t>Journal of Clinical Oncology</w:t>
      </w:r>
      <w:r>
        <w:rPr>
          <w:rFonts w:ascii="Arial" w:cs="Arial" w:eastAsia="Arial" w:hAnsi="Arial"/>
          <w:sz w:val="18"/>
          <w:szCs w:val="18"/>
          <w:color w:val="auto"/>
        </w:rPr>
        <w:t>. In connection with our SEACRAFT-2 trial, we have entered into a clinical trial collaboration and supply agreement (CTCSA) with Novartis for its MEK inhibitor, trametinib. Pursuant to the CTCSA, we are sponsoring and funding the clinical trial and Novartis is providing its drug to us free of charge. In addition, we are evaluating additional combinations of naporafenib with our other RAS/MAPK pathway targeting agents and/or external agents in preclinical models.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profile of naporafenib</w:t>
      </w:r>
    </w:p>
    <w:p>
      <w:pPr>
        <w:spacing w:after="0" w:line="19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Naporafenib is designed to be a reversible, potent and selective ATP-competitive type 2 pan-RAF kinase inhibitor. It has been shown to be most potent against BRAF and CRAF with biochemical IC50 values of 0.1 and 0.2 nM, respectively, and also showed biochemical activity against ARAF with an IC50 of 6.4 nM. Naporafenib is designed to be selective for RAF family kinases, biochemically inhibiting only three non-RAF kinases at &gt;80% at 1 µM (i.e., PDGFRB, DDR1, and DDR2).</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4" w:right="379" w:bottom="1440" w:gutter="0" w:footer="0" w:header="0"/>
        </w:sectPr>
      </w:pPr>
    </w:p>
    <w:bookmarkStart w:id="18" w:name="page19"/>
    <w:bookmarkEnd w:id="18"/>
    <w:p>
      <w:pPr>
        <w:ind w:right="20"/>
        <w:spacing w:after="0" w:line="244" w:lineRule="auto"/>
        <w:rPr>
          <w:sz w:val="20"/>
          <w:szCs w:val="20"/>
          <w:color w:val="auto"/>
        </w:rPr>
      </w:pPr>
      <w:r>
        <w:rPr>
          <w:rFonts w:ascii="Arial" w:cs="Arial" w:eastAsia="Arial" w:hAnsi="Arial"/>
          <w:sz w:val="18"/>
          <w:szCs w:val="18"/>
          <w:color w:val="auto"/>
        </w:rPr>
        <w:t>As a pan-RAF inhibitor, naporafenib is differentiated from BRAF V600E inhibitors since naporafenib inhibits both RAF monomers and dimers. BRAF V600E inhibitors inhibit monomeric BRAF V600E proteins while simultaneously enabling dimerization of these inhibited monomers with uninhibited RAF proteins, thereby resulting in paradoxical activation of downstream RAS/MAPK pathway signaling. Naporafenib’s ability to inhibit both RAF monomers and dimers enables it to effectively inhibit RAS mutants from signaling downstream without the paradoxical activation observed with BRAF V600E inhibitors.</w:t>
      </w:r>
    </w:p>
    <w:p>
      <w:pPr>
        <w:spacing w:after="0" w:line="16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Naporafenib and trametinib are ideal combination partners since they target two vertically adjacent nodes in the RAS/MAPK pathway, RAF and MEK, and both stabilize their targeted proteins in the inactive state; naporafenib in an ATP-competitive manner and trametinib in an allosteric manner.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Overview</w:t>
      </w:r>
    </w:p>
    <w:p>
      <w:pPr>
        <w:spacing w:after="0" w:line="19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Novartis dosed over 500 patients with naporafenib either as monotherapy or in combination with other anti-cancer agents (investigational or approved). These agents included trametinib (MEK inhibitor), LTT462 (rineterkib; ERK inhibitor), dabrafenib (BRAF V600E inhibitor), ribociclib (CDK4/6 inhibitor), EGF816 (EGFR inhibitor), and spartalizumab (anti-PD-1). The safety, tolerability, and acceptable PK and PD have been established in both monotherapy and select combinations. Specifically, the doublet combinations of naporafenib with trametinib, rineterkib (LTT462), and ribociclib have been evaluated in both Phase 1b dose finding and Phase 2 clinical trials, and we believe PoC has been achieved for the combination of naporafenib and trametinib in patients with NRASm melanoma, the focus of our pivotal SEACRAFT-2 study.</w:t>
      </w:r>
    </w:p>
    <w:p>
      <w:pPr>
        <w:spacing w:after="0" w:line="17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initial development strategy is focused on the naporafenib combination with trametinib in patients with NRASm melanoma, an indication with high unmet medical need and no approved targeted therapy options. We will also continue to evaluate activity with other combinations in biomarker-defined populations. Our ultimate goal is to maximize the clinical benefit of naporafenib in the greatest number of patients with cancer.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safety and tolerability</w:t>
      </w:r>
    </w:p>
    <w:p>
      <w:pPr>
        <w:spacing w:after="0" w:line="19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color w:val="auto"/>
        </w:rPr>
        <w:t>Monotherapy</w:t>
      </w:r>
      <w:r>
        <w:rPr>
          <w:rFonts w:ascii="Arial" w:cs="Arial" w:eastAsia="Arial" w:hAnsi="Arial"/>
          <w:sz w:val="18"/>
          <w:szCs w:val="18"/>
          <w:color w:val="auto"/>
        </w:rPr>
        <w:t>. A total of 87 patients were enrolled in the monotherapy dose escalation portion of the first-in-human trial (CLXH244X2101) of</w:t>
      </w:r>
      <w:r>
        <w:rPr>
          <w:rFonts w:ascii="Arial" w:cs="Arial" w:eastAsia="Arial" w:hAnsi="Arial"/>
          <w:sz w:val="18"/>
          <w:szCs w:val="18"/>
          <w:b w:val="1"/>
          <w:bCs w:val="1"/>
          <w:color w:val="auto"/>
        </w:rPr>
        <w:t xml:space="preserve"> </w:t>
      </w:r>
      <w:r>
        <w:rPr>
          <w:rFonts w:ascii="Arial" w:cs="Arial" w:eastAsia="Arial" w:hAnsi="Arial"/>
          <w:sz w:val="18"/>
          <w:szCs w:val="18"/>
          <w:color w:val="auto"/>
        </w:rPr>
        <w:t>naporafenib in patients whose tumors had MAPK pathway alterations and progression following standard-of-care (SOC) treatment. A total of 43 patients were enrolled in six QD dosing cohorts (range 100 mg to 1200 mg QD), and 44 patients in total were enrolled in four BID dosing cohorts (200 mg to 800 mg BID). An MTD was not identified for the QD schedule while the MTD/recommended dose for expansion (RDE) for the BID schedule was determined to be 600 mg twice a day (BID). The monotherapy dose expansion portion of the trial was not opened in order to focus on combination development. During naporafenib monotherapy dose escalation, five patients experienced seven dose-limiting toxicities: decreased platelet count (1200 mg QD); neuralgia, maculopapular rash, pruritus (600 mg BID); increased blood bilirubin, hyponatremia, peripheral sensory neuropathy (800 mg BID). For the single-agent cohort, treatment-related adverse events (TRAEs) of any grade were reported in 79 (90.8%) patients. The most frequent (occurring in ≥20% of patients) were dermatitis acneiform (maculopapular pustular eruptions) (24.1%, no Grade 3/4 events), rash (24.1%, Grade 3/4: 1.1%), and fatigue (20.7%, Grade 3/4: 2.3%).</w:t>
      </w:r>
    </w:p>
    <w:p>
      <w:pPr>
        <w:spacing w:after="0" w:line="166"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color w:val="auto"/>
        </w:rPr>
        <w:t>Naporafenib plus trametinib</w:t>
      </w:r>
      <w:r>
        <w:rPr>
          <w:rFonts w:ascii="Arial" w:cs="Arial" w:eastAsia="Arial" w:hAnsi="Arial"/>
          <w:sz w:val="18"/>
          <w:szCs w:val="18"/>
          <w:color w:val="auto"/>
        </w:rPr>
        <w:t>. Three trials have evaluated the combination of naporafenib plus trametinib: the dose finding Phase 1b</w:t>
      </w:r>
      <w:r>
        <w:rPr>
          <w:rFonts w:ascii="Arial" w:cs="Arial" w:eastAsia="Arial" w:hAnsi="Arial"/>
          <w:sz w:val="18"/>
          <w:szCs w:val="18"/>
          <w:b w:val="1"/>
          <w:bCs w:val="1"/>
          <w:color w:val="auto"/>
        </w:rPr>
        <w:t xml:space="preserve"> </w:t>
      </w:r>
      <w:r>
        <w:rPr>
          <w:rFonts w:ascii="Arial" w:cs="Arial" w:eastAsia="Arial" w:hAnsi="Arial"/>
          <w:sz w:val="18"/>
          <w:szCs w:val="18"/>
          <w:color w:val="auto"/>
        </w:rPr>
        <w:t>CLXH254X2102 trial, the Phase 2 CLXH254C12201 trial, and the Phase 1b SEACRAFT-1 trial.</w:t>
      </w:r>
    </w:p>
    <w:p>
      <w:pPr>
        <w:spacing w:after="0" w:line="14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CLXH254X2102 trial enrolled patients who had advanced or metastatic KRAS or BRAF mutant NSCLC or NRASm melanoma with progression following SOC treatment. A total of 115 patients were treated with naporafenib plus trametinib in combination in 5 dose cohorts. Four cohorts received naporafenib and trametinib (doses are listed as naporafenib mg BID/trametinib mg QD): 200/0.5 (6 patients), 200/1 (54 patients), 400/0.5 (44 patients), 400/1 (5 patients), and a fifth cohort was administered 400 mg naporafenib BID continuously and trametinib 1 mg QD following a 2 weeks on/2 weeks off schedule (6 patients). Thirty-six patients in total were enrolled in dose escalation while 30 were enrolled in the NRASm melanoma expansion cohorts. During dose escalation, six patients reported 6 DLTs: dermatitis acneiform (one patient each in the 200/1 and 400/0.5 cohorts), maculopapular rash (one patient each in the 200/1 and 400/1 cohorts), increased lipase (one patient in the 200/1 cohort), and Stevens-Johnson syndrome (one patient in the 400/1 cohort). Two RDEs were identified: naporafenib 200 mg BID plus trametinib 1 mg QD and naporafenib 400 mg BID plus trametinib 0.5 mg QD. For the dose expansion portion of the trial, TRAEs of any grade were reported in 100% of patients. The most frequent (occurring in ≥20% of patients enrolled in dose expansion) TRAEs were rash</w:t>
      </w:r>
    </w:p>
    <w:p>
      <w:pPr>
        <w:spacing w:after="0" w:line="8"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(80.0%, Grade 3/4: 33.3%), nausea (30.0%, no Grade 3/4 events), diarrhea (30.0%, no Grade 3/4 events), blood creatinine phosphokinase increased (30.0%, Grade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3/4: 13.3%), constipation (23.0%, no Grade 3/4 events), stomatitis (20.0%, Grade 3/4: 3.3%) and vomiting (20.0%, no Grade 3/4 events).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CLXH254C12201 trial enrolled patients with NRASm or BRAFm melanoma who have received prior systemic therapy for unresectable or metastatic melanoma with an anti-PD-1/L1-based regimen and were restricted to a maximum of two prior lines of systemic immune checkpoint inhibitor (ICI)-containing immunotherapy for unresectable or metastatic melanoma. The combination of naporafenib plus trametinib was evaluated at the RDEs of 200/1 (30 patients) and 400/0.5 (22 patients) where both naporafenib plus trametinib were administered continuously BID and QD, respectively. The most frequent (occurring in ≥20% of patients) TRAEs were rash (39.6%, Grade 3/4: 9.4%), dermatitis acneiform (34.0%, Grade 3/4: 7.5%), pruritis (26.4%, Grade 3/4: 1.9%), blood creatinine phosphokinase increased (20.8%, Grade 3/4:1.9%), and fatigue (20.8%, Grade 3/4: 1.9%).</w:t>
      </w:r>
    </w:p>
    <w:p>
      <w:pPr>
        <w:spacing w:after="0" w:line="17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SEACRAFT-1 trial enrolled patients with RAS Q61X mutations across multiple tumor types including melanoma, lung, thyroid, and GI malignancies. As presented at the 2024 Triple Meeting, the combination of naporafenib plus trametinib, evaluated at the 200/1 dose (52 patients), was generally well tolerated with primarily Grade 1 and 2 TRAEs observed. In addition, the frequency of Grade 3 or higher TRAEs was approximately 5% or less across the various categories of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122555</wp:posOffset>
            </wp:positionV>
            <wp:extent cx="4732020" cy="26142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3202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In particular, the incidence and severity of skin toxicities improved dramatically in SEACRAFT-1 relative to the prior Phase 1 and 2 trials. We believe these improved AE outcomes were likely due to the implementation of mandatory primary rash prophylaxis as part of our SEACRAFT-1 and -2 trials. More specifically, in SEACRAFT-1, the rate of Grade 3 or higher dermatological toxicities decreased from about 37% in the historical Phase 1 and 2 trials to around 12% in SEACRAFT-1.</w:t>
      </w:r>
    </w:p>
    <w:p>
      <w:pPr>
        <w:spacing w:after="0" w:line="17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Furthermore, although differences exist between trial designs, sites, and patient characteristics, which limit our ability to compare across clinical trial programs, the rate of drug discontinuations due to adverse events markedly decreased from about 19 to 20% in the Phase 1 and 2 trials conducted by Novartis to less than 10% in our SEACRAFT-1 trial. The relative dose intensity (RDI), which is a measure of how much drug a patient receives relative to the trial’s intent, also showed a marked improvement. More specifically, the median RDI of naporafenib increased from 66% and 57%, respectively, for the Novartis Phase 1 and 2 trials to nearly 99% in SEACRAFT-1. Additionally, the median RDI for trametinib increased to nearly 100% in SEACRAFT-1 compared to 59-62% in the Novartis Phase 1 and 2 trials.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1374140</wp:posOffset>
            </wp:positionH>
            <wp:positionV relativeFrom="page">
              <wp:posOffset>637540</wp:posOffset>
            </wp:positionV>
            <wp:extent cx="4808855" cy="3171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480885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180"/>
        <w:spacing w:after="0" w:line="247"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Naporafenib administered as monotherapy was generally well tolerated when administered using either a QD or BID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Naporafenib was also generally well tolerated when administered with multiple other therapies with a variety of mechanisms of action (e.g., trametinib, LTT462, spartalizumab) without clinically relevant drug-drug interactions suggesting that naporafenib may be a potential partner for combination approaches.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As would be expected for combination therapies, the combination of naporafenib and trametinib in the Novartis clinical trials demonstrated an increased frequency and severity of AEs, the most common of which were skin toxicities, as compared to either naporafenib or trametinib administered as a monotherapy. However, more recent results from our SEACRAFT-1 trial suggest that mandatory primary rash prophylaxis improved the tolerability results as measured by reduced frequency and severity of dermatological toxicities, reduced drug discontinuation rate due to adverse events, and increased RDI as compared to the historical Novartis trials which did not include the use of mandatory primary rash prophylaxis. We believe this approach increases the potential for improvement in long-term tolerability and consequently increased efficacy.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Pharmacology</w:t>
      </w:r>
    </w:p>
    <w:p>
      <w:pPr>
        <w:spacing w:after="0" w:line="19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Monotherapy naporafenib showed a relatively rapid absorption with a median time to reach peak plasma concentration (Tmax) ranging from approximately 2 to 4 hours. Similar median Tmax ranges were observed when naporafenib was administered in combination with trametinib, LTT462, and ribociclib. The effective half-life is approximately 20-25 hours. The clinical exposure was approximately dose proportional across the dose range tested between 100 mg and 1200 mg QD as well as 200 mg and 600 mg BID. No significant drug-drug interactions have been observed between naporafenib and trametinib, LTT462, or ribociclib in the dose ranges tested. Other clinical pharmacology studies are ongoing.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Efficacy</w:t>
      </w:r>
    </w:p>
    <w:p>
      <w:pPr>
        <w:spacing w:after="0" w:line="19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Monotherapy</w:t>
      </w:r>
      <w:r>
        <w:rPr>
          <w:rFonts w:ascii="Arial" w:cs="Arial" w:eastAsia="Arial" w:hAnsi="Arial"/>
          <w:sz w:val="18"/>
          <w:szCs w:val="18"/>
          <w:color w:val="auto"/>
        </w:rPr>
        <w:t>. In the first-in-human dose escalation trial CLXH254X2101, two patients achieved confirmed partial responses (PRs): a patient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KRAS G12V-mutated ovarian cancer was treated with naporafenib 300 mg QD, and a patient with HRAS G13R-mutated head and neck cancer was treated with naporafenib 400 mg QD.</w:t>
      </w:r>
    </w:p>
    <w:p>
      <w:pPr>
        <w:spacing w:after="0" w:line="15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color w:val="auto"/>
        </w:rPr>
        <w:t>Naporafenib plus trametinib</w:t>
      </w:r>
      <w:r>
        <w:rPr>
          <w:rFonts w:ascii="Arial" w:cs="Arial" w:eastAsia="Arial" w:hAnsi="Arial"/>
          <w:sz w:val="18"/>
          <w:szCs w:val="18"/>
          <w:color w:val="auto"/>
        </w:rPr>
        <w:t>. A total of 71 patients with NRASm melanoma were dosed with the combination of naporafenib and trametinib</w:t>
      </w:r>
      <w:r>
        <w:rPr>
          <w:rFonts w:ascii="Arial" w:cs="Arial" w:eastAsia="Arial" w:hAnsi="Arial"/>
          <w:sz w:val="18"/>
          <w:szCs w:val="18"/>
          <w:b w:val="1"/>
          <w:bCs w:val="1"/>
          <w:color w:val="auto"/>
        </w:rPr>
        <w:t xml:space="preserve"> </w:t>
      </w:r>
      <w:r>
        <w:rPr>
          <w:rFonts w:ascii="Arial" w:cs="Arial" w:eastAsia="Arial" w:hAnsi="Arial"/>
          <w:sz w:val="18"/>
          <w:szCs w:val="18"/>
          <w:color w:val="auto"/>
        </w:rPr>
        <w:t>at two different doses across two different trials (Phase 1b CLXH254X2102 and Phase 2 CLXH254C12201) in the post immuno-oncology (IO) setting. A pooled analysis across these trials showed a 31% confirmed overall response rate (ORR) for the 39 patients who received naporafenib 200 mg BID and trametinib 1 mg QD</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244" w:lineRule="auto"/>
        <w:rPr>
          <w:sz w:val="20"/>
          <w:szCs w:val="20"/>
          <w:color w:val="auto"/>
        </w:rPr>
      </w:pPr>
      <w:r>
        <w:rPr>
          <w:rFonts w:ascii="Arial" w:cs="Arial" w:eastAsia="Arial" w:hAnsi="Arial"/>
          <w:sz w:val="18"/>
          <w:szCs w:val="18"/>
          <w:color w:val="auto"/>
        </w:rPr>
        <w:t>(200/1; one of the two RDEs) and a 22% confirmed ORR for the 32 patients who received naporafenib 400 mg BID and trametinib 0.5 mg QD (400/0.5; the other RDE). The duration of response (DOR) for the 200/1 pooled dataset was 7.4 months, the median progression-free survival (mPFS) was 5.1 months, and the median overall survival (mOS) was 13.0 months. The DOR for the 400/0.5 pooled dataset was 10.2 months, the mPFS was 4.9 months, and the mOS was 14.1 months. Both the mPFS and mOS for the pooled dataset at each dose were longer than their comparable benchmarks.</w:t>
      </w:r>
    </w:p>
    <w:p>
      <w:pPr>
        <w:spacing w:after="0" w:line="16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both ORR and PFS, we believe the most robust benchmark is the randomized Phase 3 NEMO trial, which was a randomized Phase 3 trial evaluating binimetinib versus dacarbazine in NRAS melanoma. Since both ORR and PFS directly measure the activity of trial treatments, we believe the data in this trial are generalizable to the patient population enrolled in both Novartis’ Phase 1b and Phase 2 trials referenced above, despite the NEMO trial primarily enrolling treatment-naïve patients (~80%). In contrast to ORR and PFS, the OS results observed for the Phase 3 NEMO trial reflect not only the trial treatments (dacarbazine or binimetinib) but also the therapies received by patients after discontinuing the trial treatment. More specifically, since (i) ~45% of patients in either arm of the NEMO trial were reported to have received IO-based therapy after dacarbazine or binimetinib and (ii) IO-based therapy prolongs overall survival compared to other therapies available at that time, the mOS as measured by a Kaplan-Meier analysis would be predicted to overestimate the OS benefit provided by either dacarbazine or binimetinib without the IO-based therapy. In contrast, in the two naporafenib plus trametinib studies, all patients received IO-based therapy prior to enrollment, and since OS in clinical trials is measured from when a patient enters the trial, we believe that the results in NEMO likely overestimate the mOS values compared to the two naporafenib plus trametinib studies. In addition, while we believe that the mOS results from NEMO likely overestimate the potential OS benefit from dacarbazine or binimetinib, the mOS from the naporafenib plus trametinib combination is still quantitatively longer than that observed in either arm in the NEMO trial.</w:t>
      </w:r>
    </w:p>
    <w:p>
      <w:pPr>
        <w:spacing w:after="0" w:line="1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Since no randomized trials have been completed for patients with NRASm melanoma in the post-IO setting, other potential OS benchmarks available for comparison to the results from the pooled naporafenib plus trametinib analysis are either from published literature describing retrospective chart reviews of comparable patient populations or from data generated in similar patient populations enrolled in either the Phase 1b or Phase 2 trials themselves. In four publications describing retrospective chart reviews in patients with melanoma receiving either cytotoxic chemotherapy or MEK inhibitor monotherapy in the post-IO setting, the mOS was approximately 7 months. Similarly, for patients with BRAF/MEK-inhibitor resistant BRAFm melanoma enrolled in the Phase 2 trial and treated with naporafenib plus trametinib, which did not induce responses in this particular patient population, the mOS was approximately 7 months. We believe that the consistency of the mOS values for both the retrospective chart reviews and BRAF/MEK-inhibitor resistant BRAFm melanoma patients in the Phase 2 trial suggest that for patients with melanoma being treated in the post-IO setting, the natural history of their disease is represented by a mOS of approximately 7 months. In contrast, the mOS observed for patients with NRASm melanoma treated with naporafenib plus trametinib was approximately 13 to 14 months. This near doubling of OS demonstrated by naporafenib plus trametinib compares favorably relative to the historical benchmarks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130175</wp:posOffset>
            </wp:positionV>
            <wp:extent cx="5469255" cy="2486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6925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spacing w:after="0" w:line="244" w:lineRule="auto"/>
        <w:rPr>
          <w:sz w:val="20"/>
          <w:szCs w:val="20"/>
          <w:color w:val="auto"/>
        </w:rPr>
      </w:pPr>
      <w:r>
        <w:rPr>
          <w:rFonts w:ascii="Arial" w:cs="Arial" w:eastAsia="Arial" w:hAnsi="Arial"/>
          <w:sz w:val="18"/>
          <w:szCs w:val="18"/>
          <w:color w:val="auto"/>
        </w:rPr>
        <w:t>An additional 10 efficacy-evaluable patients with NRAS Q61X melanoma were dosed with naporafenib and trametinib (200/1 dose) in our SEACRAFT-1 trial in the post-IO setting. As presented at the 2024 Triple Meeting, a 40% response rate was observed, including three confirmed responses and one unconfirmed response (uPR). The patient with uPR was still on treatment as of the data cutoff (September 5, 2024). The disease control rate was encouraging at 80%, especially given that these patients have limited treatment options. Finally, 70% of patients remained on treatment as of data cutoff, including all confirmed and unconfirmed responders.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123825</wp:posOffset>
            </wp:positionV>
            <wp:extent cx="4646295" cy="5477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46295" cy="547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We believe clinical PoC in patients with NRASm melanoma has been established for the combination of naporafenib and</w:t>
      </w:r>
      <w:r>
        <w:rPr>
          <w:rFonts w:ascii="Arial" w:cs="Arial" w:eastAsia="Arial" w:hAnsi="Arial"/>
          <w:sz w:val="18"/>
          <w:szCs w:val="18"/>
          <w:b w:val="1"/>
          <w:bCs w:val="1"/>
          <w:color w:val="auto"/>
        </w:rPr>
        <w:t xml:space="preserve"> </w:t>
      </w:r>
      <w:r>
        <w:rPr>
          <w:rFonts w:ascii="Arial" w:cs="Arial" w:eastAsia="Arial" w:hAnsi="Arial"/>
          <w:sz w:val="18"/>
          <w:szCs w:val="18"/>
          <w:color w:val="auto"/>
        </w:rPr>
        <w:t>trametinib. Although clinical trial data across separate trials may not be directly comparable due to differences in trial protocols, conditions, and patient populations, these data compare favorably with the clinical activity observed with the standard of care agents used to treat patients with NRASm melanoma who have progressed on immunotherapy.</w:t>
      </w:r>
    </w:p>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Development strategy for naporafenib</w:t>
      </w:r>
    </w:p>
    <w:p>
      <w:pPr>
        <w:spacing w:after="0" w:line="196" w:lineRule="exact"/>
        <w:rPr>
          <w:sz w:val="20"/>
          <w:szCs w:val="20"/>
          <w:color w:val="auto"/>
        </w:rPr>
      </w:pPr>
    </w:p>
    <w:p>
      <w:pPr>
        <w:ind w:right="240"/>
        <w:spacing w:after="0" w:line="218" w:lineRule="exact"/>
        <w:rPr>
          <w:sz w:val="20"/>
          <w:szCs w:val="20"/>
          <w:color w:val="auto"/>
        </w:rPr>
      </w:pPr>
      <w:r>
        <w:rPr>
          <w:rFonts w:ascii="Arial" w:cs="Arial" w:eastAsia="Arial" w:hAnsi="Arial"/>
          <w:sz w:val="18"/>
          <w:szCs w:val="18"/>
          <w:color w:val="auto"/>
        </w:rPr>
        <w:t>Naporafenib’s clinical development plan is centered on the quick and efficient capitalization on the clinical PoC established in patients with NRASm melanoma in the post-IO setting. In December 2023, we announced that the FDA granted FTD to naporafenib in combination with trametinib for the treatment of adult patients with unresectable or metastatic melanoma who have progressed on, or are intolerant to, an anti</w:t>
      </w:r>
      <w:r>
        <w:rPr>
          <w:rFonts w:ascii="MS PGothic" w:cs="MS PGothic" w:eastAsia="MS PGothic" w:hAnsi="MS PGothic"/>
          <w:sz w:val="18"/>
          <w:szCs w:val="18"/>
          <w:color w:val="auto"/>
        </w:rPr>
        <w:t>‑</w:t>
      </w:r>
      <w:r>
        <w:rPr>
          <w:rFonts w:ascii="Arial" w:cs="Arial" w:eastAsia="Arial" w:hAnsi="Arial"/>
          <w:sz w:val="18"/>
          <w:szCs w:val="18"/>
          <w:color w:val="auto"/>
        </w:rPr>
        <w:t>programmed death-1 (ligand 1) (PD</w:t>
      </w:r>
      <w:r>
        <w:rPr>
          <w:rFonts w:ascii="MS PGothic" w:cs="MS PGothic" w:eastAsia="MS PGothic" w:hAnsi="MS PGothic"/>
          <w:sz w:val="18"/>
          <w:szCs w:val="18"/>
          <w:color w:val="auto"/>
        </w:rPr>
        <w:t>‑</w:t>
      </w:r>
      <w:r>
        <w:rPr>
          <w:rFonts w:ascii="Arial" w:cs="Arial" w:eastAsia="Arial" w:hAnsi="Arial"/>
          <w:sz w:val="18"/>
          <w:szCs w:val="18"/>
          <w:color w:val="auto"/>
        </w:rPr>
        <w:t>(L)1)-based regimen, and whose tumors contain an NRAS mutation.</w:t>
      </w:r>
    </w:p>
    <w:p>
      <w:pPr>
        <w:spacing w:after="0" w:line="143"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b w:val="1"/>
          <w:bCs w:val="1"/>
          <w:color w:val="auto"/>
        </w:rPr>
        <w:t xml:space="preserve">NRAS-mutated melanoma. </w:t>
      </w:r>
      <w:r>
        <w:rPr>
          <w:rFonts w:ascii="Arial" w:cs="Arial" w:eastAsia="Arial" w:hAnsi="Arial"/>
          <w:sz w:val="18"/>
          <w:szCs w:val="18"/>
          <w:color w:val="auto"/>
        </w:rPr>
        <w:t>The frontline standard of care for patients with NRASm melanoma is an anti-PD-1/L-1-based regimen</w:t>
      </w:r>
      <w:r>
        <w:rPr>
          <w:rFonts w:ascii="Arial" w:cs="Arial" w:eastAsia="Arial" w:hAnsi="Arial"/>
          <w:sz w:val="18"/>
          <w:szCs w:val="18"/>
          <w:b w:val="1"/>
          <w:bCs w:val="1"/>
          <w:color w:val="auto"/>
        </w:rPr>
        <w:t xml:space="preserve"> </w:t>
      </w:r>
      <w:r>
        <w:rPr>
          <w:rFonts w:ascii="Arial" w:cs="Arial" w:eastAsia="Arial" w:hAnsi="Arial"/>
          <w:sz w:val="18"/>
          <w:szCs w:val="18"/>
          <w:color w:val="auto"/>
        </w:rPr>
        <w:t>(immunotherapy) where the PD-1/L-1 inhibitor is administered as monotherapy or in combination. The highest unmet medical need in this population is in the post-IO setting, where there is no single global regulatory or accepted SOC. Rather, an analysis of regulatory approvals of drugs for patients with melanoma, published treatment guidelines, and the feedback from an advisory board attended by treating physicians in North America, Europe, and Australia indicate that the treatment choices for this post-IO patient population include cytotoxic chemotherapy (e.g., dacarbazine, temozolomide, etc.), single agent MEK inhibitors (e.g., trametinib, binimetinib, cobimetinib), and clinical trials. In addition, there is no clear preference for what type of chemotherapy or MEK inhibitor should be administered. The best reference data for chemotherapy in patients with NRASm melanoma are from the NEMO trial. The patient composition was 82% treatment-naïve, 16%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line, 2% 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line or more. The major strength of these reference data is this is the largest and most recent phase 3 dataset in which all patients had NRASm melanoma and are relatively homogeneous, with the vast majority being treatment-naïve. The major weakness is that only 21% of patients had received prior IO therapy. In the NEMO trial, the ORR for chemotherapy was 7%, the mPFS was only 1.5 months, and mOS was 10.1 months. Furthermore, the NEMO trial showed that the MEK inhibitor binimetinib had an ORR of 15%, a mPFS of 2.8 months, and a mOS of 11.0 months. As described above, the mOS observed for chemotherapy and binimetinib in NEMO may overestimate what will be observed in the control arm of the SEACRAFT-2 trial. A cross-trial comparison suggests that the combination of pan-RAF inhibitor plus MEK inhibitor may be superior to MEK inhibition alone or standard of care chemotherapy. We are testing this hypothesis in the SEACRAFT-2 randomized controlled trial in the post-IO setting for potential registration.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 for naporafenib</w:t>
      </w:r>
    </w:p>
    <w:p>
      <w:pPr>
        <w:spacing w:after="0" w:line="19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Naporafenib is our most advanced clinical-stage program. We believe it has the potential to change the standard of care indications with high unmet medical need, such as patients with NRASm melanoma, as well as patients with RAS/MAPK solid tumors.</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SEACRAFT-1</w:t>
      </w:r>
      <w:r>
        <w:rPr>
          <w:rFonts w:ascii="Arial" w:cs="Arial" w:eastAsia="Arial" w:hAnsi="Arial"/>
          <w:sz w:val="18"/>
          <w:szCs w:val="18"/>
          <w:color w:val="auto"/>
        </w:rPr>
        <w:t>. The SEACRAFT-1 trial is a signal-seeking Phase 1b trial in patients with RAS/MAPK solid tumors. We believe that 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preliminary SEACRAFT-1 data do not support further exploration of a tissue-agnostic indication, they do reinforce the potential of the ongoing Phase 3 SEACRAFT-2 trial in patients with NRASm melanoma.</w:t>
      </w:r>
    </w:p>
    <w:p>
      <w:pPr>
        <w:spacing w:after="0" w:line="155" w:lineRule="exact"/>
        <w:rPr>
          <w:sz w:val="20"/>
          <w:szCs w:val="20"/>
          <w:color w:val="auto"/>
        </w:rPr>
      </w:pPr>
    </w:p>
    <w:p>
      <w:pPr>
        <w:jc w:val="both"/>
        <w:ind w:right="80"/>
        <w:spacing w:after="0" w:line="244" w:lineRule="auto"/>
        <w:rPr>
          <w:sz w:val="20"/>
          <w:szCs w:val="20"/>
          <w:color w:val="auto"/>
        </w:rPr>
      </w:pPr>
      <w:r>
        <w:rPr>
          <w:rFonts w:ascii="Arial" w:cs="Arial" w:eastAsia="Arial" w:hAnsi="Arial"/>
          <w:sz w:val="18"/>
          <w:szCs w:val="18"/>
          <w:b w:val="1"/>
          <w:bCs w:val="1"/>
          <w:color w:val="auto"/>
        </w:rPr>
        <w:t>SEACRAFT-2</w:t>
      </w:r>
      <w:r>
        <w:rPr>
          <w:rFonts w:ascii="Arial" w:cs="Arial" w:eastAsia="Arial" w:hAnsi="Arial"/>
          <w:sz w:val="18"/>
          <w:szCs w:val="18"/>
          <w:color w:val="auto"/>
        </w:rPr>
        <w:t>. The SEACRAFT-2 trial, which we initiated in the first half of 2024, is formally testing the hypothesis supported by the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PoC data in patients with NRASm melanoma. In Stage 1 of the SEACRAFT-2 trial, we are evaluating two combination doses of naporafenib and trametinib [400/0.5 and 100/1 (doses are listed as naporafenib mg BID/trametinib mg QD)] as well as single-agent trametinib. Along with the 200/1 dose from the SEACRAFT-1 trial, we aim to identify one dose to incorporate into the potentially registration-enabling portion of the trial.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 Stage 2 of the SEACRAFT-2 trial, we plan to enroll NRASm melanoma patients who have progressed on, or are intolerant to, SOC ICI therapy into a potentially registration-enabling randomized Phase 3 trial in which patients will receive either naporafenib plus trametinib or physician’s choice of therapy (dacarbazine, temozolomide, or trametinib monotherapy). We have designed the trial to demonstrate superiority in PFS and/or OS based on benchmarks from published literature. Important details of the trial design, such as the primary endpoints and choice of therapy in the physician’s choice comparator arm, have been discussed with regulatory authorities. SEACRAFT-2 has the potential for approval based on the high unmet medical need of these patients as well as the alignment with US and European regulators on the NRASm melanoma indication.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expect to have Phase 3 Stage 1 randomized dose optimization data in the second half of 2025.</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addition, we have introduced proactive safety management, including mandatory primary rash prophylaxis, that is designed to improve the safety and tolerability of this regimen for patients participating in our trials.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24" w:name="page25"/>
    <w:bookmarkEnd w:id="24"/>
    <w:p>
      <w:pPr>
        <w:ind w:right="340"/>
        <w:spacing w:after="0" w:line="253" w:lineRule="auto"/>
        <w:rPr>
          <w:sz w:val="20"/>
          <w:szCs w:val="20"/>
          <w:color w:val="auto"/>
        </w:rPr>
      </w:pPr>
      <w:r>
        <w:rPr>
          <w:rFonts w:ascii="Arial" w:cs="Arial" w:eastAsia="Arial" w:hAnsi="Arial"/>
          <w:sz w:val="18"/>
          <w:szCs w:val="18"/>
          <w:b w:val="1"/>
          <w:bCs w:val="1"/>
          <w:color w:val="auto"/>
        </w:rPr>
        <w:t>Other development opportunities</w:t>
      </w:r>
      <w:r>
        <w:rPr>
          <w:rFonts w:ascii="Arial" w:cs="Arial" w:eastAsia="Arial" w:hAnsi="Arial"/>
          <w:sz w:val="18"/>
          <w:szCs w:val="18"/>
          <w:color w:val="auto"/>
        </w:rPr>
        <w:t>. A strong motivation to add naporafenib to our precision oncology pipeline is the potential synergy of</w:t>
      </w:r>
      <w:r>
        <w:rPr>
          <w:rFonts w:ascii="Arial" w:cs="Arial" w:eastAsia="Arial" w:hAnsi="Arial"/>
          <w:sz w:val="18"/>
          <w:szCs w:val="18"/>
          <w:b w:val="1"/>
          <w:bCs w:val="1"/>
          <w:color w:val="auto"/>
        </w:rPr>
        <w:t xml:space="preserve"> </w:t>
      </w:r>
      <w:r>
        <w:rPr>
          <w:rFonts w:ascii="Arial" w:cs="Arial" w:eastAsia="Arial" w:hAnsi="Arial"/>
          <w:sz w:val="18"/>
          <w:szCs w:val="18"/>
          <w:color w:val="auto"/>
        </w:rPr>
        <w:t>naporafenib with our other agents that target the RAS/MAPK pathway. These combinations may enable targeting of other RAS/MAPK pathway mutations beyond NRASm melanoma and may expand the potential impact of naporafenib to larger patient populations.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RAS Franchise: ERAS-0015 pan-RAS molecular glue and ERAS-4001 pan-KRAS small molecule inhibitor</w:t>
      </w:r>
    </w:p>
    <w:p>
      <w:pPr>
        <w:spacing w:after="0" w:line="14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RAS franchise consists of two preclinical molecules: ERAS-0015, a pan-RAS molecular glue for which we plan to file the IND in mid-Q2 2025, and ERAS-4001, a pan-KRAS small molecule inhibitor for which we plan to file the IND in the second quarter of 2025. Phase 1 monotherapy data readouts are expected for each of the ERAS-0015 AURORAS-1 and ERAS-4001 BOREALIS-1 clinical studies in 2026.</w:t>
      </w:r>
    </w:p>
    <w:p>
      <w:pPr>
        <w:spacing w:after="0" w:line="155"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Both molecules exceed our target product profile across three key attributes: potency, favorable ADME/PK properties including oral bioavailability, and strong IP position. Improved potency and oral bioavailability may enable dosing at a lower dose, particularly for ERAS-0015, which could translate into linear PK across biologically relevant doses, better GI tolerability profile given the lower drug load in the GI tract, and an improved therapeutic window.</w:t>
      </w:r>
    </w:p>
    <w:p>
      <w:pPr>
        <w:spacing w:after="0" w:line="160" w:lineRule="exact"/>
        <w:rPr>
          <w:sz w:val="20"/>
          <w:szCs w:val="20"/>
          <w:color w:val="auto"/>
        </w:rPr>
      </w:pPr>
    </w:p>
    <w:p>
      <w:pPr>
        <w:jc w:val="both"/>
        <w:ind w:right="400"/>
        <w:spacing w:after="0" w:line="247" w:lineRule="auto"/>
        <w:rPr>
          <w:sz w:val="20"/>
          <w:szCs w:val="20"/>
          <w:color w:val="auto"/>
        </w:rPr>
      </w:pPr>
      <w:r>
        <w:rPr>
          <w:rFonts w:ascii="Arial" w:cs="Arial" w:eastAsia="Arial" w:hAnsi="Arial"/>
          <w:sz w:val="18"/>
          <w:szCs w:val="18"/>
          <w:color w:val="auto"/>
        </w:rPr>
        <w:t>We are pursuing a clinical development strategy that we believe could enable us to address RAS mutant tumor types where there is the highest unmet medical need, including CRC, PDAC, and NSCLC. We plan to move swiftly into strategic combinations while, in parallel, characterizing the monotherapy activity and combination potential of each program. We also plan on capitalizing on our unique portfolio which has complementary proposed mechanisms of action and target profiles to develop these novel combinations.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ERAS-0015: our pan-RAS molecular glue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Biophysical characterization of ERAS-0015</w:t>
      </w:r>
    </w:p>
    <w:p>
      <w:pPr>
        <w:spacing w:after="0" w:line="19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ERAS-0015 is a pan-RAS molecular glue that we believe has the potential to treat patients with RAS mutant solid tumors. The molecule forms a tripartite complex with Cyclophilin A (CypA) and the active form of RAS to inhibit RAS-dependent signaling. In surface plasmon residence (SPR) and isothermal titration calorimetry (ITC) binding assays, ERAS-0015 has demonstrated 8-21-fold higher binding affinity to cyclophilin A relative to RMC-6236 (the leading pan-RAS molecular glue in development), which we believe may enable more potent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123825</wp:posOffset>
            </wp:positionV>
            <wp:extent cx="3737610" cy="129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3761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performed a tumor PK distribution assessment in TGI studies of ERAS-0015 versus RMC-6236 in PK-59 and PSN-1 CDX models. PK concentrations of paired tumor and blood samples were measured at 4 and 24 hours after the last dose of the TGI studies.</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the PK-59 CDX study, the dose normalized ERAS-0015 (across 3 ERAS-0015 dose levels: 0.1, 0.3, and 1 milligrams per kilograms (mpk)) tumor PK exposures relative to the corresponding blood concentrations at 4 and 24 hours post-dose were much higher compared to the same measure for RMC-6236 (dose normalized for 2 RMC-6236 dose levels: 1 and 3 mpk), indicating preferential tumor distribution for ERAS-0015. In addition, the decrease in ERAS-0015 tumor concentrations from 4 to 24 hours post-dose was much smaller compared to that of RMC-6236, suggesting longer tumor residence time for ERAS-0015.</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25" w:name="page26"/>
    <w:bookmarkEnd w:id="25"/>
    <w:p>
      <w:pPr>
        <w:spacing w:after="0" w:line="271" w:lineRule="auto"/>
        <w:rPr>
          <w:sz w:val="20"/>
          <w:szCs w:val="20"/>
          <w:color w:val="auto"/>
        </w:rPr>
      </w:pPr>
      <w:r>
        <w:rPr>
          <w:rFonts w:ascii="Arial" w:cs="Arial" w:eastAsia="Arial" w:hAnsi="Arial"/>
          <w:sz w:val="18"/>
          <w:szCs w:val="18"/>
          <w:color w:val="auto"/>
        </w:rPr>
        <w:t>Similar findings were also observed in the PSN-1 CDX study as shown in the figure on the right. (In the PSN-1 model, ERAS-0015 exposures were dose normalized across 0.3 and 1 mpk; RMC-6236 exposures were dose normalized across 3 and 10 mpk).</w:t>
      </w:r>
    </w:p>
    <w:p>
      <w:pPr>
        <w:spacing w:after="0" w:line="140"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Taken together, these data demonstrated that ERAS-0015 showed preferential tumor distribution and longer residence time relative to RMC-6236, which we believe may help drive antitumor activity. We believe that the preferential tumor distribution and longer residence time could be related to the higher CypA binding affinity.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110490</wp:posOffset>
            </wp:positionV>
            <wp:extent cx="5426075" cy="2468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2607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potency of ERAS-0015</w:t>
      </w:r>
    </w:p>
    <w:p>
      <w:pPr>
        <w:spacing w:after="0" w:line="19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multiple in vitro cell lines containing representative mutations in KRAS G12X, Q61R, and G13D as well as KRAS wildtype, ERAS-0015 showed superior in vitro potency when compared to RMC-6236 with an average of 5 times greater potency. The molecule showed subnanomolar to nanomolar potency against KRAS G12X, G13D, and KRAS wildtype and was also active against HRAS and NRAS. ERAS-0015 showed no activity in the BRAF V600E A375 cell line, demonstrating selective inhibition of 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113665</wp:posOffset>
            </wp:positionV>
            <wp:extent cx="4697730" cy="26657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9773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Preclinical efficacy of ERAS-0015</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vivo, ERAS-0015 achieved tumor regression in multiple CDX models across PDAC, CRC, and NSCLC tumor types at doses as low as 0.3 to 0.5 mpk. Potentially due to its greater binding affinity to CypA than RMC-6236, ERAS-0015 demonstrated comparable to greater in vivo antitumor activity at doses which were approximately one-tenth to one-eighth of the dose of RMC-6236.</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example, in the PK-59 KRAS G12D PDAC model, the tumor regression that was observed with RMC-6236 at 3 mpk was comparable to the regression that was observed with ERAS-0015 at 0.3 mpk. This difference in in vivo antitumor activity was observed across multiple CDX models including KRAS G12R PDAC CDX PSN-1 and KRAS G12V CRC CDX SW620.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110490</wp:posOffset>
            </wp:positionV>
            <wp:extent cx="5443220" cy="18770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4322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This difference in in vivo antitumor activity was also observed in the NCI-H727 KRAS G12V NSCLC CDX model. ERAS-0015 was able to achieve tumor regression at 1 mpk relative to RMC-6236 at 10 mpk.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100965</wp:posOffset>
            </wp:positionV>
            <wp:extent cx="5572125" cy="2348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7212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Activity was also observed with the combination of ERAS-0015 and anti-PD-1 therapy in a KPC KRAS G12D CDX model where tumor regression was maintained even after treatment was stopped on Day 31. Furthermore, tumors did not form after a rechallenge with tumor cells, which involved injecting the tumor cells in the contralateral side of the animal without administering any drug therapy. These rechallenge data suggest that the combination of ERAS-0015 and anti-PD-1 can stimulate immunologic antitumor memory in the rechallenged mouse. Doses administered were tolerable as measured by body weight change.</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7" w:right="39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953770</wp:posOffset>
            </wp:positionH>
            <wp:positionV relativeFrom="page">
              <wp:posOffset>637540</wp:posOffset>
            </wp:positionV>
            <wp:extent cx="5648960" cy="2459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64896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Pharmacokinetics and ADME of ERAS-0015</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ERAS-0015 has shown encouraging PK results in multiple species, including mouse, rat, dog, and monkey. In a head-to-head comparison of ERAS-0015 and RMC-6236, ERAS-0015 outperformed RMC-6236 on three key metrics (specifically, lower clearance, longer half-life, and higher bioavailability demonstrated across all species tested) that we believe may provide ERAS-0015 a clinical advantage in the clinic over RMC-6236.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113665</wp:posOffset>
            </wp:positionV>
            <wp:extent cx="5272405" cy="2451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7240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ERAS-0015 has shown favorable overall ADME properties in vitro and encouraging PK characteristics in in vivo animal studies that we believe support development in clinic. Based on the differentiated potency and PK/ADME results, we predict that ERAS-0015 will be efficacious at lower doses than the leading pan-RAS molecular glue in development, which may lower the risk of solubility-limited absorption issues and enable linear PK exposure relative to the leading pan-RAS molecular glue in development. In addition, the hERG IC50 was greater than 10 micromolar which suggests potentially lower concern for cardiovascular risk.</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1631315</wp:posOffset>
            </wp:positionH>
            <wp:positionV relativeFrom="page">
              <wp:posOffset>637540</wp:posOffset>
            </wp:positionV>
            <wp:extent cx="4294505" cy="2228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429450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clinical development strategy for ERAS-0015</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planning an initial clinical trial for ERAS-0015 which we refer to as AURORAS-1. The AURORAS-1 trial is expected to assess ERAS-0015 as a monotherapy and in combination with approved and unapproved therapies for the treatment of patients with RASm solid tumors. We plan to file an IND for the AURORAS-1 trial in mid-Q2 2025, with an anticipated Phase 1 monotherapy data readout in 2026.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ERAS-4001: our pan-KRAS small molecule inhibitor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Biophysical characterization and preclinical potency of ERAS-4001</w:t>
      </w:r>
    </w:p>
    <w:p>
      <w:pPr>
        <w:spacing w:after="0" w:line="19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ERAS-4001 is a pan-KRAS small molecule inhibitor that demonstrated high affinity and long target residence time in vitro against multiple KRAS G12X mutations as well as KRAS wildtype, and selectivity for KRAS wildtype over HRAS wildtype and NRAS wildtype.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100965</wp:posOffset>
            </wp:positionV>
            <wp:extent cx="4225925" cy="18859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2592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ERAS-4001 potently and selectively inhibited multiple cell lines that represent </w:t>
      </w:r>
      <w:r>
        <w:rPr>
          <w:rFonts w:ascii="Arial" w:cs="Arial" w:eastAsia="Arial" w:hAnsi="Arial"/>
          <w:sz w:val="18"/>
          <w:szCs w:val="18"/>
          <w:color w:val="323130"/>
        </w:rPr>
        <w:t>KRAS G12X, G13D, and</w:t>
      </w:r>
      <w:r>
        <w:rPr>
          <w:rFonts w:ascii="Arial" w:cs="Arial" w:eastAsia="Arial" w:hAnsi="Arial"/>
          <w:sz w:val="18"/>
          <w:szCs w:val="18"/>
          <w:color w:val="auto"/>
        </w:rPr>
        <w:t xml:space="preserve"> wildtype with single digit nanomolar potency. Demonstrating selective inhibition of KRAS, ERAS-4001 showed no activity in two KRAS independent cell lines, which are shown at the bottom.</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1811020</wp:posOffset>
            </wp:positionH>
            <wp:positionV relativeFrom="page">
              <wp:posOffset>637540</wp:posOffset>
            </wp:positionV>
            <wp:extent cx="3934460" cy="2922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393446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 biochemical assays, ERAS-4001 potently inhibited KRAS in both the GTP- and GDP-bound states with single digit nanomolar IC50s. ERAS-4001’s potent disruption of binding between KRAS G12D and the RAS-binding domain peptide is intended to model ERAS-4001’s potential to block KRAS from signaling downstream via the RAS/MAPK pathway. ERAS-4001 showed the potential to inhibit KRAS mutants where KRAS spends more time in the activated GTP-bound state, such as G12D and G12V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122555</wp:posOffset>
            </wp:positionV>
            <wp:extent cx="5237480" cy="925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3748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activity of ERAS-4001</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ERAS-4001 showed encouraging in vivo activity in multiple CDX models. ERAS-4001 achieved tumor stasis and regression in three sensitive KRAS G12D models and one sensitive KRAS G12V model. In addition, ERAS-4001 showed promising activity in the pan-KRAS inhibitor insensitive model, the KRAS G12V mutant CDX NCI-H727.</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1734185</wp:posOffset>
            </wp:positionH>
            <wp:positionV relativeFrom="page">
              <wp:posOffset>765810</wp:posOffset>
            </wp:positionV>
            <wp:extent cx="4088765" cy="2434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408876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ERAS-4001 has also demonstrated antitumor activity in combination with an anti-PD-1 in a KPC KRAS G12D CDX model where tumor regression was maintained even after treatment was stopped on Day 38. Furthermore, no tumors formed in the rechallenge study, suggesting the combination of ERAS-4001 and anti-PD-1 can stimulate immunologic antitumor memory in the rechallenged mouse.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107950</wp:posOffset>
            </wp:positionV>
            <wp:extent cx="5563235" cy="2048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6323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40" w:right="87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Pharmacokinetics and ADME of ERAS-4001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ERAS-4001 showed encouraging PK results, including oral bioavailability in mouse, rat, and dog.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146050</wp:posOffset>
            </wp:positionV>
            <wp:extent cx="4534535" cy="21513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34535"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ERAS-4001 demonstrated favorable ADME results in vitro. The GLP cardiovascular telemetry study in dogs showed no QTc prolongation.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137795</wp:posOffset>
            </wp:positionV>
            <wp:extent cx="4663440" cy="22885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6344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clinical development strategy for ERAS-4001</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are planning an initial clinical trial for ERAS-4001, which we refer to as BOREALIS-1. The BOREALIS-1 trial is expected to assess ERAS-4001 as a monotherapy and in combination with approved and unapproved therapies for the treatment of patients with KRASm solid tumors. We plan to file an IND for the BOREALIS-1 trial in the second quarter of 2025, with an anticipated Phase 1 monotherapy data readout in 2026.</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ERAS-12: our EGFR D2/D3 biparatopic antibody program</w:t>
      </w:r>
    </w:p>
    <w:p>
      <w:pPr>
        <w:spacing w:after="0" w:line="21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Inhibition of activated EGFR signaling mediated by overexpression of EGFR has shown promise in treating various tumors, including CRC and head and neck squamous cell carcinoma. In tumors where overexpression of wildtype EGFR is thought to be a primary driver of EGFR signaling, an antibody-based approach is an effective way to target the receptor, and approved antibodies have demonstrated good tolerability as well as activity by inhibiting EGFR activation and mediating antibody-dependent cellular cytotoxicity, a process by which the antibody alerts the immune system to attack</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7" w:right="519" w:bottom="1440" w:gutter="0" w:footer="0" w:header="0"/>
        </w:sectPr>
      </w:pPr>
    </w:p>
    <w:bookmarkStart w:id="32" w:name="page33"/>
    <w:bookmarkEnd w:id="32"/>
    <w:p>
      <w:pPr>
        <w:ind w:right="80"/>
        <w:spacing w:after="0" w:line="244" w:lineRule="auto"/>
        <w:rPr>
          <w:sz w:val="20"/>
          <w:szCs w:val="20"/>
          <w:color w:val="auto"/>
        </w:rPr>
      </w:pPr>
      <w:r>
        <w:rPr>
          <w:rFonts w:ascii="Arial" w:cs="Arial" w:eastAsia="Arial" w:hAnsi="Arial"/>
          <w:sz w:val="18"/>
          <w:szCs w:val="18"/>
          <w:color w:val="auto"/>
        </w:rPr>
        <w:t>the bound tumor cell. However, all approved anti-EGFR antibodies target D3 only, which is the main site for ligand binding, and no approved antibodies target D2, which is responsible for dimerization of EGFR upon ligand binding. Binding of D2 prevents both EGFR homodimerization as well as heterodimerization. Overexpression of EGFR activates EGFR signaling by facilitating both homo- and heterodimerization. Consequently, an antibody that targets D2, the receptor domain responsible for dimerization upon ligand binding, would be predicted to be particularly efficacious.</w:t>
      </w:r>
    </w:p>
    <w:p>
      <w:pPr>
        <w:spacing w:after="0" w:line="163"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Biparatopic antibodies are a subset of bispecific antibodies that have specificity for unique, non-overlapping epitopes found on the same molecular target. We are developing a bpAb that targets these two distinct domains on the EGFR receptor, which allows the antibody to inhibit both the ligand binding and dimerization functionality of the receptor.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110490</wp:posOffset>
            </wp:positionV>
            <wp:extent cx="4705985" cy="130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05985"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right="100"/>
        <w:spacing w:after="0" w:line="243" w:lineRule="auto"/>
        <w:rPr>
          <w:sz w:val="20"/>
          <w:szCs w:val="20"/>
          <w:color w:val="auto"/>
        </w:rPr>
      </w:pPr>
      <w:r>
        <w:rPr>
          <w:rFonts w:ascii="Arial" w:cs="Arial" w:eastAsia="Arial" w:hAnsi="Arial"/>
          <w:sz w:val="18"/>
          <w:szCs w:val="18"/>
          <w:i w:val="1"/>
          <w:iCs w:val="1"/>
          <w:color w:val="auto"/>
        </w:rPr>
        <w:t>Diagram (A) visualizes the EGFR antibody ER-2a binding to the extracellular domain II of EGFR wildtype (purple), which is accessible when EGFR is in the active state. EGFR assumes an active state conformation when its ligand is bound (the bound ligand is shown in blue). Diagram (B) visualizes the EGFR antibody ER-3a binding to the extracellular domain III of EGFR wildtype (purple), which is accessible when EGFR is in the inactive state. In the rectangle, the portion of ER-2b that recognizes domain II of EGFR and the portion of ER-3b that recognizes domain III of EGFR are combined into a bispecific antibody that binds EGFR in both states.</w:t>
      </w:r>
    </w:p>
    <w:p>
      <w:pPr>
        <w:spacing w:after="0" w:line="165"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This dual inhibition can potentially achieve differentiated and potentially more effective EGFR inhibition than currently approved EGFR antibodies. Overall, we anticipate this strategy will result in better control of tumor growth and delay the emergence of resistance mechanisms.</w:t>
      </w:r>
    </w:p>
    <w:p>
      <w:pPr>
        <w:spacing w:after="0" w:line="169"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ERAS-12 is also designed with enhanced Fc-effector functions, including complement dependent cytotoxicity, antibody dependent cellular cytotoxicity, and antibody dependent cellular phagocytosis. The Fc region of IgG1 contains several binding sites for immune effector cells (i.e., Fcγ) and the classical complement protein C1q. As noted, this antibody is biparatopic, binding to both D2 and D3 of EGFR. This potentially can produce oligomerized EGFR-antibody structures on the cell surface. Complexes of this type can amplify Fc-effector functions creating multiple mechanisms to induce tumor cell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123825</wp:posOffset>
            </wp:positionV>
            <wp:extent cx="4705985" cy="1663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05985"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
        <w:spacing w:after="0" w:line="243" w:lineRule="auto"/>
        <w:rPr>
          <w:sz w:val="20"/>
          <w:szCs w:val="20"/>
          <w:color w:val="auto"/>
        </w:rPr>
      </w:pPr>
      <w:r>
        <w:rPr>
          <w:rFonts w:ascii="Arial" w:cs="Arial" w:eastAsia="Arial" w:hAnsi="Arial"/>
          <w:sz w:val="18"/>
          <w:szCs w:val="18"/>
          <w:i w:val="1"/>
          <w:iCs w:val="1"/>
          <w:color w:val="auto"/>
        </w:rPr>
        <w:t>The biparatopic antibody ER-3a/ER-2a and EGFR active state-binding antibody ER-2a inhibited cell growth in FaDu, an HNSCC cell line, and HCT-8, a CRC cell line, and the NSCLC cell line H1975. FaDu and HCT-8 expressed wildtype EGFR and H1975 expressed EGFR with two kinase domain mutations, L858R and T790M. EGFR’s ligand, EGF, was added to these cells to further stimulate EGFR activity and model environments where EGF is expressed. As expected, only the two antibodies that recognized the active state of EGFR, ER-3a/ER-2a, inhibited the proliferation of all three cell lines, as indicated by a reduced confluency percentage.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ERAS-007: our ERK inhibitor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ERAS-007 is designed to be a potent and selective oral inhibitor of ERK1/2. In preclinical studies, ERAS-007 demonstrated the highest potency and longest target residence time of any ERK inhibitors of which we are aware. We evaluated the safety, tolerability, PK, PD, and preliminary antitumor activity of ERAS-007 in patients with advanced or metastatic solid tumors in our HERKULES series of clinical trials. The final HERKULES trial was deprioritized in May 2024, even though ERAS-007 administered as a monotherapy or in combination was safe and tolerable and achieved confirmed responses in combination with encorafenib and cetuximab in patients with BRAF-mutant CRC. We consider ERAS-007 a potential combination agent with other RAS/MAPK pathway targeting compounds in our pipeline, as well as with standard of care agents.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ERAS-801: our central nervous system (CNS)-penetrant EGFR inhibitor</w:t>
      </w:r>
    </w:p>
    <w:p>
      <w:pPr>
        <w:spacing w:after="0" w:line="196"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 xml:space="preserve">ERAS-801 is designed to be a potent, selective, reversible, and orally available small molecule with both: (1) highly enhanced CNS penetration (achieved 8.2:1 brain:plasma ratio in mice, and a mean cerebrospinal fluid </w:t>
      </w:r>
      <w:r>
        <w:rPr>
          <w:rFonts w:ascii="Times New Roman" w:cs="Times New Roman" w:eastAsia="Times New Roman" w:hAnsi="Times New Roman"/>
          <w:sz w:val="18"/>
          <w:szCs w:val="18"/>
          <w:color w:val="auto"/>
        </w:rPr>
        <w:t>(</w:t>
      </w:r>
      <w:r>
        <w:rPr>
          <w:rFonts w:ascii="Arial" w:cs="Arial" w:eastAsia="Arial" w:hAnsi="Arial"/>
          <w:sz w:val="18"/>
          <w:szCs w:val="18"/>
          <w:color w:val="auto"/>
        </w:rPr>
        <w:t>CSF) to unbound plasma concentration ratio (Kp,uu,csf) of 0.9 in human patients), and (2) the ability to target both EGFR mutants such as EGFRvIII, the most common mutant form of EGFR found in GBM, and wtEGFR, which heterodimerizes with EGFRvIII. We evaluated the safety, tolerability, PK, PD, and preliminary antitumor activity of ERAS-801 in patients with recurrent GBM in our THUNDERBBOLT-1 clinical trial. In May 2024, we announced that we had deprioritized the THUNDERBBOLT-1 trial, even though ERAS-801 was tolerable and achieved a confirmed partial response. We are exploring further advancement of the ERAS-801 program, including via partnerships and select investigator-sponsored trials.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ERAS-601: our SHP2 inhibitor</w:t>
      </w:r>
    </w:p>
    <w:p>
      <w:pPr>
        <w:spacing w:after="0" w:line="21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ERAS-601 is designed to be a potent and selective oral inhibitor of SHP2. In preclinical studies, ERAS-601 demonstrated strong in vitro potency relative to other SHP2 inhibitors (RMC-4550 and TNO155) and favorable ADME and PK results, which we believe support its evaluation in a broad range of potential combination therapies. We evaluated the safety, tolerability, PK, PD, and preliminary antitumor activity of ERAS-601 in patients with advanced or metastatic solid tumors in the FLAGSHP-1 clinical trial. The FLAGSHP-1 trial was deprioritized in November 2023, even though ERAS-601 administered as a monotherapy and in combination was tolerable and achieved confirmed responses as a monotherapy and in combination with cetuximab. We consider ERAS-601 a potential combination agent with other RAS/MAPK pathway targeting compounds in our pipeline, as well as with standard of care agents.</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acquisition and license agreements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19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 December 2022, we entered into an exclusive license agreement (as amended, the Novartis Agreement) with Novartis under which we were granted an exclusive, worldwide, royalty-bearing license to certain patent and other intellectual property rights owned or controlled by Novartis to develop, manufacture, use, and commercialize naporafenib in all fields of use. We have the right to sublicense (through multiple tiers) our rights under the Novartis Agreement, subject to certain limitations and conditions, and are required to use commercially reasonable efforts to commercialize licensed products in certain geographical markets.</w:t>
      </w:r>
    </w:p>
    <w:p>
      <w:pPr>
        <w:spacing w:after="0" w:line="16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license granted under the Novartis Agreement is subject to Novartis’ reserved right to: (i) develop, manufacture, use, and commercialize compounds unrelated to naporafenib under the licensed patent rights and know-how, (ii) use the licensed patent rights and know-how for non-clinical research purposes, and (iii) use the licensed patent rights and know-how to the extent necessary to perform ongoing clinical trials and its obligations under existing contracts and under the Novartis Agreement.</w:t>
      </w:r>
    </w:p>
    <w:p>
      <w:pPr>
        <w:spacing w:after="0" w:line="16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Under the Novartis Agreement, we made an upfront cash payment to Novartis of $ 20 million and issued 12,307,692 shares of our common stock to Novartis. We are obligated to make future regulatory milestone payments of up to $80 million and sales milestone payments of up to $200 million. We are also obligated to pay royalties on net sales of all licensed products, in the low-single digit percentages, subject to certain reductions.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4" w:name="page35"/>
    <w:bookmarkEnd w:id="34"/>
    <w:p>
      <w:pPr>
        <w:ind w:right="120"/>
        <w:spacing w:after="0" w:line="242" w:lineRule="auto"/>
        <w:rPr>
          <w:sz w:val="20"/>
          <w:szCs w:val="20"/>
          <w:color w:val="auto"/>
        </w:rPr>
      </w:pPr>
      <w:r>
        <w:rPr>
          <w:rFonts w:ascii="Arial" w:cs="Arial" w:eastAsia="Arial" w:hAnsi="Arial"/>
          <w:sz w:val="18"/>
          <w:szCs w:val="18"/>
          <w:color w:val="auto"/>
        </w:rPr>
        <w:t>The Novartis Agreement will expire upon the last to expire royalty term, which is determined on a licensed product-by-licensed product and country-by-country basis, and is the later of: (i) ten years from the date of first commercial sale for the licensed product in such country, (ii) the last to expire valid claim within the licensed patent rights covering such licensed product, or (iii) the expiration of all regulatory exclusivity for the licensed product in such country. Upon expiration of the Novartis Agreement, on a licensed product-by-licensed product and country-by-country basis, we will have a fully paid-up, perpetual, and irrevocable license to develop, manufacture, use, and commercialize the licensed products.</w:t>
      </w:r>
    </w:p>
    <w:p>
      <w:pPr>
        <w:spacing w:after="0" w:line="16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Novartis Agreement may be terminated in its entirety by either party in the event of an uncured material breach by the other party. Novartis may terminate the Novartis Agreement upon written notice in the event we become subject to specified bankruptcy, insolvency, or similar circumstances. We may terminate the Novartis Agreement in its entirety at any time upon the provision of prior written notice to Novartis.</w:t>
      </w:r>
    </w:p>
    <w:p>
      <w:pPr>
        <w:spacing w:after="0" w:line="16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Upon termination of the Novartis Agreement for any reason, all rights and licenses granted to us will terminate. In addition, upon termination of the Novartis Agreement for any reason other than its natural expiration, Novartis has an option to negotiate a license under any patent rights, know-how, or other intellectual property rights relating to the licensed products that are owned or controlled by us for the purpose of developing, manufacturing and commercializing the licensed products on terms to be negotiated between the parties.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Guangzhou Joyo</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May 2024, we entered into an exclusive license agreement (the Joyo License Agreement) with Joyo under which we were granted an exclusive, worldwide (except mainland China, Hong Kong and Macau), royalty-bearing license to certain patent and other intellectual property rights owned or controlled by Joyo to develop, manufacture, and commercialize certain pan-RAS inhibitors in all fields of use. We have an option to expand the territory of the license to include mainland China, Hong Kong and Macau by making a $50.0 million payment to Joyo on or prior to the first dosing of the first patient in a Phase 2 clinical trial by either us or Joyo, or a payment of $150.0 million after the first dosing of the first patient in a Phase 2 clinical trial by either us or Joyo, and before filing a new drug application (or the foreign equivalent) by either us or Joyo. We have the right to sublicense (through multiple tiers) our rights under the Joyo License Agreement, subject to certain limitations and conditions, and are required to use commercially reasonable efforts to commercialize licensed products in the United States.</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license granted under the Joyo License Agreement is subject to Joyo’s reserved right to develop, manufacture, use, and commercialize licensed products in mainland China, Hong Kong and Macau, unless we exercise our option to expand the license to include mainland China, Hong Kong and Macau.</w:t>
      </w:r>
    </w:p>
    <w:p>
      <w:pPr>
        <w:spacing w:after="0" w:line="155"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Under the Joyo License Agreement, we made an upfront cash payment to Joyo of $12.5 million. In addition, we are obligated to make development and regulatory milestone payments of up to $ 51.5 million (or up to $57.5 million if our territory is expanded to include mainland China, Hong Kong, and Macau) and commercial milestone payments of up to $125.0 million upon the achievement of the corresponding milestones. We are also obligated to pay tiered royalties on net sales of all licensed products, in the low- to mid-single digit percentages, subject to certain reductions.</w:t>
      </w:r>
    </w:p>
    <w:p>
      <w:pPr>
        <w:spacing w:after="0" w:line="163" w:lineRule="exact"/>
        <w:rPr>
          <w:sz w:val="20"/>
          <w:szCs w:val="20"/>
          <w:color w:val="auto"/>
        </w:rPr>
      </w:pPr>
    </w:p>
    <w:p>
      <w:pPr>
        <w:jc w:val="both"/>
        <w:ind w:right="160"/>
        <w:spacing w:after="0" w:line="245" w:lineRule="auto"/>
        <w:rPr>
          <w:sz w:val="20"/>
          <w:szCs w:val="20"/>
          <w:color w:val="auto"/>
        </w:rPr>
      </w:pPr>
      <w:r>
        <w:rPr>
          <w:rFonts w:ascii="Arial" w:cs="Arial" w:eastAsia="Arial" w:hAnsi="Arial"/>
          <w:sz w:val="18"/>
          <w:szCs w:val="18"/>
          <w:color w:val="auto"/>
        </w:rPr>
        <w:t>The Joyo License Agreement will expire upon the last to expire royalty term, which is determined on a licensed product-by-licensed product and country-by-country basis, and is the later of: (i) ten years from the date of first commercial sale for the licensed product in such country,</w:t>
      </w:r>
    </w:p>
    <w:p>
      <w:pPr>
        <w:ind w:right="340" w:firstLine="8"/>
        <w:spacing w:after="0"/>
        <w:tabs>
          <w:tab w:leader="none" w:pos="2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last to expire valid claim within the licensed patent rights covering such licensed product, or (iii) the expiration of all regulatory exclusivity for the licensed product in such country. Upon expiration of the Joyo License Agreement, on a licensed product-by-licensed product and country-by-country basis, the license granted to us with respect to such product in such countries shall be deemed to be fully paid-up, royalty-free, non-terminable, irrevocable and perpetual.</w:t>
      </w:r>
    </w:p>
    <w:p>
      <w:pPr>
        <w:spacing w:after="0" w:line="16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Joyo License Agreement may be terminated in its entirety by either party in the event of an uncured material breach by the other party or in the event the other party becomes subject to specified bankruptcy, insolvency, or similar circumstances. Joyo may terminate the Joyo License Agreement in the event that we or our affiliates or any of our or their sublicensees institutes, prosecutes or otherwise participates in any challenge to the licensed patents. We may terminate the Joyo License Agreement in its entirety at any time upon the provision of prior written notice to Joyo.</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ind w:right="100"/>
        <w:spacing w:after="0"/>
        <w:rPr>
          <w:sz w:val="20"/>
          <w:szCs w:val="20"/>
          <w:color w:val="auto"/>
        </w:rPr>
      </w:pPr>
      <w:r>
        <w:rPr>
          <w:rFonts w:ascii="Arial" w:cs="Arial" w:eastAsia="Arial" w:hAnsi="Arial"/>
          <w:sz w:val="18"/>
          <w:szCs w:val="18"/>
          <w:color w:val="auto"/>
        </w:rPr>
        <w:t>Upon termination of the Joyo License Agreement for any reason, all rights and licenses granted to us will terminate. In addition, the licenses granted to Joyo under certain patent and other intellectual property rights owned or controlled by us to develop, manufacture, use, and commercialize the licensed products in mainland China, Hong Kong and Macau will survive the termination of the Joyo License Agreement for any reason, unless we exercise our option to expand the license to include mainland China, Hong Kong and Macau, in which case such licenses to Joyo will terminate automatically; and Joyo has an option to negotiate a license under any patent rights, know-how, or other intellectual property rights relating to the licensed products that are owned or controlled by us for the purpose of developing, manufacturing and commercializing the licensed products in our territory on terms to be negotiated between the parties.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Medshine</w:t>
      </w:r>
    </w:p>
    <w:p>
      <w:pPr>
        <w:spacing w:after="0" w:line="196"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In May 2024, we entered into an exclusive license agreement (the Medshine License Agreement) with Medshine under which we were granted an exclusive, worldwide, royalty-bearing license to certain patent and other intellectual property rights owned or controlled by Medshine to develop, manufacture and commercialize certain pan-KRAS inhibitors in all fields of use. We have the right to sublicense (through multiple tiers) our rights under the Medshine License Agreement, subject to certain limitations and conditions, and are required to use commercially reasonable efforts to commercialize licensed products in certain geographical markets.</w:t>
      </w:r>
    </w:p>
    <w:p>
      <w:pPr>
        <w:spacing w:after="0" w:line="16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Under the Medshine License Agreement, we made an upfront cash payment to Medshine of $10.0 million. In addition, we are obligated to make development and regulatory milestone payments of up to $30.0 million and commercial milestone payments of up to $130.0 million upon the achievement of the corresponding milestones. We are also obligated to pay a low-single digit percentage royalty on net sales of all licensed products, subject to certain reductions.</w:t>
      </w:r>
    </w:p>
    <w:p>
      <w:pPr>
        <w:spacing w:after="0" w:line="16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Medshine License Agreement will expire upon the last to expire royalty term, which is determined on a licensed product-by-licensed product and country-by-country basis, and is the later of: (i) ten years from the date of first commercial sale for the licensed product in such country, (ii) the last to expire valid claim within the licensed patent rights covering such licensed product, or (iii) the expiration of all regulatory exclusivity for the licensed product in such country. Upon expiration of the Medshine License Agreement, on a licensed product-by-licensed product and country-by-country basis, the license granted to us with respect to such product in such countries shall be deemed to be fully paid-up, royalty-free, non-terminable, irrevocable and perpetual.</w:t>
      </w:r>
    </w:p>
    <w:p>
      <w:pPr>
        <w:spacing w:after="0" w:line="16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Medshine License Agreement may be terminated in its entirety by either party in the event of an uncured material breach by the other party or in the event the other party becomes subject to specified bankruptcy, insolvency, or similar circumstances. Medshine may terminate the Medshine License Agreement in the event that we or our affiliates or any of our or their sublicensees commences or actively and voluntarily participates in any challenge to the licensed patents. We may terminate the Medshine License Agreement in its entirety at any time upon the provision of prior written notice to Medshine.</w:t>
      </w:r>
    </w:p>
    <w:p>
      <w:pPr>
        <w:spacing w:after="0" w:line="163"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Upon termination of the Medshine License Agreement for any reason, all rights and licenses granted to us will terminate. In addition, upon termination of the Medshine License Agreement by Medshine for cause, Medshine has an option to negotiate a license under any patent rights, know-how, or other intellectual property rights relating to the licensed products that are owned or controlled by us for the purpose of developing, manufacturing and commercializing the licensed products on terms to be negotiated between the parties.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Emerge Life Sciences</w:t>
      </w:r>
    </w:p>
    <w:p>
      <w:pPr>
        <w:spacing w:after="0" w:line="210"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In March 2021, we entered into an asset purchase agreement (the ELS Purchase Agreement) with Emerge Life Sciences, Pte. Ltd. (ELS) wherein we purchased all rights, title, and interest (including all patent and other intellectual property rights) to ELS’s EGFR antibodies directed against the EGFR domain II (EGFR-D2) and domain III (EGFR-D3) as well as a bispecific antibody where one arm is directed against EGFR-D2 and the other is directed against EGFR-D3. Under the ELS Purchase Agreement, we issued 500,000 shares of our common stock to ELS and made an upfront payment of $2 million, which represent all of the consideration payable to ELS under the ELS Purchase Agreement.</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Asana BioSciences</w:t>
      </w:r>
    </w:p>
    <w:p>
      <w:pPr>
        <w:spacing w:after="0" w:line="21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November 2020, we entered into an agreement and plan of merger with Asana and ASN Product Development, Inc. (ASN) (the Asana Merger Agreement), pursuant to which ASN became our wholly-owned subsidiary. Asana and ASN had previously entered into a license agreement, which was amended and restated prior to the closing of the merger transaction (the Asana License Agreement, and collectively with the Asana Merger Agreement, the Asana Agreements), pursuant to which ASN acquired an exclusive, worldwide license to certain intellectual property rights relating to inhibitors of ERK1 and ERK2 owned or controlled by Asana to develop and commercialize ERAS-007 and certain other related compounds for all applications. We have the right to sublicense (through multiple tiers) the licensed rights under the Asana Agreements, subject to certain conditions. The foregoing license is subject to Asana’s non-exclusive right to practice the licensed rights to research and conduct preclinical pharmacology activities with a specified combination of compounds, subject to certain specified conditions. Pursuant to the Asana License Agreement, neither Asana nor ASN can directly or indirectly exploit certain classes of competing products, subject to specified exceptions. In addition, we are required to use commercially reasonable efforts to develop and obtain regulatory approval for ERAS-007 in the United States, at least one major market country in Europe, and either China or Japan.</w:t>
      </w:r>
    </w:p>
    <w:p>
      <w:pPr>
        <w:spacing w:after="0" w:line="186"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Under the Asana Merger Agreement, we made an upfront payment of $20 million and issued 4,000,000 shares of our Series B-2 convertible preferred stock to Asana. In connection with our IPO, these shares of Series B-2 convertible preferred stock were converted into 3,333,333 shares of our common stock. We are obligated to make future development and regulatory milestone cash payments for a licensed product in an amount of up to $90 million. Additionally, upon achieving a development milestone related to demonstration of successful proof-of-concept in a specified clinical trial, we will be required to issue 3,888,889 shares of our common stock to Asana. We are not obligated to pay royalties on the net sales of licensed products.</w:t>
      </w:r>
    </w:p>
    <w:p>
      <w:pPr>
        <w:spacing w:after="0" w:line="17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Upon our payment to Asana of all merger consideration, including upfront cash and equity payments, the milestone payments, the equity payment related to the proof-of-concept development milestone, and all other development milestone payments, with the exception of a specific milestone that does not need to be achieved at such time and will remain subject to payment in the event that such milestone occurs at a later time, all licensed rights will become fully paid-up, perpetual, and irrevocable. The License Agreement may be terminated by either Asana or us in the event of an uncured material breach by the other party. Asana also has the right to terminate the Asana License Agreement if we fail to engage in material activities in support of clinical development and commercialization of ERAS-007 for a period of 12 consecutive months, excluding reasons outside of our reasonable control and subject to certain limitations. However, Asana’s right to terminate the Asana License Agreement for any reason ends once we have paid to Asana all merger consideration, or if Asana’s equity interest in us is publicly traded and exceeds a certain threshold value. We may terminate the Asana License Agreement at any time upon the provision of prior written notice to Asana.</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Katmai Pharmaceuticals</w:t>
      </w:r>
    </w:p>
    <w:p>
      <w:pPr>
        <w:spacing w:after="0" w:line="19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March 2020, we entered into a license agreement (the Katmai Agreement) with Katmai Pharmaceuticals, Inc. (Katmai) under which we were granted an exclusive, worldwide, royalty-bearing license to certain patent rights and know-how controlled by Katmai related to the development of small molecule therapeutic and diagnostic products that modulate EGFR and enable the identification, diagnosis, selection, treatment, and/or monitoring of patients for neuro-oncological applications to develop, manufacture, use, and commercialize ERAS-801 and certain other related compounds in all fields of use. We have the right to sublicense (through multiple tiers) our rights under the Katmai Agreement, subject to certain limitations and conditions, and are required to use commercially reasonable efforts to develop, manufacture, and commercialize licensed products and to meet certain specified development and launch milestones by certain dates. We are obligated to use commercially reasonable efforts to develop the licensed products first for use within the neuro-oncology field before expanding our development efforts to include other indications in the oncology field. Following the first achievement of a clinical proof-of-concept for any indication, we have the right to submit a non-binding offer to Katmai for: (i) the purchase of all licensed patent rights, know-how, and other assets owned by Katmai that are necessary or useful for the exploitation of the licensed products, or (ii) for the purchase of Katmai. Pursuant to the Katmai Agreement, neither Katmai nor we can directly or indirectly exploit certain specified classes of competing products.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1" w:right="379" w:bottom="1440" w:gutter="0" w:footer="0" w:header="0"/>
        </w:sectPr>
      </w:pPr>
    </w:p>
    <w:bookmarkStart w:id="37" w:name="page38"/>
    <w:bookmarkEnd w:id="37"/>
    <w:p>
      <w:pPr>
        <w:ind w:right="20"/>
        <w:spacing w:after="0"/>
        <w:rPr>
          <w:sz w:val="20"/>
          <w:szCs w:val="20"/>
          <w:color w:val="auto"/>
        </w:rPr>
      </w:pPr>
      <w:r>
        <w:rPr>
          <w:rFonts w:ascii="Arial" w:cs="Arial" w:eastAsia="Arial" w:hAnsi="Arial"/>
          <w:sz w:val="18"/>
          <w:szCs w:val="18"/>
          <w:color w:val="auto"/>
        </w:rPr>
        <w:t>The license granted under the Katmai Agreement is subject to The Regents of the University of California’s reserved right to: (i) use the licensed patent rights and know-how for educational and non-commercial research purposes, and to publish results arising therefrom, and (ii) grant licenses to the licensed know-how to third parties without notice because the licensed know-how is non-exclusively licensed to Katmai by The Regents of the University of California. Further, the license granted under the Katmai Agreement is subject to the rights of the United States government under the Bayh-Dole Act, including: (i) a non-exclusive, non-transferable, irrevocable, paid-up license to practice or have practiced the invention claimed by the licensed patent rights throughout the world, and (ii) the obligation that any licensed products used or sold in the United States be manufactured substantially in the United States.</w:t>
      </w:r>
    </w:p>
    <w:p>
      <w:pPr>
        <w:spacing w:after="0" w:line="18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Under the Katmai Agreement, we made an upfront payment of $5.7 million and Katmai agreed to purchase shares of our Series B-1 convertible preferred stock and Series B-2 convertible preferred stock having an aggregate value of $2.7 million. In connection with our IPO, these shares of Series B-1 convertible preferred stock and Series B-2 convertible preferred stock were converted into 395,555 shares of our common stock, in the aggregate. We are obligated to make future development and regulatory milestone payments of up to $26 million, of which $2 million was paid in March 2022, and commercial milestone payments of up to $101 million. We are also obligated to pay tiered royalties on net sales of each licensed product, at rates ranging from the mid- to high-single digit percentages, subject to a minimum annual royalty payment in the low six figures and certain permitted deductions.</w:t>
      </w:r>
    </w:p>
    <w:p>
      <w:pPr>
        <w:spacing w:after="0" w:line="18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royalty obligations and the Katmai Agreement will expire, on a licensed product-by-licensed product and country-by-country basis, on the earlier of: (i) the ten-year anniversary of the expiration of all valid claims included in the licensed patents covering the composition of matter or method of use of such licensed product in such country, or (ii) the twentieth anniversary of the first commercial sale of such licensed product in such country. Upon the expiration of the Katmai Agreement, we will have a fully paid-up and irrevocable license.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Katmai Agreement may be terminated in its entirety by either party: (i) in the event of an uncured material breach by the other party, or</w:t>
      </w:r>
    </w:p>
    <w:p>
      <w:pPr>
        <w:spacing w:after="0" w:line="14" w:lineRule="exact"/>
        <w:rPr>
          <w:sz w:val="20"/>
          <w:szCs w:val="20"/>
          <w:color w:val="auto"/>
        </w:rPr>
      </w:pPr>
    </w:p>
    <w:p>
      <w:pPr>
        <w:ind w:firstLine="8"/>
        <w:spacing w:after="0" w:line="236" w:lineRule="auto"/>
        <w:tabs>
          <w:tab w:leader="none" w:pos="2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event the other party becomes subject to specified bankruptcy, insolvency, or similar circumstances. Provided that we are in full compliance with the Katmai Agreement, we may terminate the Katmai Agreement upon written notice to Katmai. Upon termination of the Katmai Agreement for any reason, all rights and licenses granted to us thereunder will terminate. Upon termination of the Katmai Agreement, we are obligated, among other things, to: (i) grant an exclusive license to Katmai under all of our right, title and interest in all inventions and know-how developed under the Katmai Agreement existing at the time of termination that are specific to the licensed compounds or products, including without limitation all data and results related to their exploitation, and (ii) transfer to Katmai ownership and possession of all regulatory filings related to the licensed compounds and products. Unless the Katmai Agreement is terminated for our material breach, the parties will negotiate in good faith the financial terms pursuant to which the foregoing actions will be conducted, provided that our performance of such actions may not be conditioned upon the conduct or completion of such negotiations. If the parties are unable to agree upon such terms within the specified time period, then the parties will submit all unresolved matters for resolution by arbitration.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NiKang Therapeutics</w:t>
      </w:r>
    </w:p>
    <w:p>
      <w:pPr>
        <w:spacing w:after="0" w:line="21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February 2020, we entered into a license agreement (the NiKang Agreement) with NiKang Therapeutics, Inc. (NiKang) under which we were granted an exclusive, worldwide license to certain intellectual property rights owned or controlled by NiKang related to certain SHP2 inhibitors to develop and commercialize ERAS-601 and certain other related compounds for all applications. We have the right to sublicense (through multiple tiers) our rights under the NiKang Agreement, subject to certain conditions, and are required to use commercially reasonable efforts to develop and commercialize licensed products. The parties are obligated to negotiate in good faith for a certain period of time to grant NiKang the exclusive commercial distribution rights in greater China once a licensed product reaches a certain development stage.</w:t>
      </w:r>
    </w:p>
    <w:p>
      <w:pPr>
        <w:spacing w:after="0" w:line="18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Under the NiKang Agreement, we made an upfront payment of $ 5 million to NiKang and reimbursed NiKang $0.4 million for certain initial manufacturing costs. In addition, we paid an additional $7 million after publication of a US patent application that covered the composition of matter of ERAS-601. We are also obligated to pay (i) development and regulatory milestone payments in an aggregate amount of up to $16 million for the first licensed product, of which $4.0 million was paid in January 2021, and $12 million for a second licensed product, and (ii) commercial milestone payments in an aggregate amount of up to $157 million for the first licensed product and $151 million for a second licensed product. We are also obligated to: (i) pay tiered royalties on net sales of all licensed products in the mid-single digit percentages, subject to certain reductions; and (ii) equally split net sublicensing revenues earned under sublicense agreements that we enter into with any third party before commencement of the first Phase I clinical trial for a licensed product.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ind w:right="160"/>
        <w:spacing w:after="0" w:line="244" w:lineRule="auto"/>
        <w:rPr>
          <w:sz w:val="20"/>
          <w:szCs w:val="20"/>
          <w:color w:val="auto"/>
        </w:rPr>
      </w:pPr>
      <w:r>
        <w:rPr>
          <w:rFonts w:ascii="Arial" w:cs="Arial" w:eastAsia="Arial" w:hAnsi="Arial"/>
          <w:sz w:val="18"/>
          <w:szCs w:val="18"/>
          <w:color w:val="auto"/>
        </w:rPr>
        <w:t>The NiKang Agreement will expire upon the last to expire royalty term, which is determined on a licensed product-by-licensed product and country-by-country basis, and is the later of: (i) ten years from the date of first commercial sale, (ii) the last to expire valid claim within the licensed patent rights covering such licensed product, or (iii) the expiration of all regulatory exclusivity for the licensed product in such country. Upon expiration of the NiKang Agreement, on a licensed product-by-licensed product and country-by-country basis, we will have a fully paid-up, non-exclusive license to conduct research and to develop and commercialize the licensed products.</w:t>
      </w:r>
    </w:p>
    <w:p>
      <w:pPr>
        <w:spacing w:after="0" w:line="17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NiKang Agreement may be terminated in its entirety by NiKang in the event of our uncured material breach, which includes our failure to use commercially reasonable efforts to satisfy certain specified clinical development diligence milestones. In addition, NiKang may terminate if we, directly or indirectly, commence a legal action challenging the validity or enforceability of any licensed patents. Further, if we acquire more than 50% of the equity or assets of a company that owns a competing small molecule that is designed to prevent the same target as set forth in the NiKang Agreement from switching to an enzymatically active state, then we must either divest such competing product or terminate the NiKang Agreement. We may terminate the NiKang Agreement at any time upon the provision of prior written notice to NiKang. Upon termination of the NiKang Agreement for any reason, all rights and licenses granted to us, as well as any sublicenses that we granted thereunder, will terminate. In addition, upon any termination (but not expiration) of the NiKang Agreement and upon NiKang’s request, the parties are obligated to meet and negotiate in good faith the terms of a license from us to NiKang to allow NiKang’s continued development, manufacture, and commercialization of the licensed products.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Commercialization</w:t>
      </w:r>
    </w:p>
    <w:p>
      <w:pPr>
        <w:spacing w:after="0" w:line="20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intend to maintain exclusive worldwide development and commercialization rights to our product candidates (excluding programs in our pipeline that arise from an investment made by Erasca Ventures in a third party), other than with respect to ERAS-0015 in China, Hong Kong, and Macau, and, if marketing approval is obtained, to commence commercialization activities by building a focused sales and marketing organization to sell our products on our own in the United States and potentially other regions such as Europe. We will likely seek commercialization partnerships for our product candidates in other regions beyond the United States and Europe. We currently have no sales, marketing, or commercial product distribution capabilities. We intend to build the necessary infrastructure and capabilities over time for commercialization in the United States and potentially other regions, following further advancement of our product candidates. Clinical data, the size of the addressable patient population, the size of the commercial infrastructure and manufacturing needs, and the status of our pipeline, may all influence or alter our commercialization plans.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 + Cooperation (“Coopetition”)</w:t>
      </w:r>
    </w:p>
    <w:p>
      <w:pPr>
        <w:spacing w:after="0" w:line="20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Although the biotechnology and pharmaceutical industries, and the oncology sector, are characterized by rapid evolution of technologies, fierce competition, and strong defense of intellectual property rights, we believe the most fearsome competitor of all is cancer itself. As such, we view other companies in this sector more as potential allies and collaborators than as competitors, as we all have a common cause: to defeat cancer. Many of the companies that are developing or marketing treatments for cancer, including major pharmaceutical and biotechnology companies that are working on therapies targeting the RAS/MAPK pathway, are companies with whom we endeavor to collaborate in our mission to erase cancer.</w:t>
      </w:r>
    </w:p>
    <w:p>
      <w:pPr>
        <w:spacing w:after="0" w:line="179"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Collaborating with these companies alleviates some of the traditional challenges that emerging companies face with respect to financial resources, established presence in the market, expertise in research and development, manufacturing, preclinical and clinical testing, obtaining regulatory approvals and reimbursement, and marketing approved products. Similarly, recruiting and retaining qualified scientific and management personnel, establishing clinical trial sites and patient registration for clinical trials, as well as in acquiring technologies complementary to, or necessary for, programs are challenges for all companies developing or marketing treatments for cancer.</w:t>
      </w:r>
    </w:p>
    <w:p>
      <w:pPr>
        <w:spacing w:after="0" w:line="16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That said, our commercial potential could be reduced or eliminated if other companies develop and commercialize products that are safer, more effective, have fewer or less severe side effects, are more convenient or are less expensive than products that we may develop. Other companies also may obtain FDA or other regulatory approval for their products more rapidly than we may obtain approval for ours, which could result in these companies establishing a strong market position before we are able to enter the market or make our development more complicated.</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9" w:name="page40"/>
    <w:bookmarkEnd w:id="39"/>
    <w:p>
      <w:pPr>
        <w:ind w:right="120"/>
        <w:spacing w:after="0" w:line="244" w:lineRule="auto"/>
        <w:rPr>
          <w:sz w:val="20"/>
          <w:szCs w:val="20"/>
          <w:color w:val="auto"/>
        </w:rPr>
      </w:pPr>
      <w:r>
        <w:rPr>
          <w:rFonts w:ascii="Arial" w:cs="Arial" w:eastAsia="Arial" w:hAnsi="Arial"/>
          <w:sz w:val="18"/>
          <w:szCs w:val="18"/>
          <w:color w:val="auto"/>
        </w:rPr>
        <w:t>There are numerous companies developing or marketing treatments for cancer, including many major pharmaceutical and biotechnology companies. These treatments consist of small molecule drug products, biologics, cell-based therapies, and traditional chemotherapy. There are also a number of pharmaceutical companies with product candidates in development that target the nodes involving the RAS/MAPK pathway. These include, among others, Amgen, Boehringer Ingelheim, BridgeBio, Bristol Myers Squibb, Eli Lilly, Jacobio Pharmaceuticals, Merck, Pfizer, Revolution Medicines, and Roche/Genentech.</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19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strive to protect the proprietary technology, inventions, and improvements that are commercially or strategically important to our business, including seeking, maintaining, and defending patent rights, whether developed internally or in-licensed/acquired from third parties. We also rely on trade secrets and know-how relating to our proprietary technology and product candidates and continuing innovation to develop, strengthen and maintain our proprietary position. We also plan to rely on data exclusivity, market exclusivity and patent term adjustments or extensions when available. Our commercial success will depend in part on our ability to obtain and maintain patent and other intellectual property protection for our proprietary technology, inventions and improvements; to preserve the confidentiality of our trade secrets; to defend and enforce our proprietary rights, including any patents or trademarks that we may own in the future; and to operate without infringing on the valid and enforceable patents and other proprietary rights of third parties. Intellectual property rights may not address all potential threats to our competitive advantage.</w:t>
      </w:r>
    </w:p>
    <w:p>
      <w:pPr>
        <w:spacing w:after="0" w:line="17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continually assess and refine our intellectual property strategy as we develop new product candidates. To that end, we are prepared to file additional patent applications in any appropriate fields if our intellectual property strategy includes such filings, or where we seek to adapt to competition or seize business opportunities. Further, we are prepared to file patent applications, as we consider appropriate under the circumstances, relating to the new technologies that we develop.</w:t>
      </w: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cannot be sure that patents will be granted with respect to any of our pending patent applications or with respect to any patent applications we may own or license in the future, nor can we be sure that any of our existing patents or any patents we may own or license in the future will be useful in protecting our technology.</w:t>
      </w:r>
    </w:p>
    <w:p>
      <w:pPr>
        <w:spacing w:after="0" w:line="15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As of December 31, 2024, our patent estate for the programs listed below, which consists of owned and in-licensed patent families, includes nineteen issued US patents, eight pending US provisional applications, twenty-six pending US non-provisional patent applications, two hundred one issued foreign patents, eight pending international patent applications filed under the Patent Cooperation Treaty (PCT application), and one hundred sixty-two pending foreign patent applications in various markets outside of the United States. In particular, we have patents and/or patent applications pending for each of our product candidates.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Naporafenib</w:t>
      </w:r>
    </w:p>
    <w:p>
      <w:pPr>
        <w:spacing w:after="0" w:line="19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As of December 31, 2024, we have in-licensed ten patent families from Novartis. The ten patent families relate to RAF inhibitors, their preparation, and methods of use. One of the families covers the naporafenib product candidate compound and additional RAF inhibitor compounds, their preparation and methods of use, and includes four issued US patents, eighty-six issued foreign patents, and five pending foreign patent applications. The nine additional in-licensed families cover further methods of using naporafenib, diagnostic methods, and additional RAF inhibitor compounds, their preparation and methods of use, and include six issued US patents, seven pending US non-</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provisional applications, one pending PCT patent application, fifty issued foreign patents, and forty-nine pending foreign patent applications. The granted patents and any further patents that issue from applications from the ten in-licensed families are expected to expire between 2034 and 2043, absent any patent term adjustments or extensions.</w:t>
      </w:r>
    </w:p>
    <w:p>
      <w:pPr>
        <w:spacing w:after="0" w:line="155"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As of December 31, 2024, we own two patent families relating to naporafenib and their methods of use and include two pending PCT patent applications and two pending foreign patent applications. Any patents issued from these patent applications are expected to expire in 2044, absent any patent term adjustments or extensions.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ERAS-0015</w:t>
      </w:r>
    </w:p>
    <w:p>
      <w:pPr>
        <w:spacing w:after="0" w:line="10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As of December 31, 2024, we have in-licensed one patent family from Joyo. The patent family relates to compositions of RAS molecular glues, their preparation and methods of use, and includes one pending foreign patent application and one pending PCT patent application. Any patents that issue from applications for the in-licensed family are expected to expire in 2043, absent any patent term adjustments or extensions.</w:t>
      </w:r>
    </w:p>
    <w:p>
      <w:pPr>
        <w:spacing w:after="0" w:line="16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As of December 31, 2024, we own six patent families relating to methods of using ERAS-0015 and include six pending US provisional applications. Any patents issued from these applications are expected to expire in 2045, absent any patent term adjustments or extensions.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ERAS-4001</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December 31, 2024, we have in-licensed one patent family from Medshine relating to RAS inhibitors, their preparation, and methods of use. The patent family includes one pending US non-provisional patent application, seven pending foreign patent applications, and one pending PCT patent application. Any patents that issue from applications for the in-licensed family are expected to expire in 2043, absent any patent term adjustments or extensions.</w:t>
      </w:r>
    </w:p>
    <w:p>
      <w:pPr>
        <w:spacing w:after="0" w:line="157" w:lineRule="exact"/>
        <w:rPr>
          <w:sz w:val="20"/>
          <w:szCs w:val="20"/>
          <w:color w:val="auto"/>
        </w:rPr>
      </w:pPr>
    </w:p>
    <w:p>
      <w:pPr>
        <w:jc w:val="both"/>
        <w:ind w:right="400"/>
        <w:spacing w:after="0" w:line="247" w:lineRule="auto"/>
        <w:rPr>
          <w:sz w:val="20"/>
          <w:szCs w:val="20"/>
          <w:color w:val="auto"/>
        </w:rPr>
      </w:pPr>
      <w:r>
        <w:rPr>
          <w:rFonts w:ascii="Arial" w:cs="Arial" w:eastAsia="Arial" w:hAnsi="Arial"/>
          <w:sz w:val="18"/>
          <w:szCs w:val="18"/>
          <w:color w:val="auto"/>
        </w:rPr>
        <w:t>As of December 31, 2024, we own three patent families relating to additional RAS Inhibitors, their preparation, and methods of use. The patent families include one pending US non-provisional patent application, two pending US provisional patent applications, two pending foreign patent applications, and two pending PCT patent applications. Any patents issued from these applications are expected to expire between 2042 and 2044, absent any patent term adjustments or extensions.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ERAS-12</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2024, we own two patent families relating to EGFR antibodies, their preparation, and methods of use. The patent families include two pending US non-provisional patent applications, and two pending foreign patent applications. Any patents issued from these applications are expected to expire between 2042 and 2043, absent any patent term adjustments or extensions.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ERAS-007</w:t>
      </w:r>
    </w:p>
    <w:p>
      <w:pPr>
        <w:spacing w:after="0" w:line="19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of December 31, 2024, we have in-licensed three patent families from Asana. The three patent families relate to ERK 1/2 inhibitors, their preparation, and methods of use. One of the families covers the ERAS-007 product candidate compound and additional ERK1/2 inhibitor compounds, their preparation and methods of use, and includes five issued US patents, one pending US non-provisional patent application, fifty issued foreign patents, and one pending foreign patent application. The additional in-licensed families cover methods of using ERAS-007 and include two pending US non-provisional patent applications and fourteen pending foreign patent applications. The granted patents and any further patents that issue from applications from the three in-licensed families are expected to expire between 2036 and 2042, absent any patent term adjustments or extensions.</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December 31, 2024, we also own seven patent families relating to ERAS-007. The patent families include five pending US non-provisional patent applications, one pending PCT patent application and thirty-seven pending foreign patent applications. Any patents issued from these patent applications are expected to expire between 2042 and 2043, absent any patent term adjustments or extensions.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ERAS-801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we have sub-licensed four patent families from Katmai, which Katmai in-licensed from the University of California, Los Angeles (UCLA). One of the families covers the ERAS-801 product candidate compound and additional EGFR inhibitor compounds, their preparation and methods of use, and includes one issued US patent, one pending US non-provisional patent application, four issued foreign patents, and twenty four pending foreign patent applications. The three additional in-licensed families relate to additional EGFR inhibitor compounds, their preparation and methods of use, and include three pending US non-provisional patent applications, one issued foreign patent, and eleven pending foreign patent applications. The granted patent and any further patents that issue from applications from the four in-licensed patent families are expected to expire between 2038 and 2041, absent any patent term adjustments or extensions.</w:t>
      </w:r>
    </w:p>
    <w:p>
      <w:pPr>
        <w:spacing w:after="0" w:line="171"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As of December 31, 2024, we co-own with UCLA one patent family, relating to additional EGFR inhibitor compositions, their preparation and methods of use. This patent family includes one pending US non-provisional patent application. Any patents issued from this application are expected to expire in 2041, absent any patent term adjustments or extensions.</w:t>
      </w:r>
    </w:p>
    <w:p>
      <w:pPr>
        <w:spacing w:after="0" w:line="15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As of December 31, 2024, we own two patent families relating to EGFR inhibitor polymorph forms and methods of using EGFR inhibitor compositions. These patent families include one pending US non-provisional patent application, twelve pending foreign patent applications, and one pending PCT patent application. Any patents issued from these applications are expected to expire between 2042 and 2044, absent any patent term adjustments or extensions.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ERAS-601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we have in-licensed two patent families from NiKang. These two patent families relate to SHP2 inhibitor compositions, their preparation, and methods of use. One of the families covers the ERAS-601 product candidate compound, its preparation and methods of use, and includes three issued US patents, one pending US non-provisional patent application, twelve issued foreign patents and fourteen pending foreign patent applications. The second family covers additional SHP2 inhibitor compositions, their preparation and methods of use, and includes one issued US patent application, three issued foreign patents and three pending foreign patent applications. The granted patents and any further patents that issue from applications from the two in-licensed families are expected to expire in 2039, absent any patent term adjustments or extensions.</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December 31, 2024, we also own six patent families relating to ERAS-601 and their methods of use, and include six pending US non-provisional patent applications, and twenty-five pending foreign patent applications. Any patents issued from these applications are expected to expire between 2041 and 2042, absent any patent term adjustments or extensions.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Other IP programs or patents</w:t>
      </w:r>
    </w:p>
    <w:p>
      <w:pPr>
        <w:spacing w:after="0" w:line="19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 respect to our product candidates and processes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covers or claims an FDA-approved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US Patent and Trademark Office (USPTO) may also adjust the term of a US patent to accommodate for delays caused by the USPTO during the prosecution of a US patent application. Congress has defined the conditions upon which an applicant can receive an adjustment to the term and such requirements are established in 35 USC 154(b). Similar provisions are available in Europe and other jurisdictions to extend the term of a patent that covers an approved drug.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terms may be inadequate to protect our competitive position on our products for an adequate amount of time. In the future, if and when our therapeutic candidates receive FDA approval, we expect to apply for patent term extensions on patents covering those therapeutic candidates. We intend to seek patent term extensions in any jurisdiction where these are available and where we also have a patent that may be eligible; however, there is no guarantee that the applicable authorities, including the USPTO and FDA, will agree with our assessment of whether such extensions should be granted, and even if granted, the length of such extensions.</w:t>
      </w:r>
    </w:p>
    <w:p>
      <w:pPr>
        <w:spacing w:after="0" w:line="17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No consistent policy regarding the scope of claims allowable in patents in the field of biopharmaceuticals has emerged in the United States. The relevant patent laws and their interpretation outside of the United States is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3" w:name="page44"/>
    <w:bookmarkEnd w:id="43"/>
    <w:p>
      <w:pPr>
        <w:ind w:right="20"/>
        <w:spacing w:after="0" w:line="238" w:lineRule="auto"/>
        <w:rPr>
          <w:sz w:val="20"/>
          <w:szCs w:val="20"/>
          <w:color w:val="auto"/>
        </w:rPr>
      </w:pPr>
      <w:r>
        <w:rPr>
          <w:rFonts w:ascii="Arial" w:cs="Arial" w:eastAsia="Arial" w:hAnsi="Arial"/>
          <w:sz w:val="18"/>
          <w:szCs w:val="18"/>
          <w:color w:val="auto"/>
        </w:rPr>
        <w:t>We also rely on trade secrets to protect aspects of our technology and business not amenable to, or that we do not consider appropriate for, patent protection. We seek to protect this intellectual property, in part, by requiring our employees, consultants, outside scientific collaborators, sponsored researchers and other service providers and advisors to execute confidentiality agreements upon the commencement of employment or other relationship with us. In general, these agreements provide that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further provide that inventions and discoveries conceived or reduced to practice by the individual that are related to our business, or actual, or demonstrably anticipated, research or development, or made during normal working hours, on our premises or using our equipment, supplies, or proprietary information, are our exclusive property. In many cases our agreements with consultants, outside scientific collaborators, sponsored researchers and other service providers and advisors require them to assign, or grant us licenses to, inventions resulting from the work or services they render under such agreements or grant us an option to negotiate a license to use such inventions.</w:t>
      </w:r>
    </w:p>
    <w:p>
      <w:pPr>
        <w:spacing w:after="0" w:line="17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We seek trademark protection in the United States and in certain other jurisdictions where available and when we deem appropriate. We currently have an issued United States trademark for our “ERASCA” mark and have registrations for such mark pending in foreign jurisdictions, including the European Union. We have also filed a trademark application in the United States as well as foreign jurisdictions, including the European Union, for registration of our “MAPKLAMP” mark.</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w:t>
      </w:r>
    </w:p>
    <w:p>
      <w:pPr>
        <w:spacing w:after="0" w:line="20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are working with our current manufacturers to ensure that we will be able to scale up our manufacturing capabilities to support our clinical plans. We are also in the process of locating and qualifying additional manufacturers to build redundancies into our supply chain. In addition, we rely on third parties to package, label, store, and distribute our product candidates, and we intend to continue to rely on third parties with respect to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07"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and biologics such as those we are developing. These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 of drugs and biologics</w:t>
      </w:r>
    </w:p>
    <w:p>
      <w:pPr>
        <w:spacing w:after="0" w:line="210"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its implementing regulations, and biologics under the FDCA and the Public Health Service Act and their implementing regulations. FDA approval of an NDA or biologics license application (BLA) or supplement is required before any new unapproved drug, biologic or dosage form, including a new use of a previously approved drug or biologic, can be marketed in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such product candidates may be marketed in the United States generally involves the following:</w:t>
      </w:r>
    </w:p>
    <w:p>
      <w:pPr>
        <w:spacing w:after="0" w:line="117" w:lineRule="exact"/>
        <w:rPr>
          <w:sz w:val="20"/>
          <w:szCs w:val="20"/>
          <w:color w:val="auto"/>
        </w:rPr>
      </w:pPr>
    </w:p>
    <w:p>
      <w:pPr>
        <w:ind w:left="1020" w:right="70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extensive preclinical laboratory tests and preclinical animal studies, certain of which must be performed in accordance with applicable Good Laboratory Practice (GLP) regulations;</w:t>
      </w:r>
    </w:p>
    <w:p>
      <w:pPr>
        <w:spacing w:after="0" w:line="46"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investigational new drug application (IND) which must become effective before human clinical trials may be initiated and must be updated annually;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ind w:left="1020" w:right="46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institutional review board (IRB) or ethics committee representing each clinical site before each clinical trial can be initiated;</w:t>
      </w:r>
    </w:p>
    <w:p>
      <w:pPr>
        <w:spacing w:after="0" w:line="4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Good Clinical Practice (GCP) requirements to establish the safety and efficacy, or with respect to biologics, the safety, purity and potency of the product candidate for each proposed indication;</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preparation of and submission to the FDA of an NDA or BLA, after completion of all pivotal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review of the product application by an FDA advisory committee, where appropriate and if applicable;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 determination by the FDA within 60 days of its receipt of an NDA or BLA to file the application for review;</w:t>
      </w:r>
    </w:p>
    <w:p>
      <w:pPr>
        <w:spacing w:after="0" w:line="116" w:lineRule="exact"/>
        <w:rPr>
          <w:rFonts w:ascii="Times New Roman" w:cs="Times New Roman" w:eastAsia="Times New Roman" w:hAnsi="Times New Roman"/>
          <w:sz w:val="18"/>
          <w:szCs w:val="18"/>
          <w:color w:val="auto"/>
        </w:rPr>
      </w:pPr>
    </w:p>
    <w:p>
      <w:pPr>
        <w:ind w:left="1020" w:right="320" w:hanging="503"/>
        <w:spacing w:after="0" w:line="25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pre-approval inspection of the manufacturing facilities where the proposed product drug substance is produced to assess compliance with current Good Manufacturing Practice requirements (cGMPs) and audits of selected clinical trial sites to ensure compliance with GCP; and</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an NDA or BLA prior to any commercial marketing or sale of the drug in the United States.</w:t>
      </w:r>
    </w:p>
    <w:p>
      <w:pPr>
        <w:spacing w:after="0" w:line="2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Preclinical studies include laboratory evaluation of product chemistry, toxicity and formulation, as well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to assess potential safety and efficacy. The conduct of preclinical studies is subject to federal regulations and requirements, including GLP regulations applicable to certain safety/toxicology studies.</w:t>
      </w:r>
    </w:p>
    <w:p>
      <w:pPr>
        <w:spacing w:after="0" w:line="16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An IND is a request for allowance from the FDA to administer an investigational drug product to humans. The central focus of an IND submission is on the general investigational plan and the protocol or protocols for preclinical studies and clinical trials. The IND also includes results of animal and in vitro studies assessing the toxicology, pharmacokinetics, pharmacology and pharmacodynamic characteristics of the product, chemistry, manufacturing and controls (CMC) information, and any available human data or literature to support the use of the investigational product. An IND must become effective before human clinical trials may be initiated.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 initiated. Submission of an IND therefore may or may not result in FDA allowance to initiate a clinical trial.</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Clinical trials involve the administration of the investigational product to human subjects under the supervision of qualified investigators in accordance with GCP, which, among other things, includes the requirement that all research subjects, or their legal representative, provide their informed consent for their participation in any clinical trial. Clinical trials are conducted under protocols detailing, among other things, the inclusion and exclusion criteria, the objectives of the trial,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things,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or biologics,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7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Furthermore, an independent IRB for each site proposing to conduct the clinical trial must review and approve the plan for any clinical trial and its informed consent form before the clinical trial initiates at that site, and must monitor the trial until completed. An IRB is charged with protecting the welfare and rights of trial participants and considers such items as whether the risks to individuals participating in the clinical trials are minimized and are reasonable in relation to anticipated benefits.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or committee, which provides authorization for whether or not a trial may move forward at designated check points based on access to certain data from the trial and may recommend that the clinical trial be halted if it determines that there is an unacceptable safety risk for subjects or other grounds, such as no demonstration of efficacy. There are also requirements governing the reporting of clinical trials and clinical trial results to public registries.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ind w:right="120"/>
        <w:spacing w:after="0" w:line="271" w:lineRule="auto"/>
        <w:rPr>
          <w:sz w:val="20"/>
          <w:szCs w:val="20"/>
          <w:color w:val="auto"/>
        </w:rPr>
      </w:pPr>
      <w:r>
        <w:rPr>
          <w:rFonts w:ascii="Arial" w:cs="Arial" w:eastAsia="Arial" w:hAnsi="Arial"/>
          <w:sz w:val="18"/>
          <w:szCs w:val="18"/>
          <w:color w:val="auto"/>
        </w:rPr>
        <w:t>The clinical investigation of a drug is generally divided into three phases. Although the phases are usually conducted sequentially, they may overlap or be combined.</w:t>
      </w:r>
    </w:p>
    <w:p>
      <w:pPr>
        <w:spacing w:after="0" w:line="59" w:lineRule="exact"/>
        <w:rPr>
          <w:sz w:val="20"/>
          <w:szCs w:val="20"/>
          <w:color w:val="auto"/>
        </w:rPr>
      </w:pPr>
    </w:p>
    <w:p>
      <w:pPr>
        <w:ind w:left="1020" w:right="140" w:hanging="503"/>
        <w:spacing w:after="0" w:line="246"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 The investigational product is initially introduced into healthy human subjects or patients with the target disease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These trials are designed to test the safety, dosage tolerance, absorption, metabolism and distribution of the investigational product in humans, the side effects associated with increasing doses, and, if possible, to gain early evidence on effectiveness.</w:t>
      </w:r>
    </w:p>
    <w:p>
      <w:pPr>
        <w:spacing w:after="0" w:line="68" w:lineRule="exact"/>
        <w:rPr>
          <w:rFonts w:ascii="Times New Roman" w:cs="Times New Roman" w:eastAsia="Times New Roman" w:hAnsi="Times New Roman"/>
          <w:sz w:val="18"/>
          <w:szCs w:val="18"/>
          <w:color w:val="auto"/>
        </w:rPr>
      </w:pPr>
    </w:p>
    <w:p>
      <w:pPr>
        <w:ind w:left="1020" w:hanging="503"/>
        <w:spacing w:after="0" w:line="246"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color w:val="auto"/>
        </w:rPr>
        <w:t>: The investigational product is administered to a limited patient population with a specified disease or condition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68" w:lineRule="exact"/>
        <w:rPr>
          <w:rFonts w:ascii="Times New Roman" w:cs="Times New Roman" w:eastAsia="Times New Roman" w:hAnsi="Times New Roman"/>
          <w:sz w:val="18"/>
          <w:szCs w:val="18"/>
          <w:color w:val="auto"/>
        </w:rPr>
      </w:pPr>
    </w:p>
    <w:p>
      <w:pPr>
        <w:ind w:left="1020" w:right="180" w:hanging="503"/>
        <w:spacing w:after="0" w:line="246"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 The investigational product is administered to an expanded patient population to further evaluate dosage,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labeling.</w:t>
      </w:r>
    </w:p>
    <w:p>
      <w:pPr>
        <w:spacing w:after="0" w:line="177"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Post-marketing trials, sometimes referred to as Phase 4 clinical trials, may be conducted after initial marketing approval. These clinical trials are used to gain additional experience from the treatment of patients in the intended therapeutic indication. In certain instances, such as with accelerated approval drugs, the FDA may mandate the performance of Phase 4 clinical trials as a condition of approval.</w:t>
      </w:r>
    </w:p>
    <w:p>
      <w:pPr>
        <w:spacing w:after="0" w:line="169"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w:t>
      </w:r>
    </w:p>
    <w:p>
      <w:pPr>
        <w:spacing w:after="0" w:line="17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addition, during the development of a new drug or biologic, sponsors are given opportunities to meet with the FDA at certain points. These points may be prior to submission of an IND, at the end of Phase 2, and before an 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and BLA review process</w:t>
      </w:r>
    </w:p>
    <w:p>
      <w:pPr>
        <w:spacing w:after="0" w:line="21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including results from nonclinical studies and clinical trials are submitted to the FDA as part of an NDA or BLA requesting approval to market the product for one or more indications. The submission of an NDA or BLA requires payment of a substantial application user fee to the FDA, unless a waiver or exemption applies.</w:t>
      </w:r>
    </w:p>
    <w:p>
      <w:pPr>
        <w:spacing w:after="0" w:line="17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NDA or BLA must include all relevant data available from pertinent preclinical studies and clinical trials, including negative or ambiguous results as well as positive findings, together with detailed information relating to the product’s CMC and proposed labeling, among other things. Data can come from company-sponsored clinical trials intended to test the safety and effectiveness of the product, or from a number of alternative sources, including trials initiated and sponsored by investigators.</w:t>
      </w:r>
    </w:p>
    <w:p>
      <w:pPr>
        <w:spacing w:after="0" w:line="16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under the Pediatric Research Equity Act (PREA), an NDA or BLA or supplement to an NDA or BLA must contain data to assess the safety and effectiveness of the drug or biological product candidate for the claimed indications in all relevant pediatric subpopulations and to support dosing and administration for each pediatric subpopulation for which the product is safe and effective, or a deferral or waiver for such data, as described in an agreed initial Pediatric Study Plan (iPSP). The Food and Drug Administration Safety and Innovation Act requires that a sponsor who is planning to submit a marketing application for a drug or biological product that includes a new active ingredient, new indication, new dosage form, new dosing regimen or new route of administration submit an iPSP within sixty days after an end-of-Phase 2 meeting, if no such meeting occurs, then before the start of the pivotal study or as may be agreed between the sponsor and FDA. Unless otherwise required by regulation, such as a molecular target relevant to pediatric cancers, PREA does not apply to any drug or biological product for an indication for which orphan designation has been granted.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6" w:name="page47"/>
    <w:bookmarkEnd w:id="46"/>
    <w:p>
      <w:pPr>
        <w:spacing w:after="0" w:line="238" w:lineRule="auto"/>
        <w:rPr>
          <w:sz w:val="20"/>
          <w:szCs w:val="20"/>
          <w:color w:val="auto"/>
        </w:rPr>
      </w:pPr>
      <w:r>
        <w:rPr>
          <w:rFonts w:ascii="Arial" w:cs="Arial" w:eastAsia="Arial" w:hAnsi="Arial"/>
          <w:sz w:val="18"/>
          <w:szCs w:val="18"/>
          <w:color w:val="auto"/>
        </w:rPr>
        <w:t>Within 60 days following submission of the application, the FDA reviews the submitted BLA or NDA to determine if the application is substantially complete before the agency accepts it for filing. The FDA may refuse to file any NDA or BLA that it deems incomplete or not properly reviewable at the time of submission and may request additional information. In this event, the NDA or BLA must be resubmitted with the additional information. Once an NDA or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for a three-month period by the FDA to review additional information deemed a major amendment to the application. Once accepted for filing, the FDA reviews an NDA to determine, among other things, whether a product is safe and effective for its intended use and whether its manufacturing is sufficient to assure and preserve the product’s identity, strength, quality and purity. The FDA reviews a BLA to determine, among other things, whether a product is safe, pure and potent and the facility in which it is manufactured, processed, packed or held meets standards designed to assure the product’s continued safety, purity and potency. When reviewing an NDA or BLA, the FDA may convene an advisory committee to provide clinical insight on application review questions. The FDA is not bound by the recommendations of an advisory committee, but it considers such recommendations carefully when making decisions.</w:t>
      </w:r>
    </w:p>
    <w:p>
      <w:pPr>
        <w:spacing w:after="0" w:line="180"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Before approving an NDA or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sites to assure compliance with GCP.</w:t>
      </w:r>
    </w:p>
    <w:p>
      <w:pPr>
        <w:spacing w:after="0" w:line="17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After the FDA evaluates the NDA or BLA and conducts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signals that the review cycle is complete and the application cannot be approved in its present form. The CRL will generally describe all of the deficiencies that the FDA has identified in the NDA or BLA, except that where the FDA determines that the data supporting the application are inadequate to support approval, the FDA may issue the CRL without first conducting any required inspections, testing submitted product lots and/or reviewing proposed labeling. In issuing the CRL, the FDA may recommend actions that the applicant might take to place a resubmitted NDA or BLA in condition for approval, including requests for additional data, information or clarification. The FDA may delay or refuse approval of an NDA or BLA if applicable regulatory criteria are not satisfied, require additional testing or information and/or require post-marketing testing and surveillance to monitor safety or efficacy of a product.</w:t>
      </w:r>
    </w:p>
    <w:p>
      <w:pPr>
        <w:spacing w:after="0" w:line="18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or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post-market trials and additional surveillance to further assess and monitor the product’s safety and effectiveness after commercialization, and may limit further marketing of the product based on the results of these post-marketing trials.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1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For example, the fast track designation (FTD) program is intended to expedite or facilitate the process for reviewing product candidates that meet certain criteria. Specifically, product candidates are eligible for FTD if they are intended to treat a serious or life-threatening disease or condition and demonstrate the potential to address unmet medical needs for the disease or condition. FTD applies to the combination of the product candidate and the specific indication for which it is being studied. The sponsor of a fast track product candidate has opportunities for more frequent interactions with the review team during product development and, once an NDA or BLA is submitted, the application may be eligible for priority review, if the relevant criteria are met. An NDA or BLA for a fast track product candidate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or BLA and determines that the schedule is acceptable, and the sponsor pays any required user fees upon submission of the first section of the NDA or BLA.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(BTD) to expedite its development and review. A product candidate can receive BTD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Any marketing application for a drug or biologic submitted to the FDA for approval, including a product candidate with a FTD and/or BTD, may be eligible for other types of FDA programs intended to expedite the FDA review and approval process, such as priority review. An NDA or BLA is eligible for priority review if the product candidate has the potential to provide a significant improvement in the treatment, diagnosis or prevention of a serious disease or condition. For new molecular entity NDAs and original BLAs, priority review designation means the FDA’s goal is to take action on the marketing application within six months of the 60-day filing date (as compared to 10 months under standard review).</w:t>
      </w:r>
    </w:p>
    <w:p>
      <w:pPr>
        <w:spacing w:after="0" w:line="16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Additionally, depending on the design of the applicable clinical trials, product candidates studied for their safety and effectiveness in treating serious or life-threatening diseases or conditions may receive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trials to verify and describe the anticipated effect on irreversible morbidity or mortality or other clinical benefit, and may require that such confirmatory trials are underway prior to granting any accelerated approval. Products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8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1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Under the Orphan Drug Act, the FDA may grant ODD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ODD must be requested before submitting an NDA or BLA. After the FDA grants ODD, the generic identity of the therapeutic agent and its potential orphan use are disclosed publicly by the FDA. The ODD does not convey any advantage in, or shorten the duration of, the regulatory review or approval process.</w:t>
      </w:r>
    </w:p>
    <w:p>
      <w:pPr>
        <w:spacing w:after="0" w:line="17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If a product candidate that has ODD subsequently receives the first FDA approval for the disease or condition for which it has such designation, the product is entitled to orphan drug exclusive approval (or exclusivity), which means that the FDA may not approve any other applications, including a full NDA or BLA, to market the same drug or biologic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or biologic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NDA or BLA application user fee.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spacing w:after="0" w:line="247"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disease or condition for which it received ODD.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1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NDA or BLA. Drug and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spacing w:after="0" w:line="183"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trials or clinical trials to assess new safety risks; or imposition of distribution restrictions or other restrictions under a REMS program. Other potential consequences include, among other things:</w:t>
      </w:r>
    </w:p>
    <w:p>
      <w:pPr>
        <w:spacing w:after="0" w:line="82" w:lineRule="exact"/>
        <w:rPr>
          <w:sz w:val="20"/>
          <w:szCs w:val="20"/>
          <w:color w:val="auto"/>
        </w:rPr>
      </w:pPr>
    </w:p>
    <w:p>
      <w:pPr>
        <w:ind w:left="1020" w:right="48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holds on post-approval clinical trials;</w:t>
      </w:r>
    </w:p>
    <w:p>
      <w:pPr>
        <w:spacing w:after="0" w:line="116"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labeling.</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9" w:name="page50"/>
    <w:bookmarkEnd w:id="49"/>
    <w:p>
      <w:pPr>
        <w:ind w:right="260"/>
        <w:spacing w:after="0" w:line="247" w:lineRule="auto"/>
        <w:rPr>
          <w:sz w:val="20"/>
          <w:szCs w:val="20"/>
          <w:color w:val="auto"/>
        </w:rPr>
      </w:pPr>
      <w:r>
        <w:rPr>
          <w:rFonts w:ascii="Arial" w:cs="Arial" w:eastAsia="Arial" w:hAnsi="Arial"/>
          <w:sz w:val="18"/>
          <w:szCs w:val="18"/>
          <w:color w:val="auto"/>
        </w:rPr>
        <w:t>In addition, the distribution of prescription biopharmaceutical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product marketing exclusivity</w:t>
      </w:r>
    </w:p>
    <w:p>
      <w:pPr>
        <w:spacing w:after="0" w:line="21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Market exclusivity provisions under the FDCA can delay the submission or the approval of certain marketing applications. For example,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or 505(b) (2)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FDCA alternatively provides three years of non-patent exclusivity for an NDA, or supplement to an existing NDA if new clinical investigations, other than bioavailability trials,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existing period of regulatory exclusivity or patent term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21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Biologics Price Competition and Innovation Act of 2009 (BPCIA) created an abbreviated approval pathway for biological products that are highly similar, or “biosimilar,” to or interchangeable with an FDA-approved reference biological product. Biosimilarity, which requires that there be no clinically meaningful differences between the biological product and the reference product in terms of safety, purity, and potency, is generally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w:t>
      </w:r>
    </w:p>
    <w:p>
      <w:pPr>
        <w:spacing w:after="0" w:line="18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0" w:name="page51"/>
    <w:bookmarkEnd w:id="50"/>
    <w:p>
      <w:pPr>
        <w:ind w:right="500"/>
        <w:spacing w:after="0" w:line="271" w:lineRule="auto"/>
        <w:rPr>
          <w:sz w:val="20"/>
          <w:szCs w:val="20"/>
          <w:color w:val="auto"/>
        </w:rPr>
      </w:pPr>
      <w:r>
        <w:rPr>
          <w:rFonts w:ascii="Arial" w:cs="Arial" w:eastAsia="Arial" w:hAnsi="Arial"/>
          <w:sz w:val="18"/>
          <w:szCs w:val="18"/>
          <w:color w:val="auto"/>
        </w:rPr>
        <w:t>A biological product can also obtain pediatric market exclusivity in the United States, as described above, if the BLA sponsor voluntarily completes a pediatric study that fairly responds to a "written request" from the FDA to conduct such study.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21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If safe and effective use of a drug or biologic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then the FDA may require approval or clearance of that diagnostic, known as a companion diagnostic, at the same time that the FDA approves the therapeutic product. In August 2014, the FDA issued final guidance clarifying the requirements that will apply to approval of therapeutic products and in vitro companion diagnostics. According to the guidance, if FDA determines that a companion diagnostic device is essential to the safe and effective use of a novel therapeutic product or indication, FDA may not approve the drug or new indication if the companion diagnostic device is not also approved or cleared for that indication. Approval or clearance of the companion diagnostic device will ensure that the device has been adequately evaluated and has adequate performance characteristics in the intended population. The review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in conjunction with the review of our product candidates will, therefore, likely involve coordination of review by the FDA’s Center for Drug Evaluation and Research or the FDA’s Center for Biologics Evaluation and Research and the FDA’s Center for Devices and Radiological Health Office of In Vitro Diagnostics and Radiological Health.</w:t>
      </w:r>
    </w:p>
    <w:p>
      <w:pPr>
        <w:spacing w:after="0" w:line="18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 xml:space="preserve">Under the FDCA,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clearance of a premarket notification pursuant to Section 510(k) of the FDCA, also called 510(k) clearance, and approval of a premarket approval application (PMA).</w:t>
      </w:r>
    </w:p>
    <w:p>
      <w:pPr>
        <w:spacing w:after="0" w:line="18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Quality System Regulation (QSR) which imposes elaborate testing, control, documentation and other quality assurance requirements.</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post-approval requirements, conditions of approval or other regulatory standards are not maintained or problems are identified following initial marketing.</w:t>
      </w:r>
    </w:p>
    <w:p>
      <w:pPr>
        <w:spacing w:after="0" w:line="17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Other US regulatory requirements</w:t>
      </w:r>
    </w:p>
    <w:p>
      <w:pPr>
        <w:spacing w:after="0" w:line="21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to FDA regulation of pharmaceutical products, pharmaceutical companies are also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their operations are found to be in violation of any of such laws or any other governmental regulations that apply, they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coverage and reimbursement</w:t>
      </w:r>
    </w:p>
    <w:p>
      <w:pPr>
        <w:spacing w:after="0" w:line="21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our product candidates can be subject to challenge, reduction or denial by third-party payors.</w:t>
      </w:r>
    </w:p>
    <w:p>
      <w:pPr>
        <w:spacing w:after="0" w:line="17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process for determining whether a third-party payor will provide coverage for a product is typically separate from the process for setting the reimbursement rate that the payor will pay for the product. In the United States, there is no uniform policy among payors for coverage or reimbursement. Decisions regarding whether to cover any of a product, the extent of coverage and amount of reimbursement to be provided are made on a plan-by-plan basis.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As a result, the coverage determination process is often a time-consuming and costly process that can require manufacturers to provide scientific and clinical support for the use of a product to each payor separately, with no assurance that coverage and adequate reimbursement will be applied consistently or obtained in the first instance.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8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Third-party payors are increasingly challenging the price and examining the medical necessity and cost-effectiveness of medical products and services, in addition to their safety and efficacy. Third-party payors may not consider our product candidates to be medically necessary or cost-effective compared to other available therapies. Adoption of price controls and cost-containment measures, and adoption of more restrictive policies in jurisdictions with existing controls and measures, could further limit sales of any product that receives approval.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21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 the United States, there have been, and continue to be, legislative and regulatory changes and proposed changes regarding the healthcare system that could prevent or delay marketing approval of product candidates, restrict or regulate post-approval activities, and affect the profitable sale of product candidates. Among policy 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7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By way of example, in March 2010, the Patient Protection and Affordable Care Act (the ACA) was passed, which substantially changed the way healthcare is financed by both governmental and private insurers, and significantly affected the pharmaceutical industry. The ACA, among other things,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52" w:name="page53"/>
    <w:bookmarkEnd w:id="52"/>
    <w:p>
      <w:pPr>
        <w:spacing w:after="0" w:line="242" w:lineRule="auto"/>
        <w:rPr>
          <w:sz w:val="20"/>
          <w:szCs w:val="20"/>
          <w:color w:val="auto"/>
        </w:rPr>
      </w:pPr>
      <w:r>
        <w:rPr>
          <w:rFonts w:ascii="Arial" w:cs="Arial" w:eastAsia="Arial" w:hAnsi="Arial"/>
          <w:sz w:val="18"/>
          <w:szCs w:val="18"/>
          <w:color w:val="auto"/>
        </w:rPr>
        <w:t>comparative clinical effectiveness research, along with funding for such research; and established a Center for Medicare and Medicaid Innovation at the Centers for Medicare &amp; Medicaid Services (CMS) to test innovative payment and service delivery models to lower Medicare and Medicaid spending, potentially including prescription drug spending. Since its enactment, there have been judicial, executive and political challenges to certain aspects of the ACA. On June 17, 2021, the US Supreme Court dismissed a challenge on procedural grounds that argued the ACA is unconstitutional in its entirety because the “individual mandate” was repealed by Congress. Thus, the ACA will remain in effect in its current form.</w:t>
      </w:r>
    </w:p>
    <w:p>
      <w:pPr>
        <w:spacing w:after="0" w:line="17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In addition, other legislative changes have been proposed and adopted since the ACA was enacted. These changes included aggregate reductions to Medicare payments to providers, which went into effect on April 1, 2013 and, due to subsequent legislative amendments to the statute, will remain in effect through 2032,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w:t>
      </w:r>
      <w:r>
        <w:rPr>
          <w:rFonts w:ascii="Arial" w:cs="Arial" w:eastAsia="Arial" w:hAnsi="Arial"/>
          <w:sz w:val="18"/>
          <w:szCs w:val="18"/>
          <w:color w:val="231F20"/>
        </w:rPr>
        <w:t>In addition,</w:t>
      </w:r>
      <w:r>
        <w:rPr>
          <w:rFonts w:ascii="Arial" w:cs="Arial" w:eastAsia="Arial" w:hAnsi="Arial"/>
          <w:sz w:val="18"/>
          <w:szCs w:val="18"/>
          <w:color w:val="auto"/>
        </w:rPr>
        <w:t xml:space="preserve"> on March 11, 2021, the American Rescue Plan Act of 2021 was signed into law, which eliminated the statutory Medicaid drug rebate cap, beginning January 1, 2024. The rebate was previously capped at 100% of a drug's average manufacturer price.</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On August 16, 2022, the Inflation Reduction Act of 2022, or IRA, was enacted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(HHS) to implement many of these provisions through guidance, as opposed to regulation, for the initial years. HHS has issued and will continue to issue guidance implementing the IRA. CMS has published the negotiated prices for the initial ten drugs, which will first be effective in 2026, and the list of the subsequent 15 drugs that will be subject to negotiation, although the Medicare drug price negotiation program is currently subject to legal challenges. While the impact of the IRA on the pharmaceutical industry cannot yet be fully determined, it is likely to be significant.</w:t>
      </w:r>
    </w:p>
    <w:p>
      <w:pPr>
        <w:spacing w:after="0" w:line="183"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drug price increase disclosure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167"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 candidates and services, which could result in reduced demand for our product candidates once approved or additional pricing pressures.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EU drug regulation</w:t>
      </w:r>
    </w:p>
    <w:p>
      <w:pPr>
        <w:spacing w:after="0" w:line="21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such as in China and Japan. Although many of the issues discussed above with respect to the United States apply similarly in the context of the European Union (EU),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studies and clinical trials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Similarly to the United States, the various phases of non-clinical and clinical research in the EU are subject to significant regulatory controls.</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Non-clinical studies are performed to demonstrate the health or environmental safety of new chemical or biological substances. Non-clinical studies must be conducted in compliance with the principles of good laboratory practice (GLP) as set forth in EU Directive 2004/10/EC.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6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Clinical trials of medicinal products in the EU must be conducted in accordance with EU and national regulations and the International Conference on Harmonization (ICH) guidelines on GCP as well as the applicable regulatory requirements and the ethical principles that have their origin in the Declaration of Helsinki. Additional GCP guidelines from the European Commission, focusing in particular on traceability, apply to clinical trials of advanced therapy medicinal products. If the sponsor of the clinical trial is not established within the EU, it must appoint an entity within the EU to act as its legal representative. The sponsor must take out a clinical trial insurance policy, and in most EU member states, the sponsor is liable to provide ‘no fault’ compensation to any trial subject injured in the clinical trial.</w:t>
      </w:r>
    </w:p>
    <w:p>
      <w:pPr>
        <w:spacing w:after="0" w:line="17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Certain countries outside of the United States, including the EU, have a similar process that requires the submission of a clinical trial application (CTA) much like the IND prior to the commencement of human clinical trials. A CTA must be submitted to each country’s national health authority and an independent ethics committee, much like the FDA and the IRB, respectively. Once the CTA is approved by the national health authority and the ethics committee has granted a positive opinion in relation to the conduct of the trial in the relevant member state(s), in accordance with a country’s requirements, clinical trial development may proceed.</w:t>
      </w:r>
    </w:p>
    <w:p>
      <w:pPr>
        <w:spacing w:after="0" w:line="17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CTA must include, among other things, a copy of the trial protocol and an investigational medicinal product dossier containing information about the manufacture and quality of the medicinal product under investigation. Currently, CTAs must be submitted to the competent authority in each EU member state in which the trial will be conducted. Under the new Regulation on Clinical Trials, which took effect on January 31, 2022, there will be a centralized application procedure where one national authority takes the lead in reviewing the application and the other national authorities have only a limited involvement. Any substantial changes to the trial protocol or other information submitted with the CTA must be notified to or approved by the relevant competent authorities and ethics committees. Medicines used in clinical trials must be manufactured in accordance with good manufacturing practice (GMP). Other national and EU-wide regulatory requirements also apply.</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1"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Marketing Authorizations</w:t>
      </w:r>
    </w:p>
    <w:p>
      <w:pPr>
        <w:spacing w:after="0" w:line="210"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To market a medicinal product in the EU and in many other foreign jurisdictions, we must obtain separate regulatory approvals. More concretely, in the EU, medicinal product candidates can only be commercialized after obtaining a Marketing Authorization (MA). To obtain regulatory approval of an investigational medicinal product under EU regulatory systems, we must submit a marketing authorization application (MAA.) The process for doing this depends, among other things, on the nature of the medicinal product. There are two types of MAs:</w:t>
      </w:r>
    </w:p>
    <w:p>
      <w:pPr>
        <w:spacing w:after="0" w:line="68" w:lineRule="exact"/>
        <w:rPr>
          <w:sz w:val="20"/>
          <w:szCs w:val="20"/>
          <w:color w:val="auto"/>
        </w:rPr>
      </w:pPr>
    </w:p>
    <w:p>
      <w:pPr>
        <w:ind w:left="1020" w:right="120" w:hanging="503"/>
        <w:spacing w:after="0" w:line="239"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“Union MA”, which is issued by the European Commission through the Centralized Procedure, based on the opinion of the Committee for Medicinal Products for Human Use (CHMP) of the European Medicines Agency (EMA) and which is valid throughout the entire territory of the EU. The Centralized Procedure is mandatory for certain types of products, such as: (i) medicinal products derived from biotechnology medicinal products, (ii) designated orphan medicinal products, (iii) advanced therapy products (such as gene therapy, somatic cell therapy or tissue-engineered medicines), and (iv) medicinal products containing a new active substance indicated for the treatment certain diseases, such as HIV/AIDS, cancer, neurodegenerative diseases, diabetes, other auto-immune and viral diseases. The Centralized Procedure is optional for products containing a new active substance not yet authorized in the EU, or for products that constitute a significant therapeutic, scientific or technical innovation or that the granting of authorization would be in the interest of public health in the EU; and</w:t>
      </w:r>
    </w:p>
    <w:p>
      <w:pPr>
        <w:spacing w:after="0" w:line="74" w:lineRule="exact"/>
        <w:rPr>
          <w:rFonts w:ascii="Times New Roman" w:cs="Times New Roman" w:eastAsia="Times New Roman" w:hAnsi="Times New Roman"/>
          <w:sz w:val="18"/>
          <w:szCs w:val="18"/>
          <w:color w:val="auto"/>
        </w:rPr>
      </w:pPr>
    </w:p>
    <w:p>
      <w:pPr>
        <w:ind w:left="1020" w:right="4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“National MAs”, which are issued by the competent authorities of the EU member states and only cover their respective territory, are available for products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70"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Under the above-described procedures, in order to grant the MA, the EMA or the competent authorities of the EU member states make an assessment of the risk-benefit balance of the product on the basis of scientific criteria concerning its quality, safety and efficacy.</w:t>
      </w:r>
    </w:p>
    <w:p>
      <w:pPr>
        <w:spacing w:after="0" w:line="14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the Centralized Procedure, the maximum timeframe for the evaluation of a MAA by the EMA is 210 days. Where there is a major public health interest and an unmet medical need for a product, the CHMP may perform an accelerated review of a MA in no more than 150 days (not including clock stops).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The benefits of a PRIME designation include the appointment of a CHMP rapporteur before submission of a MAA, early dialogue and scientific advice at key development milestones, and the potential to qualify products for accelerated review earlier in the application process.</w:t>
      </w:r>
    </w:p>
    <w:p>
      <w:pPr>
        <w:spacing w:after="0" w:line="16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MAs have an initial duration of five years. After these five years, the authorization may be renewed for an unlimited period on the basis of a reevaluation of the risk-benefit balance, unless the EMA decides, on justified grounds relating to pharmacovigilance, to mandate one additional five-year renewal period.</w:t>
      </w:r>
    </w:p>
    <w:p>
      <w:pPr>
        <w:spacing w:after="0" w:line="155"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Additionally, for applications that meet specific criteria, the EU Centralized Procedure includes an option for Conditional Marketing Authorization (CMA) based on less comprehensive clinical data, where the benefit of earlier approval outweighs the risk that additional data are still required. CMA must be renewed annually, and includes specific post marketing obligations, such as completing ongoing or new studies to provide additional confirmatory data.</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and marketing exclusivity</w:t>
      </w:r>
    </w:p>
    <w:p>
      <w:pPr>
        <w:spacing w:after="0" w:line="210"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color w:val="auto"/>
        </w:rPr>
        <w:t>The EU also provides opportunities for market exclusivity. Upon receiving MA, new chemical entity, or reference product candidates, generally receive eight years of data exclusivity and an additional two years of market exclusivity. If granted, the data exclusivity period prevents generic or biosimilar applicants from relying on the pre-clinical and clinical trial data</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Development</w:t>
      </w:r>
    </w:p>
    <w:p>
      <w:pPr>
        <w:spacing w:after="0" w:line="19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the EU, MAAs for new medicinal products candidates have to include the results of trials conducted in the pediatric population, or a waiver or deferral for such data, in compliance with a pediatric investigation plan (PIP) agreed with the EMA’s Pediatric Committee (PDCO). The PIP sets out the timing and measures proposed to generate data to support a pediatric indication of the drug for which MA is being sought. The PDCO can grant a deferral of the obligation to implement some or all of the measures of the PIP until there is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trial results are included in the product information, even when negative, the product is eligible for six months’ supplementary protection certificate extension (if any is in effect at the time of authorization).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1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176"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All new MAA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trials.</w:t>
      </w:r>
    </w:p>
    <w:p>
      <w:pPr>
        <w:spacing w:after="0" w:line="17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7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aforementioned EU rules are generally applicable in the European Economic Area (EEA) which consists of the 27 EU member states plus Norway, Liechtenstein and Iceland.</w:t>
      </w:r>
    </w:p>
    <w:p>
      <w:pPr>
        <w:spacing w:after="0" w:line="154"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For other countries outside of the EU, such as countries in Latin America or Asia (e.g., China and Japan),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1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Japanese drug regulation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Non-clinical studies and clinical trials</w:t>
      </w:r>
    </w:p>
    <w:p>
      <w:pPr>
        <w:spacing w:after="0" w:line="210"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Being a member of the International Conference on Harmonization (ICH), Japan has pharmaceutical regulations fundamentally similar to those of the United States or EU.</w:t>
      </w:r>
    </w:p>
    <w:p>
      <w:pPr>
        <w:spacing w:after="0" w:line="154"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Non-clinical studies are performed to demonstrate the health safety of new chemical or biological substances. Non-clinical studies must be conducted in compliance with the principles of Japanese good laboratory practice (GLP) which reflect the Organization for Economic Co-operation and Development requirements. Currently, Japan and EU have a mutual recognition agreement for GLP, and data generated compliant with EU requirements will be accepted by the Japanese authorities. There is no similar agreement with the United States.</w:t>
      </w:r>
    </w:p>
    <w:p>
      <w:pPr>
        <w:spacing w:after="0" w:line="15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Clinical trials of medicinal products in Japan must be conducted in accordance with Japanese regulations based on ICH guidelines governing good clinical practices (GCP). They focus on ethics of the clinical trial and protection of the privacy of the trial subjects. If the sponsor of the clinical trial is not established within Japan, it must appoint an entity within the country to act as its caretaker who should be authorized to act on the sponsor’s behalf. The sponsor must take out a clinical trial insurance policy, and, according to the industry agreement, should put in place a common compensation policy for the injuries from the trial.</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the commencement of human clinical trials, the sponsor must complete evaluation of the safety of the investigative product, and submit a clinical trial notification and the protocol to the authorities in advance, upon agreement of the IRB of the participating institutions. When the authorities do not comment on the notification, the sponsor may proceed with the clinical trial.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Any substantial changes to the trial protocol or other information submitted must be cleared by the IRB and notified to the authorities.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Medicines used in clinical trials must be manufactured in accordance with good manufacturing practice (GMP).</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approval</w:t>
      </w:r>
    </w:p>
    <w:p>
      <w:pPr>
        <w:spacing w:after="0" w:line="21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To market a medicinal product in Japan, we must obtain regulatory approval. To obtain regulatory approval of an investigational medicinal product, we must submit a new drug application. The process for doing this depends, among other things, on the nature of the medicinal product and there are currently a few different pathways for approval. If the product is designed for treating certain “difficult diseases” or those whose patient size is limited, we may be able to obtain designation as an orphan drug product if it demonstrates unique therapeutic value. Approval application for such designated orphan products will be processed on an expedited basis and the authorities’ requirement for clinical data will be much limited. Separately, the latest amendment to the law introduced separate pathways for: (i) truly innovative products with a unique mode of action, and (ii) those which will satisfy unmet medical needs. These products will also be processed on an expedited basis.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evaluation of applications will be based on an assessment of the risk-benefit balance of the product on the basis of scientific criteria concerning its quality, safety and efficacy. Once the review organization completes its review task, the matter will be considered by the advisory committee of experts, and the government will grant approval upon positive recommendation from the committee.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57" w:name="page58"/>
    <w:bookmarkEnd w:id="57"/>
    <w:p>
      <w:pPr>
        <w:ind w:right="140"/>
        <w:spacing w:after="0" w:line="244" w:lineRule="auto"/>
        <w:rPr>
          <w:sz w:val="20"/>
          <w:szCs w:val="20"/>
          <w:color w:val="auto"/>
        </w:rPr>
      </w:pPr>
      <w:r>
        <w:rPr>
          <w:rFonts w:ascii="Arial" w:cs="Arial" w:eastAsia="Arial" w:hAnsi="Arial"/>
          <w:sz w:val="18"/>
          <w:szCs w:val="18"/>
          <w:color w:val="auto"/>
        </w:rPr>
        <w:t>The volume and quality of the clinical data will be the key determinant of the approval decision. Clinical trial data generated overseas will be accepted as part of the data package consistent with the ICH recommendation. Typically, a limited dose response clinical trial for Japanese subjects is required to ensure that data are extrapolatable for the Japanese population. In a more recent development, the authorities encourage manufacturers to organize an international joint clinical trial with some Japanese participation under a joint protocol, to expedite the clinical trial process. Regulatory approval does not expire.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requirement</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Separate from the approval requirement, it is also mandatory to possess a distribution license of an appropriate class for the manufacturer to commercially distribute the product in Japan. Non-Japanese companies who possess only the product approval may designate an appropriate license holder in Japan to commercially distribute the product, rather than distributing it on its own. The license is valid for 5 years.</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corporate headquarters is located in San Diego, California, where we lease 77,828 square feet of office and laboratory space pursuant to a lease that expires in April 2032 and may be terminated early under certain circumstances. In January 2024, we entered into an agreement to sublease approximately 10,000 square feet of such office space. The agreement has a term of three years, and includes an option for the subtenant to renew for an additional year and an early termination clause. In July 2024, we entered into a second agreement to sublease approximately 18,000 square feet of such office space. The agreement has a term of 61 months beginning in October 2024, and includes an option for the subtenant to renew for an additional year and an early termination clause. In September 2024, we entered into a third agreement to sublease approximately 5,000 square feet of such office and laboratory space. The agreement has a term of one year, and includes an option for the subtenant to renew for an additional year.</w:t>
      </w:r>
    </w:p>
    <w:p>
      <w:pPr>
        <w:spacing w:after="0" w:line="167"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We also lease 29,542 square feet of office and laboratory space in South San Francisco, California, pursuant to a lease that expires in October 2032, with an option to extend the term by five years, subject to certain conditions.</w:t>
      </w:r>
    </w:p>
    <w:p>
      <w:pPr>
        <w:spacing w:after="0" w:line="14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believe our existing facilities are adequate to meet our current business requirements for the near term, and that additional space will be available on commercially reasonable terms, if required.</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07"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As of February 28, 2025, we had 103 full-time employees (FTEs), 33 of whom have doctorate degrees. Of our FTEs, 68 are engaged in research and development activities, and 35 are engaged in general and administrative activities. The majority of our employees are located in San Diego County, California. None of our employees are represented by labor unions or covered by collective bargaining units. We consider our relationship with our employees to be good.</w:t>
      </w:r>
    </w:p>
    <w:p>
      <w:pPr>
        <w:spacing w:after="0" w:line="160" w:lineRule="exact"/>
        <w:rPr>
          <w:sz w:val="20"/>
          <w:szCs w:val="20"/>
          <w:color w:val="auto"/>
        </w:rPr>
      </w:pPr>
    </w:p>
    <w:p>
      <w:pPr>
        <w:ind w:right="640"/>
        <w:spacing w:after="0" w:line="253" w:lineRule="auto"/>
        <w:rPr>
          <w:sz w:val="20"/>
          <w:szCs w:val="20"/>
          <w:color w:val="auto"/>
        </w:rPr>
      </w:pPr>
      <w:r>
        <w:rPr>
          <w:rFonts w:ascii="Arial" w:cs="Arial" w:eastAsia="Arial" w:hAnsi="Arial"/>
          <w:sz w:val="18"/>
          <w:szCs w:val="18"/>
          <w:color w:val="auto"/>
        </w:rPr>
        <w:t>Our human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Information</w:t>
      </w:r>
    </w:p>
    <w:p>
      <w:pPr>
        <w:spacing w:after="0" w:line="207"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We were incorporated under the laws of the State of Delaware on July 2, 2018 as Erasca, Inc. Our principal executive offices are located at 3115 Merryfield Row, Suite 300, San Diego, California 92121, and our telephone number is 858-465-6511. Our website address is www.erasca.com. Our website and the information contained on, or that can be accessed through, the website will not be deemed to be incorporated by reference in, and are not considered part of, this Annual Report on Form 10-K.</w:t>
      </w:r>
    </w:p>
    <w:p>
      <w:pPr>
        <w:spacing w:after="0" w:line="160"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We are an "emerging growth company" as defined in the Jumpstart Our Business Startups Act of 2012. We will remain an emerging growth company until the earlier of: (i) the last day of the fiscal year: (a) following the fifth anniversary of the completion of the IPO, (b) in which we have total annual gross revenue of at least $1.235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Available Information</w:t>
      </w:r>
    </w:p>
    <w:p>
      <w:pPr>
        <w:spacing w:after="0" w:line="20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website address is www.erasca.com. Our Annual Reports on Form 10-K, Quarterly Reports on Form 10-Q, Current Reports on Form 8-K, including exhibits, proxy and information statements and amendments to those reports filed or furnished pursuant to Sections 13(a), 14, and 15(d) of the Exchange Act are available through the “Investors” portion of our website free of charge as soon as reasonably practicable after we electronically file such material with, or furnish it to, the SEC. In addition, our filings with the SEC may be accessed through the SEC’s Interactive Data Electronic Applications system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use the “Investors” portion of our website as a means of disclosing material non-public information and for complying with our disclosure obligations under Regulation FD. Investors should monitor such website, in addition to following our press releases, SEC filings and public conference calls and webcasts. Information relating to our corporate governance is also included on our website. The information in or accessible through the SEC and our website are not incorporated into, and are not considered part of, this Annual Report on Form 10-K.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4"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ind w:right="180"/>
        <w:spacing w:after="0"/>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as well as the other information in this Annual Report on Form 10-K, including our consolidated financial statements and the related notes included elsewhere in this Annual Report on Form 10-K and “Management’s Discussion and Analysis of Financial Condition and Results of Operations,” before making investment decisions regarding our common stock. The occurrence of any of the events or developments described below could harm our business, financial condition, results of operations and prospects. In such an event, the market price of our common stock could decline and you may lose all or part of your investment. The risks described below are not the only ones we face. Additional risks and uncertainties not presently known to us or that we currently deem immaterial also may impair our business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need for additional capital</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15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are a clinical-stage biopharmaceutical company with a limited operating history upon which you can evaluate our business and prospects. We commenced operations in 2018, and to date, we have focused primarily on organizing and staffing our company, business planning, raising capital, identifying, acquiring and in-licensing our product candidates, establishing our intellectual property portfolio, conducting research, preclinical studies and clinical trials, establishing arrangements with third parties for the manufacture of our product candidates and related raw materials, and providing general and administrative support for these operations. Our scientific approach to the discovery and development of product candidates is unproven, and we do not know whether we will be able to develop or obtain regulatory approval for any products of commercial value. In addition, while we are currently conducting our SEACRAFT-2 Phase 3 clinical trial for naporafenib, our remaining product candidates are in the preclinical or discovery stage. We have not yet completed any later-stage, large-scale or pivotal clinical trials, obtained regulatory approvals, manufactured a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8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have incurred significant operating losses since our inception and expect to incur significant losses for the foreseeable future. We do not have any products approved for sale and have not generated any revenue since our inception. If we are unable to successfully develop and obtain requisite approval for our product candidates, we may never generate any revenue. Our net losses were $161.7 million and $ 125.0 million for the years ended December 31, 2024 and 2023, respectively. As of December 31, 2024, we had an accumulated deficit of $767.7 million. Substantially all of our losses have resulted from expenses incurred in connection with our research and development programs and from general and administrative costs associated with our operations. All of our product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any of our product candidates and seek to identify, assess, acquire, in-license or develop additional product candidates.</w:t>
      </w:r>
    </w:p>
    <w:p>
      <w:pPr>
        <w:spacing w:after="0" w:line="18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clinical trials and preclinical studies of our product candidates, discovering, acquiring or in-licensing additional product candidates, obtaining regulatory approval for these product candidates, and manufacturing, marketing, and selling any products for which we may obtain regulatory approval. We are only in the preliminary stages of many of these activities. We 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60" w:name="page61"/>
    <w:bookmarkEnd w:id="60"/>
    <w:p>
      <w:pPr>
        <w:spacing w:after="0" w:line="271" w:lineRule="auto"/>
        <w:rPr>
          <w:sz w:val="20"/>
          <w:szCs w:val="20"/>
          <w:color w:val="auto"/>
        </w:rPr>
      </w:pPr>
      <w:r>
        <w:rPr>
          <w:rFonts w:ascii="Arial" w:cs="Arial" w:eastAsia="Arial" w:hAnsi="Arial"/>
          <w:sz w:val="18"/>
          <w:szCs w:val="18"/>
          <w:color w:val="auto"/>
        </w:rPr>
        <w:t>efforts, diversify our product candidates, or even continue our operations. A decline in the value of our company could also cause you to lose all or part of your investment.</w:t>
      </w:r>
    </w:p>
    <w:p>
      <w:pPr>
        <w:spacing w:after="0" w:line="15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spacing w:after="0" w:line="15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development of biopharmaceutical product candidates is capital-intensive. Our operations have consumed substantial amounts of cash since inception. We expect our expenses to increase in connection with our ongoing activities, particularly as we conduct our ongoing and planned clinical trials and preclinical studies, and seek regulatory approval for our current product candidates and any future product candidates we may develop or otherwise acquire. In addition, as our product candidates progress through development and toward commercialization, we will need to make milestone payments to the licensors and other third parties from whom we have in-licensed or acquired our product candidates, including naporafenib, ERAS-0015, ERAS-4001, ERAS-007, ERAS-801, and ERAS-601. If we obtain regulatory approval for any of our product candidates, we also expect to incur significant commercialization expenses related to product manufacturing, marketing, sales, and distribution. Because the outcome of any clinical trial or preclinical study is highly uncertain, we cannot reasonably estimate the actual amounts necessary to successfully complete the development and commercialization of our product candidates. Furthermore,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8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will be sufficient to fund our operations into the second half of 2027.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 collaborations, licenses and other similar arrangements. In addition, we may seek additional capital due to favorable market conditions or liquidity or strategic considerations even if we believe we have sufficient funds for our current or future operating plans. For example, in August 2022, we entered into an Open Market Sale Agreement (the Sale Agreement) with Jefferies LLC (the Agent), pursuant to which we may, from time to time, sell shares of our common stock having an aggregate offering price of up to $200 million through the Agent, of which we had sold $21.9 million as of December 31, 2024. However, there can be no assurance that the Agent will be successful in consummating future sales based on prevailing market conditions or in the quantities or at the prices that we deem appropriate. In addition, the Sale Agreement may be terminated by us or the Agent at any time upon specified notice to the other party, or by the Agent at any time in certain circumstances, including the occurrence of a material adverse change. Attempting to secure additional financing may divert our management from our day-to-day activities, which may adversely affect our ability to develop our product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 but not limited to:</w:t>
      </w:r>
    </w:p>
    <w:p>
      <w:pPr>
        <w:spacing w:after="0" w:line="117" w:lineRule="exact"/>
        <w:rPr>
          <w:sz w:val="20"/>
          <w:szCs w:val="20"/>
          <w:color w:val="auto"/>
        </w:rPr>
      </w:pPr>
    </w:p>
    <w:p>
      <w:pPr>
        <w:ind w:left="1020" w:hanging="503"/>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type, number, scope, progress, expansions, results, costs and timing of discovery, preclinical studies and clinical trials of our product candidates that we are pursuing or may choose to pursue in the future, including the costs of any third-party products used in our combination clinical trials that are not covered by such third party or other sources;</w:t>
      </w:r>
    </w:p>
    <w:p>
      <w:pPr>
        <w:spacing w:after="0" w:line="62"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manufacturing for our product candidates with contract manufacturing organizations (CMOs), including commercial manufacturing, if any product candidate is approved;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16" w:lineRule="exact"/>
        <w:rPr>
          <w:rFonts w:ascii="Times New Roman" w:cs="Times New Roman" w:eastAsia="Times New Roman" w:hAnsi="Times New Roman"/>
          <w:sz w:val="18"/>
          <w:szCs w:val="18"/>
          <w:color w:val="auto"/>
        </w:rPr>
      </w:pPr>
    </w:p>
    <w:p>
      <w:pPr>
        <w:ind w:left="1020" w:right="70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hiring additional personnel, consultants, and contract research organizations (CROs) as our preclinical and clinical activities increase;</w:t>
      </w:r>
    </w:p>
    <w:p>
      <w:pPr>
        <w:spacing w:after="0" w:line="46"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or acquired our product candidates;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61" w:name="page62"/>
    <w:bookmarkEnd w:id="61"/>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116" w:lineRule="exact"/>
        <w:rPr>
          <w:rFonts w:ascii="Times New Roman" w:cs="Times New Roman" w:eastAsia="Times New Roman" w:hAnsi="Times New Roman"/>
          <w:sz w:val="18"/>
          <w:szCs w:val="18"/>
          <w:color w:val="auto"/>
        </w:rPr>
      </w:pPr>
    </w:p>
    <w:p>
      <w:pPr>
        <w:ind w:left="1020" w:right="80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any delays and cost increases that result from geopolitical or economic events;</w:t>
      </w:r>
    </w:p>
    <w:p>
      <w:pPr>
        <w:spacing w:after="0" w:line="12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22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Conducting clinical trials and preclinical studies and identifying potential product candidates is a time-consuming, expensive and uncertain process that takes years to complete, and we may never generate the necessary data or results required to obtain regulatory approval and commercialize our product candidates. In addition, our product candidates, if approved, may not achieve commercial success. Our commercial revenue, if any, will be derived from sales of products that we do not expect to be commercially available for many years, if at all.</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w:t>
      </w:r>
      <w:r>
        <w:rPr>
          <w:rFonts w:ascii="Arial" w:cs="Arial" w:eastAsia="Arial" w:hAnsi="Arial"/>
          <w:sz w:val="18"/>
          <w:szCs w:val="18"/>
          <w:color w:val="231F20"/>
        </w:rPr>
        <w:t>, including as a result of financial and credit market deterioration or instability, market-wide</w:t>
      </w:r>
      <w:r>
        <w:rPr>
          <w:rFonts w:ascii="Arial" w:cs="Arial" w:eastAsia="Arial" w:hAnsi="Arial"/>
          <w:sz w:val="18"/>
          <w:szCs w:val="18"/>
          <w:color w:val="auto"/>
        </w:rPr>
        <w:t xml:space="preserve"> </w:t>
      </w:r>
      <w:r>
        <w:rPr>
          <w:rFonts w:ascii="Arial" w:cs="Arial" w:eastAsia="Arial" w:hAnsi="Arial"/>
          <w:sz w:val="18"/>
          <w:szCs w:val="18"/>
          <w:color w:val="231F20"/>
        </w:rPr>
        <w:t>liquidity shortages, geopolitical events or otherwise</w:t>
      </w:r>
      <w:r>
        <w:rPr>
          <w:rFonts w:ascii="Arial" w:cs="Arial" w:eastAsia="Arial" w:hAnsi="Arial"/>
          <w:sz w:val="18"/>
          <w:szCs w:val="18"/>
          <w:color w:val="000000"/>
        </w:rPr>
        <w:t>.</w:t>
      </w:r>
    </w:p>
    <w:p>
      <w:pPr>
        <w:spacing w:after="0" w:line="171"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3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8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If we raise additional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would otherwise prefer to develop and market ourselves.</w:t>
      </w:r>
    </w:p>
    <w:p>
      <w:pPr>
        <w:spacing w:after="0" w:line="181"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231F20"/>
        </w:rPr>
        <w:t>Our portfolio of investments or bank deposits may be subject to market, interest and credit risk that may reduce their value and adversely affect our business, results of operations and financial condition.</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231F20"/>
        </w:rPr>
        <w:t>The value of our investments may decline due to interest rate changes, downgrades of the bonds and other securities included in our investment portfolio and instability in the global financial markets that reduces the liquidity of securities included in our portfolio. In addition, future adverse developments with respect to financial institutions or the broader financial services industry may impair our ability to access capital needed to support near-term working capital needs, whether from our existing investment and deposit accounts or otherwise, and may lead to market-wide liquidity shortages and create additional market and economic uncertainty. Furthermore, a possible recession, rising inflation, and ongoing geopolitical events have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the value of our investments may nevertheless decline, and our ability to fund our near-term and long-term working capital needs to support our business and clinical development plans may be adversely affected. In addition, any decline in available funding or access to our cash and liquidity resources could also result in breaches of our financial and/or contractual obligations or result in violations of federal or state wage and hour laws.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14"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If we are unable to successfully develop, obtain regulatory approval and ultimately commercialize any of our current or future product candidates, or experience significant delays in doing so, our business will be materially harmed.</w:t>
      </w:r>
    </w:p>
    <w:p>
      <w:pPr>
        <w:spacing w:after="0" w:line="13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While we are currently conducting our SEACRAFT-2 Phase 3 clinical trial for naporafenib, all of our other programs are still in the preclinical or discovery stage. Our ability to generate product revenue,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79" w:lineRule="exact"/>
        <w:rPr>
          <w:sz w:val="20"/>
          <w:szCs w:val="20"/>
          <w:color w:val="auto"/>
        </w:rPr>
      </w:pPr>
    </w:p>
    <w:p>
      <w:pPr>
        <w:ind w:left="1020" w:right="18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and successful enrollment of clinical trials and timely completion of clinical trials and preclinical studies with favorable results;</w:t>
      </w:r>
    </w:p>
    <w:p>
      <w:pPr>
        <w:spacing w:after="0" w:line="46" w:lineRule="exact"/>
        <w:rPr>
          <w:rFonts w:ascii="Times New Roman" w:cs="Times New Roman" w:eastAsia="Times New Roman" w:hAnsi="Times New Roman"/>
          <w:sz w:val="18"/>
          <w:szCs w:val="18"/>
          <w:color w:val="auto"/>
        </w:rPr>
      </w:pPr>
    </w:p>
    <w:p>
      <w:pPr>
        <w:jc w:val="both"/>
        <w:ind w:left="1020" w:right="120" w:hanging="503"/>
        <w:spacing w:after="0" w:line="300"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allowance to proceed with clinical trials under INDs by the FDA, or under similar regulatory submissions by comparable foreign regulatory authorities for the conduct of clinical trials of our product candidates and our proposed design of future clinical trials;</w:t>
      </w:r>
    </w:p>
    <w:p>
      <w:pPr>
        <w:spacing w:after="0" w:line="23"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frequency and severity of adverse events in clinical trials;</w:t>
      </w:r>
    </w:p>
    <w:p>
      <w:pPr>
        <w:spacing w:after="0" w:line="116"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and establishing relationships with CROs and clinical sites for the clinical development of our product candidates both in the United States and internationally;</w:t>
      </w:r>
    </w:p>
    <w:p>
      <w:pPr>
        <w:spacing w:after="0" w:line="46"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demonstrating the safety, purity, potency and efficacy of our product candidates to the satisfaction of applicable regulatory authorities;</w:t>
      </w:r>
    </w:p>
    <w:p>
      <w:pPr>
        <w:spacing w:after="0" w:line="4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marketing approvals from applicable regulatory authorities, including NDAs and BLAs from the FDA and maintaining such approvals;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making arrangements with our third-party manufacturers for, or establishing, commercial manufacturing capabilities;</w:t>
      </w:r>
    </w:p>
    <w:p>
      <w:pPr>
        <w:spacing w:after="0" w:line="116" w:lineRule="exact"/>
        <w:rPr>
          <w:rFonts w:ascii="Times New Roman" w:cs="Times New Roman" w:eastAsia="Times New Roman" w:hAnsi="Times New Roman"/>
          <w:sz w:val="18"/>
          <w:szCs w:val="18"/>
          <w:color w:val="auto"/>
        </w:rPr>
      </w:pPr>
    </w:p>
    <w:p>
      <w:pPr>
        <w:ind w:left="1020" w:right="78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patent and trade secret protection or regulatory exclusivity for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an acceptable safety profile of our products following approval, if any;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and growing an organization of people who can develop and commercialize our products and technology.</w:t>
      </w:r>
    </w:p>
    <w:p>
      <w:pPr>
        <w:spacing w:after="0" w:line="22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If we are unable to develop, obtain regulatory approval for, or, if approved, successfully commercialize our product candidates, we may not be able to generate sufficient revenue to continue our business.</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Our scientific approach to the discovery and development of product candidates is unproven, and we do not know whether we will be able to develop any products of commercial value, or if competing approaches will limit the commercial value of our product candidates.</w:t>
      </w:r>
    </w:p>
    <w:p>
      <w:pPr>
        <w:spacing w:after="0" w:line="15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products based on our scientific approach, which is singularly focused on shutting down the RAS/MAPK pathway, a novel and unproven approach. While we have had favorable preclinical study results for certain of our development programs, and reported encouraging data from our clinical trials of naporafenib, including SEACRAFT-1, our Phase 1b trial in patients with RAS Q61X solid tumors, we have not yet succeeded and may not succeed in demonstrating efficacy and safety for any product candidates in late-stage clinical trials or in obtaining marketing approvals from the FDA or other regulatory authorities or in commercializing such product candidates. In addition, while we believe our pipeline will yield multiple additional INDs for our development programs in the future, we may not be successful in our discovery efforts, and even if successful, we may not be able to submit INDs and have such INDs accepted to enable us to commence clinical trials on the timelines we expect, if at all. Our research methodology and scientific approach may be unsuccessful in identifying additional product candidates, and any product candidates may be shown to have harmful side effects or may have other characteristics that may necessitate additional clinical testing, or make the product candidates unmarketable or unlikely to receive marketing approval. In particular, using multiple agents to shut down multiple nodes of the RAS/MAPK pathway</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7" w:right="379" w:bottom="1440" w:gutter="0" w:footer="0" w:header="0"/>
        </w:sectPr>
      </w:pPr>
    </w:p>
    <w:bookmarkStart w:id="63" w:name="page64"/>
    <w:bookmarkEnd w:id="63"/>
    <w:p>
      <w:pPr>
        <w:ind w:right="40"/>
        <w:spacing w:after="0" w:line="247" w:lineRule="auto"/>
        <w:rPr>
          <w:sz w:val="20"/>
          <w:szCs w:val="20"/>
          <w:color w:val="auto"/>
        </w:rPr>
      </w:pPr>
      <w:r>
        <w:rPr>
          <w:rFonts w:ascii="Arial" w:cs="Arial" w:eastAsia="Arial" w:hAnsi="Arial"/>
          <w:sz w:val="18"/>
          <w:szCs w:val="18"/>
          <w:color w:val="auto"/>
        </w:rPr>
        <w:t>simultaneously is a novel approach that may have unexpected consequences, including adverse events that preclude successful development and approval of our product candidates. Further, because all of our current product candidates and development programs are based on the RAS/MAPK pathway, adverse developments with respect to one of our programs may have a significant adverse impact on the actual or perceived likelihood of success and value of our other programs.</w:t>
      </w:r>
    </w:p>
    <w:p>
      <w:pPr>
        <w:spacing w:after="0" w:line="17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addition, the biotechnology and biopharmaceutical industries are characterized by rapidly advancing technologies. Our future success will depend in part on our ability to maintain a competitive position with our scientific approach. If we fail to stay at the forefront of technological change in utilizing our approach to create and develop product candidates, we may be unable to compete effectively. Our competitors may render our approach obsolete, or limit the commercial value of our products or product candidates by advances in existing technological approaches or the development of new or different approaches, potentially eliminating the advantages in our drug discovery process that we believe we derive from our approach. By contrast, adverse developments with respect to other companies that attempt to use a similar approach to our approach may adversely impact the actual or perceived value and potential of our product candidates.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If any of these events occur, we may be forced to delay, modify, or abandon our development efforts for a program or programs, which would have a material adverse effect on our business and could potentially cause us to cease operations.</w:t>
      </w:r>
    </w:p>
    <w:p>
      <w:pPr>
        <w:spacing w:after="0" w:line="15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i w:val="1"/>
          <w:iCs w:val="1"/>
          <w:color w:val="auto"/>
        </w:rPr>
        <w:t>Clinical and preclinical development involves a lengthy and expensive process with an uncertain outcome, and the results of preclinical studies and early clinical trials are not necessarily predictive of future results. Any of our product candidates may not have favorable results in clinical trials, if any, or receive regulatory approval on a timely basis, if at all.</w:t>
      </w:r>
    </w:p>
    <w:p>
      <w:pPr>
        <w:spacing w:after="0" w:line="159"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Clinical and preclinical development is expensive and can take many years to complete, and its outcome is inherently uncertain. We cannot guarantee that any clinical trials or preclinical studies will be conducted as planned or completed on schedule, if at all, and failure can occur at any time during the preclinical study or clinical trial process, including due to factors that are beyond our control. Further, we may not be able to meet expected timeframes for data readouts, such as those for our SEACRAFT-2 clinical trial, or our planned AURORAS-1 and BOREALIS-1 clinical trials. Despite promising preclinical or clinical results, any product candidate can unexpectedly fail at any stage of preclinical or clinical development. The historical failure rate for product candidates in our industry is high.</w:t>
      </w:r>
    </w:p>
    <w:p>
      <w:pPr>
        <w:spacing w:after="0" w:line="17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results from preclinical studies or clinical trials of a product candidate or a competitor’s product candidate in the same class may not predict the results of later clinical trials of our product candidate, and interim, topline, or preliminary results of a clinical trial are not necessarily indicative of final results. In addition, clinical trial data across separate trials may not be directly comparable due to differences in trial protocols, conditions and patient populations. Product candidates in later stages of clinical trials may fail to show the desired safety and efficacy characteristics despite having progressed through preclinical studies and initial clinical trials. In particular, while naporafenib plus trametinib was evaluated in several clinical trials that we believe demonstrated PoC in patients with NRAS-mutant melanoma, we do not know how naporafenib plus trametinib will perform in our SEACRAFT-2 Phase 3 clinical trial, whether due to design differences, patient population or otherwise. For these reasons and others, we do not know whether our product candidates will perform in ongoing or future clinical trials as they have performed in prior trials and studies or in preliminary or interim data readouts for ongoing trials. It is not uncommon to observe results in clinical trials that are unexpected based on preclinical studies and early clinical trials, and many product candidates fail in clinical trials despite very promising early results. If unexpected observations or toxicities are observed for any of our development programs, such results may delay or prevent the initiation of clinical trials for such development programs. 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product candidates may fail to demonstrate effectiveness or safety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There can be no assurance that we will not suffer similar setbacks despite the data we observed in earlier or ongoing studies. Based upon negative or inconclusive results, we or any future collaborator may decide, or regulators may require us, to conduct additional preclinical studies or clinical trials, which would cause us to incur additional operating expenses and delays and may not be sufficient to support regulatory approval on a timely basis or at all.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4" w:name="page65"/>
    <w:bookmarkEnd w:id="64"/>
    <w:p>
      <w:pPr>
        <w:spacing w:after="0" w:line="247" w:lineRule="auto"/>
        <w:rPr>
          <w:sz w:val="20"/>
          <w:szCs w:val="20"/>
          <w:color w:val="auto"/>
        </w:rPr>
      </w:pPr>
      <w:r>
        <w:rPr>
          <w:rFonts w:ascii="Arial" w:cs="Arial" w:eastAsia="Arial" w:hAnsi="Arial"/>
          <w:sz w:val="18"/>
          <w:szCs w:val="18"/>
          <w:color w:val="auto"/>
        </w:rPr>
        <w:t>For the foregoing reasons, we cannot be certain that our ongoing and planned clinical trials and preclinical studies will be successful.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17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i w:val="1"/>
          <w:iCs w:val="1"/>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15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studies to demonstrate the safety, purity, potency and efficacy of the product candidates in humans. Before we can initiate clinical trials for our preclinical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application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 Moreover, even if these trials begin, issues may arise that could cause regulatory authorities to suspend or terminate such clinical trials. Any delays in the commencement or completion of our ongoing and planned clinical trials for our current and any future product candidate could significantly affect our product development timelines and product development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do not know whether our planned trials will begin on time or if our ongoing or future clinical trials will be completed on schedule, if at all.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commencement, data readouts and completion of clinical trials can be delayed for a number of reasons, including delays related to:</w:t>
      </w:r>
    </w:p>
    <w:p>
      <w:pPr>
        <w:spacing w:after="0" w:line="99" w:lineRule="exact"/>
        <w:rPr>
          <w:sz w:val="20"/>
          <w:szCs w:val="20"/>
          <w:color w:val="auto"/>
        </w:rPr>
      </w:pPr>
    </w:p>
    <w:p>
      <w:pPr>
        <w:ind w:left="1020" w:right="34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generate sufficient preclinical, toxicology, or other in vivo or in vitro data to support the initiation or continuation of clinical trial;</w:t>
      </w:r>
    </w:p>
    <w:p>
      <w:pPr>
        <w:spacing w:after="0" w:line="46"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allowances or authorizations to commence a trial or reaching a consensus with regulatory authorities on trial design;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11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approval from one or more IRBs at clinical trial sites;</w:t>
      </w:r>
    </w:p>
    <w:p>
      <w:pPr>
        <w:spacing w:after="0" w:line="116" w:lineRule="exact"/>
        <w:rPr>
          <w:rFonts w:ascii="Times New Roman" w:cs="Times New Roman" w:eastAsia="Times New Roman" w:hAnsi="Times New Roman"/>
          <w:sz w:val="18"/>
          <w:szCs w:val="18"/>
          <w:color w:val="auto"/>
        </w:rPr>
      </w:pPr>
    </w:p>
    <w:p>
      <w:pPr>
        <w:ind w:left="1020" w:right="58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IRBs refusing to approve, suspending or terminating the trial at an investigational site, precluding enrollment of additional subjects, or withdrawing their approval of the trial;</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the clinical trial protocol;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sites deviating from the trial protocol or dropping out of a trial;</w:t>
      </w:r>
    </w:p>
    <w:p>
      <w:pPr>
        <w:spacing w:after="0" w:line="116" w:lineRule="exact"/>
        <w:rPr>
          <w:rFonts w:ascii="Times New Roman" w:cs="Times New Roman" w:eastAsia="Times New Roman" w:hAnsi="Times New Roman"/>
          <w:sz w:val="18"/>
          <w:szCs w:val="18"/>
          <w:color w:val="auto"/>
        </w:rPr>
      </w:pPr>
    </w:p>
    <w:p>
      <w:pPr>
        <w:ind w:left="1020" w:right="76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us or our CROs to perform in accordance with GCP requirements or applicable regulatory guidelines in other countries;</w:t>
      </w:r>
    </w:p>
    <w:p>
      <w:pPr>
        <w:spacing w:after="0" w:line="46"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sufficient quantities of product candidates or obtaining sufficient quantities of combination therapies for use in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subjects failing to enroll or remain in our trials at the rate we expect, or failing to return for post-treatment follow-up;</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patients choosing alternative treatments for the indications for which we are developing our product candidates, or participating in competing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lack of adequate funding to continue the clinical trials or costs being greater than we anticipate;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subjects experiencing severe or unexpected drug-related adverse effects;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occurrence of serious adverse events in trials of the same class of agents conducted by other companies;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3" w:right="379" w:bottom="1440" w:gutter="0" w:footer="0" w:header="0"/>
        </w:sectPr>
      </w:pPr>
    </w:p>
    <w:bookmarkStart w:id="65" w:name="page66"/>
    <w:bookmarkEnd w:id="65"/>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transfer of manufacturing processes to larger-scale facilities operated by a CMO, delays or failure by our CMOs or us to make any necessary changes to such manufacturing process, or failure of our CMOs to produce clinical trial materials in accordance with cGMP regulations or other applicable requirements; and</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being unwilling or unable to satisfy their contractual obligations to us in a timely manner.</w:t>
      </w:r>
    </w:p>
    <w:p>
      <w:pPr>
        <w:spacing w:after="0" w:line="22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86"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Further, our conduct of clinical trials in foreign countries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including war, relevant to such foreign countries.</w:t>
      </w:r>
    </w:p>
    <w:p>
      <w:pPr>
        <w:spacing w:after="0" w:line="17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addition, many of the factors that cause, or lead to, the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87"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encounter difficulties enrolling subjects in our clinical trials, our clinical development activities could be delayed or otherwise adversely affected.</w:t>
      </w:r>
    </w:p>
    <w:p>
      <w:pPr>
        <w:spacing w:after="0" w:line="13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identify and enroll a sufficient number of eligible patients to participate in these trials as required by the FDA or similar regulatory authorities outside the United States. Subject enrollment, a significant factor in the timeline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competing clinical trials and clinicians’ and patients’ perceptions as to the potential advantages and risks of the product candidate being studied in relation to other available therapies, including any new products that may be approved for the indications we are investigating as well as any product candidates under development. We will be required to identify and enroll a sufficient number of subjects for each of our clinical trials. Potential subjects for any planned clinical trials may not be adequately diagnosed or identified with the diseases which we are targeting or may not meet the entry criteria for such trials. In particular, because certain of our product candidates are focused on patients with specific molecular alterations within the RAS/MAPK pathway, our ability to enroll eligible patients may be limited or may result in slower enrollment than we anticipate. We also may encounter difficulties in identifying and enrolling patients with a stage of disease appropriate for our planned clinical trials and monitoring such patients adequately during and after treatment. Additionally, other pharmaceutical companies targeting these same types of cancer are recruiting clinical trial patients from these patient populations, which may make it more difficult to fully enroll our clinical trials. We may not be able to initiate or continue clinical trials if we are unable to locate a sufficient number of eligible subjects to participate in the clinical trials required by the FDA or comparable foreign regulatory authorities. In addition, the process of finding and diagnosing patients may prove costly. The timing of our clinical trials depends, in part, on the speed at which we can recruit patients to participate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spacing w:after="0" w:line="238" w:lineRule="auto"/>
        <w:rPr>
          <w:sz w:val="20"/>
          <w:szCs w:val="20"/>
          <w:color w:val="auto"/>
        </w:rPr>
      </w:pPr>
      <w:r>
        <w:rPr>
          <w:rFonts w:ascii="Arial" w:cs="Arial" w:eastAsia="Arial" w:hAnsi="Arial"/>
          <w:sz w:val="18"/>
          <w:szCs w:val="18"/>
          <w:color w:val="auto"/>
        </w:rPr>
        <w:t>in our trials, as well as completion of required follow-up periods. The eligibility criteria of our clinical trials, once established, will further limit the pool of available trial participants. If patients are unwilling to participate in our trials for any reason, including the existence of concurrent clinical trials for similar patient populations, the availability of approved therapies, or we otherwise have difficulty enrolling a sufficient number of patients, the timeline for recruiting subjects, conducting studies and obtaining regulatory approval of our product candidates may be delayed. Additionally, because our clinical trials are in patients with relapsed/refractory cancer, the patients are typically in the late stages of their disease and may experience disease progression independent from our product candidates, making them unevaluable for purposes of the clinical trial and requiring additional patient enrollment. Our inability to enroll a sufficient number of subjects for any of our future clinical trials would result in significant delays or may require us to abandon one or more clinical trials altogether. In addition, we expect to rely on CROs and clinical trial sites to ensure proper and timely conduct of our future clinical trials and, while we have entered into agreements governing their services, we have limited influence over their actual performance. We cannot assure you that our assumptions used in determining expected clinical trial timelines are correct or that we will not experience delays in enrollment, which would result in the delay of completion of such trials beyond our expected timelines.</w:t>
      </w:r>
    </w:p>
    <w:p>
      <w:pPr>
        <w:spacing w:after="0" w:line="185" w:lineRule="exact"/>
        <w:rPr>
          <w:sz w:val="20"/>
          <w:szCs w:val="20"/>
          <w:color w:val="auto"/>
        </w:rPr>
      </w:pPr>
    </w:p>
    <w:p>
      <w:pPr>
        <w:ind w:right="420"/>
        <w:spacing w:after="0" w:line="249" w:lineRule="auto"/>
        <w:rPr>
          <w:sz w:val="20"/>
          <w:szCs w:val="20"/>
          <w:color w:val="auto"/>
        </w:rPr>
      </w:pPr>
      <w:r>
        <w:rPr>
          <w:rFonts w:ascii="Arial" w:cs="Arial" w:eastAsia="Arial" w:hAnsi="Arial"/>
          <w:sz w:val="18"/>
          <w:szCs w:val="18"/>
          <w:b w:val="1"/>
          <w:bCs w:val="1"/>
          <w:i w:val="1"/>
          <w:iCs w:val="1"/>
          <w:color w:val="auto"/>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16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is the case with oncology drugs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when used alone or in combination with other approved or investigational drugs or biologics could cause us or regulatory authorities to interrupt, delay or halt clinical trials and could result in a more restrictive label, or lead to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Unacceptable enhancement of certain toxicities may be seen when our product candidates are combined with standard of care therapies, or when they are used as single agents. We may also be required to modify our development and clinical trial plans based on findings in our ongoing clinical trials. Many compounds that initially showed promise in early-stage testing for treating cancer have later been found to cause side effects that prevented further development of the compound. In addition, regulatory authorities may draw different conclusions or require additional testing to confirm these determinations.</w:t>
      </w:r>
    </w:p>
    <w:p>
      <w:pPr>
        <w:spacing w:after="0" w:line="18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these product candidates becomes more widespread if they receive regulatory approval, illnesses, injuries, discomforts and other adverse events that were observed in earlier trials, as well as conditions that did not occur or went undetected in previous trials, may be reported by subjects. If such side effects become known later in development or upon approval, if any, such findings may harm our business, financial condition and prospects significantly.</w:t>
      </w:r>
    </w:p>
    <w:p>
      <w:pPr>
        <w:spacing w:after="0" w:line="17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addition, we plan to study our product candidates in combination with other therapies, including those that are also known to act on the RAS/MAPK pathway, which may exacerbate adverse events associated with such product candidates. Patients treated with our product candidates may also be undergoing surgical, radiation and chemotherapy treatments, which can cause side effects or adverse events that are unrelated to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 which has occurred in the past.</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67" w:name="page68"/>
    <w:bookmarkEnd w:id="67"/>
    <w:p>
      <w:pPr>
        <w:ind w:right="420"/>
        <w:spacing w:after="0" w:line="271" w:lineRule="auto"/>
        <w:rPr>
          <w:sz w:val="20"/>
          <w:szCs w:val="20"/>
          <w:color w:val="auto"/>
        </w:rPr>
      </w:pPr>
      <w:r>
        <w:rPr>
          <w:rFonts w:ascii="Arial" w:cs="Arial" w:eastAsia="Arial" w:hAnsi="Arial"/>
          <w:sz w:val="18"/>
          <w:szCs w:val="18"/>
          <w:color w:val="auto"/>
        </w:rPr>
        <w:t>In addition, if one or more of our product candidates receives marketing approval, and we or others later identify undesirable side effects caused by such product, a number of potentially significant negative consequences could result, including:</w:t>
      </w:r>
    </w:p>
    <w:p>
      <w:pPr>
        <w:spacing w:after="0" w:line="59" w:lineRule="exact"/>
        <w:rPr>
          <w:sz w:val="20"/>
          <w:szCs w:val="20"/>
          <w:color w:val="auto"/>
        </w:rPr>
      </w:pPr>
    </w:p>
    <w:p>
      <w:pPr>
        <w:ind w:left="1020" w:right="4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withdraw, suspend or limit approvals of such product, or seek an injunction against its manufacture or distribution;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on the label, such as a “black box” warning or a contraindication;</w:t>
      </w:r>
    </w:p>
    <w:p>
      <w:pPr>
        <w:spacing w:after="0" w:line="116"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implement a risk evaluation and mitigation strategy (REMS) or create a medication guide outlining the risks of such side effects for distribution to patients;</w:t>
      </w:r>
    </w:p>
    <w:p>
      <w:pPr>
        <w:spacing w:after="0" w:line="46"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change the way a product is distributed or administered, conduct additional clinical trials or change the labeling of a product or be required to conduct additional post-marketing studies or surveillance;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sued and held liable for harm caused to patients;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sales of the product may decrease significantly or the product could become less competitive;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2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an organization, we may be unable to complete clinical trials for any of our product candidates.</w:t>
      </w:r>
    </w:p>
    <w:p>
      <w:pPr>
        <w:spacing w:after="0" w:line="21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never completed any later-stage or pivotal clinical trials and we will need to successfully complete later-stage and pivotal clinical trials in order to obtain FDA or comparable foreign regulatory approval to market our product candidates. Carrying out later-stage clinical trials and the submission of a successful NDA or BLA or similar regulatory submissions to comparable foreign regulatory authorities is a complicated process. We also have limited experience as a company in preparing, submitting and prosecuting regulatory filings and have not previously submitted an NDA, BLA or other comparable foreign regulatory submission for any product candidate. We are also conducting and plan to conduct a number of clinical trials for multiple product candidates in parallel over the next several years, which may be a difficult process to manage with our limited resources and which may divert the attention of management. In addition, we have had limited interactions with the FDA or other comparable foreign regulatory authorities, and cannot be certain how many additional clinical trials of our product candidates will be required or how such trials should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marketing applications, including NDAs and BLAs, and commercializing our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intend to develop our product candidates in combination with other therapies, which exposes us to additional risks.</w:t>
      </w:r>
    </w:p>
    <w:p>
      <w:pPr>
        <w:spacing w:after="0" w:line="21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intend to develop our current and any future product candidates for use in combination with one or more currently approved cancer therapies. Even if any product candidate we develop was to receive marketing approval or be commercialized for use in combination with other existing therapies, we would continue to bear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biologics or for indications other than cancer. Developing combination therapies using approved therapeutics, as we plan to do for our product candidates, also exposes us to additional clinical risks, such as the requirement that we demonstrate the safety and efficacy of each active component of any combination regimen we may develop.</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addition, we may evaluate our product candidates in combination with one or more other cancer therapies that have not yet been approved for marketing by the FDA or similar foreign regulatory authorities. We may not be able to market and sell any product candidate we develop in combination with any such unapproved cancer therapies that do not ultimately obtain marketing approval.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8" w:name="page69"/>
    <w:bookmarkEnd w:id="68"/>
    <w:p>
      <w:pPr>
        <w:ind w:right="80"/>
        <w:spacing w:after="0" w:line="253" w:lineRule="auto"/>
        <w:rPr>
          <w:sz w:val="20"/>
          <w:szCs w:val="20"/>
          <w:color w:val="auto"/>
        </w:rPr>
      </w:pPr>
      <w:r>
        <w:rPr>
          <w:rFonts w:ascii="Arial" w:cs="Arial" w:eastAsia="Arial" w:hAnsi="Arial"/>
          <w:sz w:val="18"/>
          <w:szCs w:val="18"/>
          <w:color w:val="auto"/>
        </w:rPr>
        <w:t>If the FDA or similar foreign regulatory authorities do not approve these other combination agents or revoke their approval of, or if safety, efficacy, manufacturing, or supply issues arise with the drugs or biologics we choose to evaluate in combination with our product candidates, we may be unable to obtain approval of or market our product candidates for combination therapy regimens.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162"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4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clinical development, manufacturing, labeling, storage, record-keeping, advertising, promotion, import, export, marketing and distribution of our product candidates are subject to extensive regulation by the FDA in the U.S. and by comparable foreign regulatory authorities in foreign markets. In the U.S., we are not permitted to market our product candidates in the U.S. until we receive regulatory approval of a BLA or NDA from the FDA.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and comparable regulatory have substantial discretion in the approval process, including the ability to delay, limit or deny approval of a product candidate for many reasons. Despite the time and expense invested in clinical development of product candidates, regulatory approval of a product candidate is never guaranteed. Of the large number of drugs in development, only a small percentage successfully complete the FDA or foreign regulatory approval processes and are commercialized.</w:t>
      </w:r>
    </w:p>
    <w:p>
      <w:pPr>
        <w:spacing w:after="0" w:line="16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Prior to obtaining approval to commercialize a product candidate in the U.S. or abroad, we must demonstrate with substantial evidence from adequate and well-controlled clinical trials, and to the satisfaction of the FDA or comparable foreign regulatory authorities, that such product candidates are safe and effective for their intended uses, and in the case of biological products in the U.S., that such product candidates are safe, pure and potent for their intended uses. Results from nonclinical studies and clinical trials can be interpreted in different ways. Even if we believe available nonclinical or clinical data support the safety purity, potency and/or efficacy of our product candidates, such data may not be sufficient to obtain approval from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 While we believe that we have reached alignment with US and European health authorities on the design of our global SEACRAFT-2 registrational trial, later developments with the FDA or European health authorities that may be inconsistent with our beliefs in the outcome of regulatory meetings, including that our planned SEACRAFT-2 trial, if successful, could support the registration of naporafenib.</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FDA or comparable foreign regulatory authorities can delay, limit or deny approval of a product candidate for many reasons, including:</w:t>
      </w:r>
    </w:p>
    <w:p>
      <w:pPr>
        <w:spacing w:after="0" w:line="10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such authorities may disagree with the design or execution of our clinical trials;</w:t>
      </w:r>
    </w:p>
    <w:p>
      <w:pPr>
        <w:spacing w:after="0" w:line="116" w:lineRule="exact"/>
        <w:rPr>
          <w:rFonts w:ascii="Times New Roman" w:cs="Times New Roman" w:eastAsia="Times New Roman" w:hAnsi="Times New Roman"/>
          <w:sz w:val="18"/>
          <w:szCs w:val="18"/>
          <w:color w:val="auto"/>
        </w:rPr>
      </w:pPr>
    </w:p>
    <w:p>
      <w:pPr>
        <w:ind w:left="1020" w:right="124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negative or ambiguous results from our clinical trials or results may not meet the level of statistical significance or persuasiveness required by the FDA or comparable foreign regulatory agencies for approval;</w:t>
      </w:r>
    </w:p>
    <w:p>
      <w:pPr>
        <w:spacing w:after="0" w:line="4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serious and unexpected drug-related side effects may be experienced by participants in our clinical trials or by individuals using drugs similar to our product candidates;</w:t>
      </w:r>
    </w:p>
    <w:p>
      <w:pPr>
        <w:spacing w:after="0" w:line="4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4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such authorities may not accept clinical data from trials that are conducted at clinical facilities or in countries where the standard of care is potentially different from that of their own country;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left="1020" w:right="20" w:hanging="503"/>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such authorities may not agree that the data collected from clinical trials of our product candidates are acceptable or sufficient to support the submission of a BLA, NDA or other submission or to obtain regulatory approval in the U.S. or elsewhere, and such authorities may impose requirements for additional preclinical studies or clinical trials;</w:t>
      </w:r>
    </w:p>
    <w:p>
      <w:pPr>
        <w:spacing w:after="0" w:line="62" w:lineRule="exact"/>
        <w:rPr>
          <w:rFonts w:ascii="Times New Roman" w:cs="Times New Roman" w:eastAsia="Times New Roman" w:hAnsi="Times New Roman"/>
          <w:sz w:val="18"/>
          <w:szCs w:val="18"/>
          <w:color w:val="auto"/>
        </w:rPr>
      </w:pPr>
    </w:p>
    <w:p>
      <w:pPr>
        <w:ind w:left="1020" w:right="6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such authorities may disagree with us regarding the formulation, labeling and/or the product specifications of our product candidates;</w:t>
      </w:r>
    </w:p>
    <w:p>
      <w:pPr>
        <w:spacing w:after="0" w:line="46"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approval may be granted only for indications that are significantly more limited than those sought by us, and/or may include significant restrictions on distribution and use;</w:t>
      </w:r>
    </w:p>
    <w:p>
      <w:pPr>
        <w:spacing w:after="0" w:line="46"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such authorities may find deficiencies in the manufacturing processes or facilities of the third-party manufacturers with which we contract for clinical and commercial supplies; or</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21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With respect to foreign markets, approval procedures vary among countries and, in addition to the foregoing risks, may involve additional product testing, administrative review periods and agreements with pricing authorities. Even if we eventually complete clinical trials and receive approval of a BLA, NDA or comparable foreign marketing application for our product candidates, the FDA or comparable foreign regulatory authority may grant approval contingent on the performance of costly additional clinical trials and/or the implementation of a REMS, which may be required because the FDA believes it is necessary to ensure safe use of the product after approval. Any delay in obtaining, or inability to obtain, applicable regulatory approval would delay or prevent commercialization of that product candidate and would materially adversely impact our business and prospects.</w:t>
      </w:r>
    </w:p>
    <w:p>
      <w:pPr>
        <w:spacing w:after="0" w:line="18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b w:val="1"/>
          <w:bCs w:val="1"/>
          <w:i w:val="1"/>
          <w:iCs w:val="1"/>
          <w:color w:val="auto"/>
        </w:rPr>
        <w:t>Because we have a number of product candidates and development programs in our pipeline, we may expend our limited resources to pursue a particular product candidate and fail to capitalize on product candidates or indications that may be more profitable or for which there is a greater likelihood of success.</w:t>
      </w:r>
    </w:p>
    <w:p>
      <w:pPr>
        <w:spacing w:after="0" w:line="15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Because we have limited financial and managerial resources, we focus on specific product candidates, development programs and indications. We are also conducting and plan to conduct several clinical trials for multiple product candidates in parallel over the next several years, which may make our decision as to which product candidates to focus on more difficult. As a result, we may forgo or delay pursuit of opportunities with other product candidates that could have had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collaborations, licenses and other similar arrangements in cases in which it would have been more advantageous for us to retain sole development and commercialization rights to such product candidate.</w:t>
      </w:r>
    </w:p>
    <w:p>
      <w:pPr>
        <w:spacing w:after="0" w:line="18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81" w:lineRule="exact"/>
        <w:rPr>
          <w:sz w:val="20"/>
          <w:szCs w:val="20"/>
          <w:color w:val="auto"/>
        </w:rPr>
      </w:pPr>
    </w:p>
    <w:p>
      <w:pPr>
        <w:ind w:right="740"/>
        <w:spacing w:after="0" w:line="278" w:lineRule="auto"/>
        <w:rPr>
          <w:sz w:val="20"/>
          <w:szCs w:val="20"/>
          <w:color w:val="auto"/>
        </w:rPr>
      </w:pPr>
      <w:r>
        <w:rPr>
          <w:rFonts w:ascii="Arial" w:cs="Arial" w:eastAsia="Arial" w:hAnsi="Arial"/>
          <w:sz w:val="18"/>
          <w:szCs w:val="18"/>
          <w:b w:val="1"/>
          <w:bCs w:val="1"/>
          <w:i w:val="1"/>
          <w:iCs w:val="1"/>
          <w:color w:val="auto"/>
        </w:rPr>
        <w:t>We may not be able to obtain or maintain orphan designations for any of our product candidates, and we may be unable to maintain the benefits associated with orphan drug designation, including the potential for market exclusivity.</w:t>
      </w:r>
    </w:p>
    <w:p>
      <w:pPr>
        <w:spacing w:after="0" w:line="13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may seek orphan drug designation (ODD) for our product candidates; however, we may never receive such designations. Under the Orphan Drug Act of 1983, the FDA may designate a product as an orphan product candidate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or biologic will be recovered from sales in the United States. ODD must be requested before submitting an NDA or BLA.</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0" w:name="page71"/>
    <w:bookmarkEnd w:id="70"/>
    <w:p>
      <w:pPr>
        <w:ind w:right="140"/>
        <w:spacing w:after="0" w:line="242" w:lineRule="auto"/>
        <w:rPr>
          <w:sz w:val="20"/>
          <w:szCs w:val="20"/>
          <w:color w:val="auto"/>
        </w:rPr>
      </w:pPr>
      <w:r>
        <w:rPr>
          <w:rFonts w:ascii="Arial" w:cs="Arial" w:eastAsia="Arial" w:hAnsi="Arial"/>
          <w:sz w:val="18"/>
          <w:szCs w:val="18"/>
          <w:color w:val="auto"/>
        </w:rPr>
        <w:t>In the United States, ODD entitles a party to financial incentives such as opportunities for grant funding toward clinical trial costs, tax advantages and user-fee waivers. In addition, if a product candidate that has ODD subsequently receives the first FDA approval for the disease or condition for which it has such designation, the product is entitled to orphan drug exclusivity, which means that the FDA may not approve any other applications, including an NDA or BLA, to market the same product for the same disease or condition for seven years, except in limited circumstances, such as a showing of clinical superiority to the product with orphan drug exclusivity or where the manufacturer is unable to assure sufficient product quantity.</w:t>
      </w:r>
    </w:p>
    <w:p>
      <w:pPr>
        <w:spacing w:after="0" w:line="17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Even if we obtain orphan drug exclusivity for a product, such exclusivity may not effectively protect the product from competition because different drugs and biologics can be approved for the same disease or condition. Even after an orphan drug or biologic is approved, the FDA or comparable foreign regulatory authority can subsequently approve the same drug or biologic for the same condition if such regulatory authority concludes that the later drug or biologic is clinically superior because it is shown to be safer, more effective or makes a major contribution to patient care. Orphan drug exclusivity may also be lost if the FDA later determines that the initial request for designation was materially defective, or if the sponsor seeks approval for an indication broader than the designated indication. In addition, orphan drug exclusivity does not prevent the FDA from approving competing drugs or biologics containing a different active ingredient for the same disease or condition. In addition, if a subsequent drug or biologic is approved for marketing for the same or a similar disease or condition as any of our product candidates that receive marketing approval, we may face increased competition and lose market share regardless of orphan drug exclusivity. ODD neither shortens the development time or regulatory review time of a drug nor gives the drug any advantage in the regulatory review or approval process.</w:t>
      </w:r>
    </w:p>
    <w:p>
      <w:pPr>
        <w:spacing w:after="0" w:line="17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Where applicable, we also may seek comparable designations for our product candidates in other jurisdictions, which may have differing requirements and would also include risks of not being granted and/or not being effective in protecting the product from competition.</w:t>
      </w:r>
    </w:p>
    <w:p>
      <w:pPr>
        <w:spacing w:after="0" w:line="15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i w:val="1"/>
          <w:iCs w:val="1"/>
          <w:color w:val="auto"/>
        </w:rPr>
        <w:t>We are currently conducting and may in the future conduct certain of our clinical trials for our product candidates outside of the United States. However, the FDA and other foreign equivalents may not accept data from such trials, in which case our development plans will be delayed, which could materially harm our business.</w:t>
      </w:r>
    </w:p>
    <w:p>
      <w:pPr>
        <w:spacing w:after="0" w:line="15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currently conducting and may in the future conduct one or more of our clinical trials for our product candidates outside the United States.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regardless of whether such clinical trials were conducted under an IND,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clinical trial data are not intended to serve as the sole basis for approval, if the clinical trial was not otherwise subject to an IND, the FDA will not accept the data as support for an application for marketing approval unless the trial was conducted in accordance with 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foreign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foreign exchange fluctuations;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inconsistent standards for reporting and evaluating clinical data and adverse events;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cultural differences in medical practice and clinical research; and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71" w:name="page72"/>
    <w:bookmarkEnd w:id="71"/>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diminished protection of intellectual property in some countries.</w:t>
      </w:r>
    </w:p>
    <w:p>
      <w:pPr>
        <w:spacing w:after="0" w:line="21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preliminary data we previously published. As a result, top-line and preliminary data should be viewed with caution until the final data are available. We may also disclose interim data from our clinical trials.</w:t>
      </w:r>
    </w:p>
    <w:p>
      <w:pPr>
        <w:spacing w:after="0" w:line="170"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Interim data from clinical trials that we may complete are also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spacing w:after="0" w:line="16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8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(or a similar expedited approval mechanism from a comparable foreign regulatory authority), if our confirmatory trials do not verify clinical benefit, or if we do not comply with rigorous post-marketing requirements, the FDA (or comparable foreign regulatory authority) may seek to withdraw any accelerated approval we have obtained.</w:t>
      </w:r>
    </w:p>
    <w:p>
      <w:pPr>
        <w:spacing w:after="0" w:line="17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may in the future seek an expedited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or biologic over available therapy may not be a direct therapeutic advantage, but is a clinically important improvement from a patient and public health perspective. If granted, accelerated approval and conditional approval are usually contingent on the sponsor’s agreement to conduct, in a diligent manner, confirmatory studies to verify and describe the drug’s clinical benefit. If such confirmatory studies fail to confirm the drug or biologic’s clinical benefit or are not completed in a timely manner, the FDA may withdraw its approval of the drug or biologic on an expedited basis. In addition, in December 2022, former President Biden signed an omnibus appropriations bill to fund the US government through fiscal year 2023. Included in that omnibus bill was the Food and Drug Omnibus Reform Act of 2022, which among other things, provided the FDA statutory authority to mitigate potential risks to patients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2" w:name="page73"/>
    <w:bookmarkEnd w:id="72"/>
    <w:p>
      <w:pPr>
        <w:ind w:right="560"/>
        <w:spacing w:after="0" w:line="271" w:lineRule="auto"/>
        <w:rPr>
          <w:sz w:val="20"/>
          <w:szCs w:val="20"/>
          <w:color w:val="auto"/>
        </w:rPr>
      </w:pPr>
      <w:r>
        <w:rPr>
          <w:rFonts w:ascii="Arial" w:cs="Arial" w:eastAsia="Arial" w:hAnsi="Arial"/>
          <w:sz w:val="18"/>
          <w:szCs w:val="18"/>
          <w:color w:val="auto"/>
        </w:rPr>
        <w:t>from continued marketing of ineffective drugs previously granted accelerated approval. Under these provisions, the FDA may require a sponsor of a product seeking accelerated approval to have a confirmatory trial underway prior to such approval being granted.</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Prior to seeking approval for any of our product candidates, we intend to seek feedback from the applicable health authorities, such as the FDA and will otherwise evaluate our ability to seek and receive accelerated or conditional approval. There can be no assurance that after our evaluation of the feedback and other factors we will decide to pursue or submit an NDA, BLA, or comparable foreign marketing application for accelerated approval or any other form of expedited development, review or approval.</w:t>
      </w:r>
    </w:p>
    <w:p>
      <w:pPr>
        <w:spacing w:after="0" w:line="160"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Furthermore, if we decide to submit an application for accelerated approval for our product candidates, there can be no assurance that such submission or application will be accepted or that any expedited development, review or approval will be granted on a timely basis, or at all. The FDA or other comparable foreign regulatory authority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67"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A Fast Track Designation may not lead to faster development or regulatory review or approval process, and it does not increase the likelihood that our product candidates will receive marketing approval.</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have obtained FTD from the FDA for naporafenib, in combination with trametinib, for the treatment of adult patients with unresectable or metastatic melanoma who have progressed on, or are intolerant to, an anti-PD-L1-based regimen, and whose tumors contain an NRAS mutation, and we may seek additional FTDs for our current or future product candidates. The Fast Track program is intended to expedite or facilitate the process for reviewing new product candidates that meet certain criteria. Specifically, drugs and biologic are eligible for FTD if they are intended, alone or in combination with one or more drugs or biologics, to treat a serious or life-threatening disease or condition and demonstrate the potential to address unmet medical needs for the disease or condition. FTD applies to the combination of the product candidate and the specific indication for which it is being studied. FTD allows for close and frequent interaction with the FDA during product development and, once a BLA or NDA is submitted, the application may be eligible for priority review. An NDA or BLA submitted for a Fast Track product candidate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or BLA and determines that the schedule is acceptable, and the sponsor pays any required user fees upon submission of the first section of the application.</w:t>
      </w:r>
    </w:p>
    <w:p>
      <w:pPr>
        <w:spacing w:after="0" w:line="169"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The FDA has broad discretion whether or not to grant this designation. Even if we believe a particular product candidate is eligible for this designation, we cannot assure you that the FDA would decide to grant it. Even if we do receive FTD for any of our product candidates, FTD does not guarantee FDA approval or expedited review for any application for the product candidate. The receipt of such a designation for a product candidate may not result in a faster development process, review, or approval compared to product candidates considered for approval under conventional FDA procedures and does not assure ultimate marketing approval by the FDA. In addition, the FDA may later decide that the product candidate no longer meets the FTD criteria.</w:t>
      </w:r>
    </w:p>
    <w:p>
      <w:pPr>
        <w:spacing w:after="0" w:line="18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3" w:name="page74"/>
    <w:bookmarkEnd w:id="73"/>
    <w:p>
      <w:pPr>
        <w:ind w:right="100"/>
        <w:spacing w:after="0" w:line="244" w:lineRule="auto"/>
        <w:rPr>
          <w:sz w:val="20"/>
          <w:szCs w:val="20"/>
          <w:color w:val="auto"/>
        </w:rPr>
      </w:pPr>
      <w:r>
        <w:rPr>
          <w:rFonts w:ascii="Arial" w:cs="Arial" w:eastAsia="Arial" w:hAnsi="Arial"/>
          <w:sz w:val="18"/>
          <w:szCs w:val="18"/>
          <w:color w:val="auto"/>
        </w:rPr>
        <w:t>Separately, in response to the COVID-19 pandemic, the FDA postponed most inspections at domestic and foreign manufacturing facilities at various points. If a prolonged government shutdown occurs, or if renewed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8"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b w:val="1"/>
          <w:bCs w:val="1"/>
          <w:i w:val="1"/>
          <w:iCs w:val="1"/>
          <w:color w:val="auto"/>
        </w:rPr>
        <w:t>If we are required by the FDA or comparable foreign regulatory authority to obtain approval of a companion diagnostic test in connection with approval of any of our product candidates, and we do not obtain or face delays in obtaining FDA or foreign approval of a diagnostic device, we may not be able to commercialize such product candidate and our ability to generate revenue will be materially impaired.</w:t>
      </w:r>
    </w:p>
    <w:p>
      <w:pPr>
        <w:spacing w:after="0" w:line="16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If safe and effective use of any of our product candidates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that is not otherwise commercially available, then the FDA generally may require approval or clearance of that diagnostic, known as a companion diagnostic, at the same time that the FDA approves our product candidates, if at all.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develop or obtain one that would be subject to regulatory approval requirements. The process of obtaining or creating such diagnostics is time-consuming and costly.</w:t>
      </w:r>
    </w:p>
    <w:p>
      <w:pPr>
        <w:spacing w:after="0" w:line="18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Companion diagnostics are developed in conjunction with clinical programs for the associated product and are subject to regulation as medical devices by the FDA and comparable regulatory authorities, and the FDA has generally required premarket approval of companion diagnostics for cancer therapies.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7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If the FDA or a comparable regulatory authority requires approval of a companion diagnostic for any of our product candidates, whether before, simultaneously with, or after such candidate obtains marketing approval, if ever, we, and/or future collaborators, may encounter difficulties in developing and obtaining approval for such companion diagnostic. Any delay or failure by us or third-party collaborators to develop or obtain regulatory approval of a companion diagnostic could delay or prevent approval or continued marketing of such product candidate.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 if approved, on a timely or profitable basis, if at 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preclinical studies.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w:t>
      </w:r>
    </w:p>
    <w:p>
      <w:pPr>
        <w:spacing w:after="0" w:line="15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are dependent on third parties to conduct our clinical trials and preclinical studies. Specifically, we have used and relied on, and intend to continue to use and rely on, medical institutions, academic institutions, clinical investigators, CROs and consultants to conduct our preclinical studies and clinical trials in accordance with our clinical protocols, regulatory requirements and industry standards. These CROs, investigators and other third parties play a significant role in the conduct and timing of these trials and studies, and the subsequent collection and analysis of data. While we have and will have agreements governing the activities of our third-party contractors, we have limited influence over their actual performance. Nevertheless, we are responsible for ensuring that each of our clinical trials and preclinical studies is conducted in accordance with the applicable protocol and legal, regulatory and scientific standards, and our reliance on our CROs and other third parties does not relieve us of our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candidates and products produced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right="20"/>
        <w:spacing w:after="0" w:line="271" w:lineRule="auto"/>
        <w:rPr>
          <w:sz w:val="20"/>
          <w:szCs w:val="20"/>
          <w:color w:val="auto"/>
        </w:rPr>
      </w:pPr>
      <w:r>
        <w:rPr>
          <w:rFonts w:ascii="Arial" w:cs="Arial" w:eastAsia="Arial" w:hAnsi="Arial"/>
          <w:sz w:val="18"/>
          <w:szCs w:val="18"/>
          <w:color w:val="auto"/>
        </w:rPr>
        <w:t>under cGMP regulations. Our failure to comply with these regulations may require us to repeat clinical trials, which would delay the regulatory approval process.</w:t>
      </w:r>
    </w:p>
    <w:p>
      <w:pPr>
        <w:spacing w:after="0" w:line="15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are expected to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NDA or BLA we submit. Any such delay or rejection could prevent us from commercializing our product candidates.</w:t>
      </w:r>
    </w:p>
    <w:p>
      <w:pPr>
        <w:spacing w:after="0" w:line="18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82"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i w:val="1"/>
          <w:iCs w:val="1"/>
          <w:color w:val="auto"/>
        </w:rPr>
        <w:t>We rely on third parties for the manufacture of our product candidates for clinical and preclinical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6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do not own or operate manufacturing facilities and have no plans to develop our own clinical or commercial-scale manufacturing capabilities. We rely, and expect to continue to rely, on third parties for the manufacture of our product candidates and related raw materials for clinical and preclinical development, as well as for commercial manufacture if any of our product candidates receive marketing approval. The facilities used by third-party manufacturers to manufacture our product candidates must be approved by the FDA and any comparable foreign regulatory authority pursuant to inspections that will be conducted after we submit an NDA or BLA to the FDA or any comparable submission to a foreign regulatory authority. We do not control the manufacturing process of, and are completely dependent on, third-party manufacturers for compliance with cGMP requirements for manufacture of product candidates and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 In addition, we have no control over the ability of third-party manufacturers to maintain adequate quality control, quality assurance and qualified personnel. If the FDA or any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w:t>
      </w:r>
    </w:p>
    <w:p>
      <w:pPr>
        <w:spacing w:after="0" w:line="18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Our or a third party’s failure to execute on our manufacturing requirements on commercially reasonable terms and in compliance with cGMP or other regulatory requirements could adversely affect our business in a number of ways, including:</w:t>
      </w:r>
    </w:p>
    <w:p>
      <w:pPr>
        <w:spacing w:after="0" w:line="59"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an inability to initiate clinical trials of our product candidates under development;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delay in submitting regulatory applications, or receiving marketing approvals, for our product candidates;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5" w:name="page76"/>
    <w:bookmarkEnd w:id="75"/>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inspections by regulatory authorities of third-party manufacturing facilities or our manufacturing facilities;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in the event of approval to market and commercialize a product, an inability to meet commercial demands for such product.</w:t>
      </w:r>
    </w:p>
    <w:p>
      <w:pPr>
        <w:spacing w:after="0" w:line="224"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In addition, we do not have any long-term commitments or supply agreements with all of our third-party manufacturers. We may be unable to establish additional supply agreements with our third-party manufacturers or to do so on acceptable terms, which increases the risk of timely obtaining sufficient quantities of our product candidates or products or such quantities at an acceptable cost. Even if we are able to establish agreements with third-party manufacturers, reliance on third-party manufacturers entails additional risks, including:</w:t>
      </w:r>
    </w:p>
    <w:p>
      <w:pPr>
        <w:spacing w:after="0" w:line="79"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breach of the manufacturing agreement by the third party;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specifications;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schedule or at all;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24"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 in particular due to the high potency of our product candidates.</w:t>
      </w:r>
    </w:p>
    <w:p>
      <w:pPr>
        <w:spacing w:after="0" w:line="16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existing or future third-party manufacturers cannot perform as agreed, we may be required to replace such manufacturers and we may be unable to replace them on a timely basis or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w:t>
      </w:r>
    </w:p>
    <w:p>
      <w:pPr>
        <w:spacing w:after="0" w:line="18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56"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3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Because we currently rely on third parties to manufacture our product candidates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ind w:right="360"/>
        <w:spacing w:after="0" w:line="278"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relinquish valuable rights and may not realize the benefits of such relationships.</w:t>
      </w:r>
    </w:p>
    <w:p>
      <w:pPr>
        <w:spacing w:after="0" w:line="13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may seek to enter into collaborations, joint ventures, licenses and other similar arrangements for the development or commercialization of our product candidates, due to capital costs required to develop or commercialize the product candidate or manufacturing constraints. Such collaborative discovery efforts may not yield additional development or product candidates for our pipeline. We may not be successful in our efforts to establish or maintain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time-consuming and complex. We may have to relinquish valuable rights to our future revenue streams, research programs or product candidates, or grant licenses on terms that may not be favorable to us, as part of any such arrangement, and such arrangements may restrict us from entering into additional agreements with other potential collaborators. We cannot be certain that, following a collaboration, license or strategic transaction, we will achieve an economic benefit that justifies such transaction.</w:t>
      </w:r>
    </w:p>
    <w:p>
      <w:pPr>
        <w:spacing w:after="0" w:line="18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the development or approval of a product candidate is delayed, the safety of a product candidate is questioned or the sales of an approved product candidate are unsatisfactory.</w:t>
      </w:r>
    </w:p>
    <w:p>
      <w:pPr>
        <w:spacing w:after="0" w:line="16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we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14" w:lineRule="exact"/>
        <w:rPr>
          <w:sz w:val="20"/>
          <w:szCs w:val="20"/>
          <w:color w:val="auto"/>
        </w:rPr>
      </w:pPr>
    </w:p>
    <w:p>
      <w:pPr>
        <w:ind w:right="740"/>
        <w:spacing w:after="0" w:line="278" w:lineRule="auto"/>
        <w:rPr>
          <w:sz w:val="20"/>
          <w:szCs w:val="20"/>
          <w:color w:val="auto"/>
        </w:rPr>
      </w:pPr>
      <w:r>
        <w:rPr>
          <w:rFonts w:ascii="Arial" w:cs="Arial" w:eastAsia="Arial" w:hAnsi="Arial"/>
          <w:sz w:val="18"/>
          <w:szCs w:val="18"/>
          <w:b w:val="1"/>
          <w:bCs w:val="1"/>
          <w:i w:val="1"/>
          <w:iCs w:val="1"/>
          <w:color w:val="auto"/>
        </w:rPr>
        <w:t>Even if we receive regulatory approval for any product candidate, we will be subject to ongoing regulatory obligations and continued regulatory review, which may result in significant additional expense.</w:t>
      </w:r>
    </w:p>
    <w:p>
      <w:pPr>
        <w:spacing w:after="0" w:line="13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Any regulatory approvals that we may receive for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cGMP and GCP requirements for any clinical trials that we conduct post-approval. Manufacturers of approved products and their facilities are subject to continual review and periodic, unannounced inspections by the FDA and other regulatory authorities for compliance with cGMP regulations and standards. Later discovery of previously unknown problems with our products, including adverse events of unanticipated severity or frequency, or with our third-party manufacturers or manufacturing processes, or failure to comply with regulatory requirements, may result in, among other things:</w:t>
      </w:r>
    </w:p>
    <w:p>
      <w:pPr>
        <w:spacing w:after="0" w:line="95" w:lineRule="exact"/>
        <w:rPr>
          <w:sz w:val="20"/>
          <w:szCs w:val="20"/>
          <w:color w:val="auto"/>
        </w:rPr>
      </w:pPr>
    </w:p>
    <w:p>
      <w:pPr>
        <w:ind w:left="1020" w:right="66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fines, restitutions, disgorgement of profits or revenue, warning letters, untitled letters or holds on clinical trials;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3" w:right="379" w:bottom="1440" w:gutter="0" w:footer="0" w:header="0"/>
        </w:sectPr>
      </w:pPr>
    </w:p>
    <w:bookmarkStart w:id="77" w:name="page78"/>
    <w:bookmarkEnd w:id="77"/>
    <w:p>
      <w:pPr>
        <w:ind w:left="1020" w:right="60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our products;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5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21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21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ACA includes the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w:t>
      </w:r>
    </w:p>
    <w:p>
      <w:pPr>
        <w:spacing w:after="0" w:line="182"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of such product candidates by physicians, patients, healthcare payors and others in the medical community.</w:t>
      </w:r>
    </w:p>
    <w:p>
      <w:pPr>
        <w:spacing w:after="0" w:line="13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product candidates may not be commercially successful. Even if any of our product candidates receive regulatory approval, they may not gain market acceptance among physicians, patients, healthcare payors or the medical community. The commercial success of any of our current or future product candidates will depend significantly on the broad adoption and use of the resulting product by physicians and patients for approved indications. The degree of market acceptance of our products will depend on a number of factors, including:</w:t>
      </w:r>
    </w:p>
    <w:p>
      <w:pPr>
        <w:spacing w:after="0" w:line="79" w:lineRule="exact"/>
        <w:rPr>
          <w:sz w:val="20"/>
          <w:szCs w:val="20"/>
          <w:color w:val="auto"/>
        </w:rPr>
      </w:pPr>
    </w:p>
    <w:p>
      <w:pPr>
        <w:ind w:left="5520" w:right="3000" w:hanging="5003"/>
        <w:spacing w:after="0" w:line="489" w:lineRule="auto"/>
        <w:tabs>
          <w:tab w:leader="none" w:pos="1022"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demonstration of clinical efficacy and safety compared to other more-established products;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8" w:name="page79"/>
    <w:bookmarkEnd w:id="78"/>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indications for which our product candidates are approved;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limitation of our targeted patient population and other limitations or warnings contained in any FDA-approved labeling;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acceptance of a new drug for the relevant indication by healthcare providers and their patients;</w:t>
      </w:r>
    </w:p>
    <w:p>
      <w:pPr>
        <w:spacing w:after="0" w:line="116" w:lineRule="exact"/>
        <w:rPr>
          <w:rFonts w:ascii="Times New Roman" w:cs="Times New Roman" w:eastAsia="Times New Roman" w:hAnsi="Times New Roman"/>
          <w:sz w:val="18"/>
          <w:szCs w:val="18"/>
          <w:color w:val="auto"/>
        </w:rPr>
      </w:pPr>
    </w:p>
    <w:p>
      <w:pPr>
        <w:ind w:left="1020" w:right="38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cost-effectiveness of our products, as well as the cost of treatment with our products in relation to alternative treatments and therapies;</w:t>
      </w:r>
    </w:p>
    <w:p>
      <w:pPr>
        <w:spacing w:after="0" w:line="46" w:lineRule="exact"/>
        <w:rPr>
          <w:rFonts w:ascii="Times New Roman" w:cs="Times New Roman" w:eastAsia="Times New Roman" w:hAnsi="Times New Roman"/>
          <w:sz w:val="18"/>
          <w:szCs w:val="18"/>
          <w:color w:val="auto"/>
        </w:rPr>
      </w:pPr>
    </w:p>
    <w:p>
      <w:pPr>
        <w:ind w:left="1020" w:right="5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4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patients to pay all, or a portion of, out-of-pocket costs associated with our products in the absence of sufficient third-party coverage and adequate reimbursement;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any restrictions on the use of our products, and the prevalence and severity of any adverse effects;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liability claims;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our products as well as competitive drugs;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or any of our current or potential future collaborators’ sales and marketing strategies; and</w:t>
      </w:r>
    </w:p>
    <w:p>
      <w:pPr>
        <w:spacing w:after="0" w:line="116" w:lineRule="exact"/>
        <w:rPr>
          <w:rFonts w:ascii="Times New Roman" w:cs="Times New Roman" w:eastAsia="Times New Roman" w:hAnsi="Times New Roman"/>
          <w:sz w:val="18"/>
          <w:szCs w:val="18"/>
          <w:color w:val="auto"/>
        </w:rPr>
      </w:pPr>
    </w:p>
    <w:p>
      <w:pPr>
        <w:ind w:left="1020" w:right="64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publicity relating to the product, our company, or product candidates or similar approved products or product candidates in development by third parties.</w:t>
      </w:r>
    </w:p>
    <w:p>
      <w:pPr>
        <w:spacing w:after="0" w:line="154"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6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8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only offer to reimburse patients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 In addition, in the event that we develop companion diagnostic tests for use with our products, once approved, such companion diagnostic tests will require coverage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jc w:val="both"/>
        <w:ind w:right="60"/>
        <w:spacing w:after="0" w:line="253" w:lineRule="auto"/>
        <w:rPr>
          <w:sz w:val="20"/>
          <w:szCs w:val="20"/>
          <w:color w:val="auto"/>
        </w:rPr>
      </w:pPr>
      <w:r>
        <w:rPr>
          <w:rFonts w:ascii="Arial" w:cs="Arial" w:eastAsia="Arial" w:hAnsi="Arial"/>
          <w:sz w:val="18"/>
          <w:szCs w:val="18"/>
          <w:color w:val="auto"/>
        </w:rPr>
        <w:t>reimbursement separate and apart from the coverage and reimbursement for their companion pharmaceutical or biological products. Similar challenges to obtaining coverage and reimbursement applicable to pharmaceutical or biological products will apply to companion diagnostics tests.</w:t>
      </w:r>
    </w:p>
    <w:p>
      <w:pPr>
        <w:spacing w:after="0" w:line="169"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products.</w:t>
      </w:r>
    </w:p>
    <w:p>
      <w:pPr>
        <w:spacing w:after="0" w:line="17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8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spacing w:after="0" w:line="18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81"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i w:val="1"/>
          <w:iCs w:val="1"/>
          <w:color w:val="auto"/>
        </w:rPr>
        <w:t>We face significant competition from entities that have developed or may develop product candidates for cancer, including companies developing novel treatments and technology platforms. If our competitors develop technologies or product candidates more rapidly than we do or their technologies are more effective, our business and our ability to develop and successfully commercialize products may be adversely affected.</w:t>
      </w:r>
    </w:p>
    <w:p>
      <w:pPr>
        <w:spacing w:after="0" w:line="16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Although the biotechnology and pharmaceutical industries, and the oncology sector, are characterized by rapid evolution of technologies, fierce competition, and strong defense of intellectual property rights, we believe the most fearsome competitor of all is cancer itself. As such, we view other companies in this sector more as potential allies and collaborators than as competitors, as we all have a common cause: to defeat cancer. Many of the companies that are developing or marketing treatments for cancer, including major pharmaceutical and biotechnology companies that are working on therapies targeting the RAS/MAPK pathway, are companies with whom we endeavor to collaborate in our mission to erase cancer. That being said, our commercial potential could be reduced or eliminated if other companies develop and commercialize products that are safer, more effective, have fewer or less severe side effects, are more convenient or are less expensive than products that we may develop.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indications for which we may attempt to develop product candidates. In particular, there is intense competition in the oncology field. Our competitors include larger and better funded pharmaceutical, biopharmaceutical, biotechnological and therapeutics companies. Moreover, we may also compete with universities and other research institutions who may be active in oncology research and could be in direct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0" w:name="page81"/>
    <w:bookmarkEnd w:id="80"/>
    <w:p>
      <w:pPr>
        <w:ind w:right="20"/>
        <w:spacing w:after="0" w:line="247" w:lineRule="auto"/>
        <w:rPr>
          <w:sz w:val="20"/>
          <w:szCs w:val="20"/>
          <w:color w:val="auto"/>
        </w:rPr>
      </w:pPr>
      <w:r>
        <w:rPr>
          <w:rFonts w:ascii="Arial" w:cs="Arial" w:eastAsia="Arial" w:hAnsi="Arial"/>
          <w:sz w:val="18"/>
          <w:szCs w:val="18"/>
          <w:color w:val="auto"/>
        </w:rPr>
        <w:t>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17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any of our product candidates are approved, they will compete with small molecule therapies, biologics, cell-based therapies and traditional chemotherapy, either approved or under development, which are intended to treat the same indications that we are targeting or may target, including through approaches that may prove to be more effective, have fewer side effects, be less costly to manufacture, be more convenient to administer or have other advantages over our product candidates. In addition to competing with other therapies targeting similar indications, there are numerous other companies and academic institutions focused on similar targets as our product candidates and/or different scientific approaches to treating the same indications. We face competition from such companies in seeking any future potential collaborations to partner our product candidates, as well as potentially competing commercially for any approved products.</w:t>
      </w:r>
    </w:p>
    <w:p>
      <w:pPr>
        <w:spacing w:after="0" w:line="18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Specifically, there are also a number of pharmaceutical companies with product candidates in development that target the nodes involving the RAS/MAPK pathway. These include, among others, Amgen, Boehringer Ingelheim, BridgeBio, Bristol Myers Squibb, Eli Lilly, Jacobio Pharmaceuticals, Merck, Pfizer, Revolution Medicines, and Roche/Genentech.</w:t>
      </w:r>
    </w:p>
    <w:p>
      <w:pPr>
        <w:spacing w:after="0" w:line="16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approaches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85" w:lineRule="exact"/>
        <w:rPr>
          <w:sz w:val="20"/>
          <w:szCs w:val="20"/>
          <w:color w:val="auto"/>
        </w:rPr>
      </w:pPr>
    </w:p>
    <w:p>
      <w:pPr>
        <w:ind w:right="940"/>
        <w:spacing w:after="0" w:line="278"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patients who are ineligible for or have failed prior treatments and may be small or different from our estimates.</w:t>
      </w:r>
    </w:p>
    <w:p>
      <w:pPr>
        <w:spacing w:after="0" w:line="13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Cancer therapies are defined by lines of therapy as well as by treatment-naïve or previously-treated status. Often the initial approval for a new therapy is in later lines and subsequent approval in an earlier line may not be feasible. When cancer is detected early enough, first line therapy is sometimes adequate to cure the cancer or prolong life without a cure. Whenever first line therapy, including targeted therapy, immunotherapy, chemotherapy, hormone therapy, surgery or a combination of these, proves unsuccessful, second line therapy may be administered. Second line therapies often consist of additional chemotherapy, radiation, antibody drugs, tumor targeted small molecules or a combination of these. Third line therapies can include bone marrow transplantation, antibody and small molecule targeted therapies, more invasive forms of surgery and new technologies. In markets with approved therapies, there is no guarantee that our product candidates, even if approved, would be approved for second line or first line therapy. This could limit our potential market opportunity. In addition, we may have to conduct additional clinical trials prior to gaining approval for second line or first line therapy.</w:t>
      </w:r>
    </w:p>
    <w:p>
      <w:pPr>
        <w:spacing w:after="0" w:line="18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projections of both the number of people who have the cancers we are targeting, as well as the subset of people with these cancers in a position to receive later stage therapy and who have the potential to benefit from treatment with our product candidates, are based on our beliefs and estimates. These estimates have been derived from a variety of sources, including the scientific literature, publicly available clinical molecular reports, patient foundations or market research, and may prove to be incorrect. Further, new trials or information may change the estimated incidence or prevalence of these cancers.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Further, even if we obtain significant market share for our product candidates, because some of our potential target populations are very small, we may never achieve profitability despite obtaining such significant market share.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1" w:name="page82"/>
    <w:bookmarkEnd w:id="81"/>
    <w:p>
      <w:pPr>
        <w:jc w:val="both"/>
        <w:spacing w:after="0" w:line="24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6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no internal sales, marketing or distribution capabilities, nor have we ever commercialized a product. If any of our product candidates ultimately receives regulatory approval, we must build a marketing and sales organization with technical expertise and supporting distribution capabilities to commercialize each such product in major markets, which will be expensive and time-consuming,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90" w:lineRule="exact"/>
        <w:rPr>
          <w:sz w:val="20"/>
          <w:szCs w:val="20"/>
          <w:color w:val="auto"/>
        </w:rPr>
      </w:pPr>
    </w:p>
    <w:p>
      <w:pPr>
        <w:ind w:right="660"/>
        <w:spacing w:after="0" w:line="278"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3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 and governing, among other things, clinical trials, commercial sales, pricing and distribution of our product candidates. If we obtain regulatory approval of our product candidates and ultimately commercialize our products in foreign markets, we would be subject to additional risks and uncertainties, including:</w:t>
      </w:r>
    </w:p>
    <w:p>
      <w:pPr>
        <w:spacing w:after="0" w:line="90"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different regulatory requirements for approval of drugs in foreign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reduced protection for intellectual property rights;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tariffs, trade barriers and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020" w:right="28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foreign reimbursement, pricing and insurance regimes;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workforce uncertainty in countries where labor unrest is common;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14"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99" w:lineRule="exact"/>
        <w:rPr>
          <w:sz w:val="20"/>
          <w:szCs w:val="20"/>
          <w:color w:val="auto"/>
        </w:rPr>
      </w:pPr>
    </w:p>
    <w:p>
      <w:pPr>
        <w:ind w:left="1020" w:right="2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our product candidates, which may change from time to time;</w:t>
      </w:r>
    </w:p>
    <w:p>
      <w:pPr>
        <w:spacing w:after="0" w:line="46" w:lineRule="exact"/>
        <w:rPr>
          <w:rFonts w:ascii="Times New Roman" w:cs="Times New Roman" w:eastAsia="Times New Roman" w:hAnsi="Times New Roman"/>
          <w:sz w:val="18"/>
          <w:szCs w:val="18"/>
          <w:color w:val="auto"/>
        </w:rPr>
      </w:pPr>
    </w:p>
    <w:p>
      <w:pPr>
        <w:ind w:left="1020" w:right="120" w:hanging="503"/>
        <w:spacing w:after="0" w:line="252"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62" w:lineRule="exact"/>
        <w:rPr>
          <w:rFonts w:ascii="Times New Roman" w:cs="Times New Roman" w:eastAsia="Times New Roman" w:hAnsi="Times New Roman"/>
          <w:sz w:val="18"/>
          <w:szCs w:val="18"/>
          <w:color w:val="auto"/>
        </w:rPr>
      </w:pPr>
    </w:p>
    <w:p>
      <w:pPr>
        <w:ind w:left="1020" w:right="66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coverage and reimbursement policies with respect to our product candidates, if approved, and potential future drugs that compete with our products;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our product candidates, which may vary depending on the quantity of production and the terms of our agreements with third-party manufacturers;</w:t>
      </w:r>
    </w:p>
    <w:p>
      <w:pPr>
        <w:spacing w:after="0" w:line="4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expenditures that we will or may incur to acquire, develop or commercialize additional product candidates and technologies or other assets;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demand for any approved products, which may vary significantly and be difficult to predict;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future accounting pronouncements or changes in our accounting policies.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6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78" w:lineRule="exact"/>
        <w:rPr>
          <w:sz w:val="20"/>
          <w:szCs w:val="20"/>
          <w:color w:val="auto"/>
        </w:rPr>
      </w:pPr>
    </w:p>
    <w:p>
      <w:pPr>
        <w:ind w:right="820"/>
        <w:spacing w:after="0" w:line="278" w:lineRule="auto"/>
        <w:rPr>
          <w:sz w:val="20"/>
          <w:szCs w:val="20"/>
          <w:color w:val="auto"/>
        </w:rPr>
      </w:pPr>
      <w:r>
        <w:rPr>
          <w:rFonts w:ascii="Arial" w:cs="Arial" w:eastAsia="Arial" w:hAnsi="Arial"/>
          <w:sz w:val="18"/>
          <w:szCs w:val="18"/>
          <w:b w:val="1"/>
          <w:bCs w:val="1"/>
          <w:i w:val="1"/>
          <w:iCs w:val="1"/>
          <w:color w:val="auto"/>
        </w:rPr>
        <w:t>Our success is dependent on our ability to attract and retain highly qualified management and other clinical and scientific personnel.</w:t>
      </w:r>
    </w:p>
    <w:p>
      <w:pPr>
        <w:spacing w:after="0" w:line="13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Our success depends in part on our continued ability to attract, retain, manage, and motivate highly qualified management, clinical, and scientific personnel, and we face significant competition for experienced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clinical trials and preclinical studies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8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clinical, and scientific personnel in the future due to the intense competition for qualified personnel among biopharmaceutical, biotechnology, and other businesses, particularly in the San Diego area.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21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have increased our organization from 30 employees as of December 31, 2019 to 103 full-time employees as of February 28, 2025. As we continue development and pursue the potential commercialization of our product candidates, as well as function as a public company, we will need to expand our financial,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Our future financial performance and our ability to develop and commercialize our product candidates and to compete effectively will depend, in part, on our ability to manage any future growth effectively.</w:t>
      </w:r>
    </w:p>
    <w:p>
      <w:pPr>
        <w:spacing w:after="0" w:line="18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w:t>
      </w:r>
    </w:p>
    <w:p>
      <w:pPr>
        <w:spacing w:after="0" w:line="159"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79" w:lineRule="exact"/>
        <w:rPr>
          <w:sz w:val="20"/>
          <w:szCs w:val="20"/>
          <w:color w:val="auto"/>
        </w:rPr>
      </w:pPr>
    </w:p>
    <w:p>
      <w:pPr>
        <w:ind w:left="1020" w:right="100" w:hanging="503"/>
        <w:spacing w:after="0" w:line="259"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spacing w:after="0" w:line="56" w:lineRule="exact"/>
        <w:rPr>
          <w:rFonts w:ascii="Times New Roman" w:cs="Times New Roman" w:eastAsia="Times New Roman" w:hAnsi="Times New Roman"/>
          <w:sz w:val="17"/>
          <w:szCs w:val="17"/>
          <w:color w:val="auto"/>
        </w:rPr>
      </w:pPr>
    </w:p>
    <w:p>
      <w:pPr>
        <w:ind w:left="1020" w:right="6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42"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9" w:lineRule="exact"/>
        <w:rPr>
          <w:rFonts w:ascii="Times New Roman" w:cs="Times New Roman" w:eastAsia="Times New Roman" w:hAnsi="Times New Roman"/>
          <w:sz w:val="18"/>
          <w:szCs w:val="18"/>
          <w:color w:val="auto"/>
        </w:rPr>
      </w:pPr>
    </w:p>
    <w:p>
      <w:pPr>
        <w:ind w:left="1020" w:right="20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such healthcare professionals and their immediate family members;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84" w:name="page85"/>
    <w:bookmarkEnd w:id="84"/>
    <w:p>
      <w:pPr>
        <w:ind w:left="1020" w:right="40" w:hanging="503"/>
        <w:spacing w:after="0" w:line="239"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certain biotechnology companies to report information related to payments and other transfers of value to physicians and other healthcare providers or marketing expenditures; some state laws that require biotechnology companies to report information on the pricing of certain drug products; and some state and local laws require the registration or pharmaceutical sales representatives.</w:t>
      </w:r>
    </w:p>
    <w:p>
      <w:pPr>
        <w:spacing w:after="0" w:line="18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including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w:t>
      </w:r>
    </w:p>
    <w:p>
      <w:pPr>
        <w:spacing w:after="0" w:line="185" w:lineRule="exact"/>
        <w:rPr>
          <w:sz w:val="20"/>
          <w:szCs w:val="20"/>
          <w:color w:val="auto"/>
        </w:rPr>
      </w:pPr>
    </w:p>
    <w:p>
      <w:pPr>
        <w:ind w:right="560"/>
        <w:spacing w:after="0" w:line="278" w:lineRule="auto"/>
        <w:rPr>
          <w:sz w:val="20"/>
          <w:szCs w:val="20"/>
          <w:color w:val="auto"/>
        </w:rPr>
      </w:pPr>
      <w:r>
        <w:rPr>
          <w:rFonts w:ascii="Arial" w:cs="Arial" w:eastAsia="Arial" w:hAnsi="Arial"/>
          <w:sz w:val="18"/>
          <w:szCs w:val="18"/>
          <w:b w:val="1"/>
          <w:bCs w:val="1"/>
          <w:i w:val="1"/>
          <w:iCs w:val="1"/>
          <w:color w:val="auto"/>
        </w:rPr>
        <w:t>Recently enacted legislation, future legislation and healthcare reform measures may increase the difficulty and cost for us to obtain marketing approval for and commercialize our product candidates and may affect the prices we may set.</w:t>
      </w:r>
    </w:p>
    <w:p>
      <w:pPr>
        <w:spacing w:after="0" w:line="13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example, in March 2010, the ACA was enacted in the United States. Among the provisions of the ACA of importance to our potential product candidates,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Public Health Service pharmaceutical pricing program; increased the statutory minimum rebates a manufacturer must pay under the Medicaid Drug Rebate Program; created a new Medicare Part D coverage gap discount program which was replaced by a new manufacturer discount program on January 1, 2025 (as discussed below); established a new Patient-Centered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 There have been executive, judicial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18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In addition, other legislative changes have been proposed and adopted since the ACA was enacted. On August 2, 2011, the Budget Control Act of 2011 was signed into law, which, among other things, resulted in reductions to Medicare payments to providers, which went into effect on April 1, 2013 and, due to subsequent legislative amendments to the statute, will remain in effect through 2032,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w:t>
      </w:r>
      <w:r>
        <w:rPr>
          <w:rFonts w:ascii="Arial" w:cs="Arial" w:eastAsia="Arial" w:hAnsi="Arial"/>
          <w:sz w:val="18"/>
          <w:szCs w:val="18"/>
          <w:color w:val="231F20"/>
        </w:rPr>
        <w:t>In addition,</w:t>
      </w:r>
      <w:r>
        <w:rPr>
          <w:rFonts w:ascii="Arial" w:cs="Arial" w:eastAsia="Arial" w:hAnsi="Arial"/>
          <w:sz w:val="18"/>
          <w:szCs w:val="18"/>
          <w:color w:val="auto"/>
        </w:rPr>
        <w:t xml:space="preserve"> on March 11, 2021, the American Rescue Plan Act of 2021 was signed into law, which eliminated the statutory Medicaid drug rebate cap, beginning January 1, 2024. The rebate was previously capped at 100% of a drug’s average manufacturer price.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5" w:name="page86"/>
    <w:bookmarkEnd w:id="85"/>
    <w:p>
      <w:pPr>
        <w:spacing w:after="0" w:line="238"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On August 16, 2022, the Inflation Reduction Act of 2022, or IRA, was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(which began on January 1, 2025). The IRA permits the Secretary of the Department of Health and Human Services to implement many of these provisions through guidance, as opposed to regulation, for the initial years. HHS has issued and will continue to issue guidance implementing the IRA. CMS has published the negotiated prices for the initial ten drugs, which will first be effective in 2026, and the list of the subsequent 15 drugs that will be subject to negotiation, although the Medicare drug price negotiation program is currently subject to legal challenges. While the impact of the IRA on the pharmaceutical industry cannot yet be fully determined, it is likely to be significant.</w:t>
      </w:r>
    </w:p>
    <w:p>
      <w:pPr>
        <w:spacing w:after="0" w:line="18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drug price increase disclosure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8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expect that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78" w:lineRule="exact"/>
        <w:rPr>
          <w:sz w:val="20"/>
          <w:szCs w:val="20"/>
          <w:color w:val="auto"/>
        </w:rPr>
      </w:pPr>
    </w:p>
    <w:p>
      <w:pPr>
        <w:ind w:right="1460"/>
        <w:spacing w:after="0" w:line="27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products.</w:t>
      </w:r>
    </w:p>
    <w:p>
      <w:pPr>
        <w:spacing w:after="0" w:line="139"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We face an inherent risk of product liability as a result of the clinical trials of our product candidates and will face an even greater risk if we commercialize our product candidates.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74"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our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 and significant negative media attention;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costs to defend the related litigation;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 diversion of our management’s time and our resources;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trial participants or patients;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6" w:name="page87"/>
    <w:bookmarkEnd w:id="86"/>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negative financial impact;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our product candidates;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stock price.</w:t>
      </w:r>
    </w:p>
    <w:p>
      <w:pPr>
        <w:spacing w:after="0" w:line="22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currently hold approximately $10 million in product liability insurance coverage in the aggregate. We may need to increase our insurance coverage as we expand our clinical trials or if we commence commercialization of our product candidates. Insurance coverage is increasingly expensive. Our inability to obtain and retain sufficient product liability insurance at an acceptable cost to protect against potential product liability claims could prevent or inhibit the commercialization of our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85"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Our insurance policies are expensive and only protect us from some business risks, which will leave us exposed to significant uninsured liabilities.</w:t>
      </w:r>
    </w:p>
    <w:p>
      <w:pPr>
        <w:spacing w:after="0" w:line="13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property, general liability, employment benefits liability, business automobile, workers’ compensation, products liability, malicious invasion of our electronic systems, clinical trials, and directors’ and officers’ employment practices and fiduciary liability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We and any of our potential future collaborators will be required to report to regulatory authorities if any of our approved products cause or contribute to adverse medical events, and any failure to do so would result in sanctions that would materially harm our business.</w:t>
      </w:r>
    </w:p>
    <w:p>
      <w:pPr>
        <w:spacing w:after="0" w:line="15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If we or any of our potential future collaborators are successful in commercializing our products, the FDA and foreign regulatory authorities would require that we and such collaborators report certain information about adverse medical events if those products may have caused or contributed to those adverse events. The timing of our obligation to report would be triggered by the date we become aware of the adverse event as well as the nature of the event. We and any of our potential future collaborators or CROs may fail to report adverse events within the prescribed timeframe. If we or any of our potential future collaborators or CROs fail to comply with such reporting obligations, the FDA or a foreign regulatory authority could take action, including criminal prosecution, the imposition of civil monetary penalties, seizure of our products or delay in approval or clearance of future products.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information technology systems, or those of any of our CROs, manufacturers, other contractors or consultants or current or potential future collaborators, may fail or suffer cybersecurity incidents or breaches, which could result in a material disruption of our product development programs, harm to our reputation, significant fines, penalties and liability and loss of customers or sales.</w:t>
      </w:r>
    </w:p>
    <w:p>
      <w:pPr>
        <w:spacing w:after="0" w:line="15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the ordinary course of business, we collect, store, transmit and otherwise process large amounts of data including, without limitation, proprietary business information and personal information. Despite the implementation of security measures, our information technology systems (including infrastructure) and those of our current and any future CROs and other contractors, consultants, third-party service providers, vendors and collaborators are vulnerable to numerous and evolving cybersecurity risks, including from diverse threat actors such as state -sponsored organizations, opportunistic hackers and hacktivists, as well as through diverse attack vectors (such as denial-of-service attacks, malware, ransomware, supply chain attacks, computer viruses, cyber-attacks or cyber-intrusions over the Internet, hacking, phishing and other social engineering attacks), and as a result of malicious code, misconfigurations, 'bugs' or other vulnerabilities in software that is integrated into our (or our suppliers’ or service providers’) IT systems, products or services, alongside damage from natural disasters, terrorism, war and telecommunication and electrical failures. Our systems are also subject to compromise from internal threats, such as theft, misuse, unauthorized access or other improper or accidental actions by employees, vendors and other third parties with otherwise legitimate access to our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spacing w:after="0" w:line="237" w:lineRule="auto"/>
        <w:rPr>
          <w:sz w:val="20"/>
          <w:szCs w:val="20"/>
          <w:color w:val="auto"/>
        </w:rPr>
      </w:pPr>
      <w:r>
        <w:rPr>
          <w:rFonts w:ascii="Arial" w:cs="Arial" w:eastAsia="Arial" w:hAnsi="Arial"/>
          <w:sz w:val="18"/>
          <w:szCs w:val="18"/>
          <w:color w:val="auto"/>
        </w:rPr>
        <w:t>systems. Third parties may also attempt to fraudulently induce our employees and contractors into disclosing sensitive information such as usernames, passwords or other information, or otherwise compromise the security of our electronic systems, networks, and/or physical facilities in order to gain access to our data. Attacks upon information technology systems are increasing in their frequency, levels of persistence, sophistication and intensity, and are being conducted by sophisticated and organized groups and individuals with a wide range of motives, expertise, techniques and tools – including artificial intelligence – to circumvent security controls, evade detection and remove forensic evidence. Additionally, we currently work in a hybrid working environment, which may cause increased cybersecurity risks due to our reliance on internet technology and the number of our employees (and employees of our vendors, contractors and other organizations with whom we have formed strategic relationships) who are working remotely, which may create additional opportunities for threat actors to exploit vulnerabilities. Furthermore, new techniques may not be identified until they are launched against a target, and we may be unable to anticipate these techniques or detect an incident, assess its severity or impact, react or appropriately respond in a timely manner or implement adequate preventative measures, resulting in potential data loss or other damage to our information technology systems. Given the unpredictability of the timing, nature and scope of information technology disruptions, there can be no assurance that any security procedures and controls that we or our third-party partners and service providers have implemented will be sufficient to prevent cyber-attacks from occurring. The latency of a compromise is often measured in months, but could be years, and we may not be able to detect a compromise in a timely manner.</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and certain of our service providers and vendors are from time to time subject to cyberattacks and cybersecurity incidents. While we do not believe that we have experienced any significant system failure or other cybersecurity incident to date, if such an event were to occur and cause interruptions in our operations or result in the unauthorized disclosure of, access to or other processing of personal information or individually identifiable health information (potentially violating certain privacy laws), other otherwise adversely affect the confidentiality, integrity and availability of our information systems or any information stored therein, it could result in a material disruption of our development programs and our business operations, whether due to a loss of our trade secrets or other similar disruptions. Some of the federal, state and foreign government requirements include obligations of companies to notify individuals of cybersecurity breaches involving particular personal information, which could result from breaches experienced by us or by our vendors, contractors, or organizations with which we have formed strategic relationships.</w:t>
      </w:r>
    </w:p>
    <w:p>
      <w:pPr>
        <w:spacing w:after="0" w:line="17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Any security breach or other incident, whether actual or perceived, could impact our reputation,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regulatory approval efforts and significantly increase our costs to recover or reproduce the data. We also rely on third parties to manufacture our product candidates, and similar events relating to their computer systems could also have a material adverse effect on our business. We have also outsourced elements of our information technology infrastructure, and as a result a number of third-party vendors may or could have access to our confidential information. There can no assurance that our cybersecurity risk management program and processes, including our policies, controls or procedures, will be fully implemented, complied with or effective in protecting our information systems and personal or confidential Information. To the extent that any actual or perceived disruption or cybersecurity incident were to jeopardize the confidentiality, integrity, or availability of our systems (or those of our third-party collaborators, service providers, vendors, contractors or consultants) or were to result in a loss of or accidental, unlawful or unauthorized access to, use of, release of, or other processing of personal confidential or proprietary information, or damage to, our data or applications, we could incur liability, the further development and commercialization of our product candidates could be delayed, and we could be subject to significant fines, penalties or liabilities for any noncompliance with certain privacy and cybersecurity laws. Further, our insurance coverage may not be sufficient to cover the financial, legal, business or reputational losses that may result from an interruption or breach of our systems, or that applicable insurance will be available to us in the future on economically reasonable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arising from pandemic and epidemic diseases.</w:t>
      </w:r>
    </w:p>
    <w:p>
      <w:pPr>
        <w:spacing w:after="0" w:line="21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Future pandemics, including the residual effects of the COVID-19 pandemic, or other public health epidemics pose the risk that we or our employees, contractors, including our CROs, suppliers, and other partners may be prevented from conducting business activities for an indefinite period of time, including due to spread of the disease within these groups or due to shutdowns that may be requested or mandated by governmental authorities. We cannot guarantee that pandemics, such as COVID-19 or the emergence of variants thereof, or a similar event, will not impact our operations or business in the future. Such pandemic or other event could cause disruptions that could severely impact our business, clinical trials, preclinical studies and financial condition, including: delays or difficulties in enrolling patients in clinical trials; delays or difficulties in clinical site initiation, including difficulties in recruiting clinical site investigators and staff; interruption of, or delays in receiving, supplies of our product candidates from our CMOs due to staffing shortages,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8" w:name="page89"/>
    <w:bookmarkEnd w:id="88"/>
    <w:p>
      <w:pPr>
        <w:ind w:right="60"/>
        <w:spacing w:after="0"/>
        <w:rPr>
          <w:sz w:val="20"/>
          <w:szCs w:val="20"/>
          <w:color w:val="auto"/>
        </w:rPr>
      </w:pPr>
      <w:r>
        <w:rPr>
          <w:rFonts w:ascii="Arial" w:cs="Arial" w:eastAsia="Arial" w:hAnsi="Arial"/>
          <w:sz w:val="18"/>
          <w:szCs w:val="18"/>
          <w:color w:val="auto"/>
        </w:rPr>
        <w:t>production slowdowns or stoppages and disruptions in delivery systems; interruptions or delays in clinical trials or preclinical studies due to restricted or limited operations at our laboratory facility or those of our outsourced service providers; limitations on employee resources that would otherwise be focused on the conduct of our clinical trials or preclinical studies due to sickness of employees or their families or the desire of employees to avoid contact with large groups of people, or other staffing shortages as a result of remote working requirements or otherwise; interruption of key clinical trial activities, such as clinical trial site monitoring and source data verification, due to limitations on travel imposed or recommended by federal or state governments, employers and others or interruption of clinical trial subject visits and study procedures, which may impact the integrity of subject data and clinical study endpoints; and interruption or delays in the operations of the FDA or other regulatory authorities, which may impact review and approval timelines.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an epidemic disease adversely affects our business and financial results, it may also have the effect of heightening many of the other risks described in this section. In addition, if in the future there is an outbreak of another highly infectious or contagious disease or other health concern, we may be subject to similar risks as previously posed by the COVID-19 pandemic.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affected by litigation, government investigations and enforcement actions.</w:t>
      </w:r>
    </w:p>
    <w:p>
      <w:pPr>
        <w:spacing w:after="0" w:line="21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spacing w:after="0" w:line="185" w:lineRule="exact"/>
        <w:rPr>
          <w:sz w:val="20"/>
          <w:szCs w:val="20"/>
          <w:color w:val="auto"/>
        </w:rPr>
      </w:pPr>
    </w:p>
    <w:p>
      <w:pPr>
        <w:ind w:right="580"/>
        <w:spacing w:after="0" w:line="247" w:lineRule="auto"/>
        <w:rPr>
          <w:sz w:val="20"/>
          <w:szCs w:val="20"/>
          <w:color w:val="auto"/>
        </w:rPr>
      </w:pPr>
      <w:r>
        <w:rPr>
          <w:rFonts w:ascii="Arial" w:cs="Arial" w:eastAsia="Arial" w:hAnsi="Arial"/>
          <w:sz w:val="18"/>
          <w:szCs w:val="18"/>
          <w:color w:val="auto"/>
        </w:rPr>
        <w:t>Legal proceedings, government investigations and enforcement actions can be expensive and time-consuming. An adverse outcome resulting from any such proceeding,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w:t>
      </w:r>
    </w:p>
    <w:p>
      <w:pPr>
        <w:spacing w:after="0" w:line="176"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3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 (ii) manufacturing standards, including cGMP requirements, (iii) federal and state data privacy, cybersecurity, fraud and abuse and other healthcare laws and regulations in the United States and abroad or (iv)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9" w:name="page90"/>
    <w:bookmarkEnd w:id="89"/>
    <w:p>
      <w:pPr>
        <w:ind w:right="1020"/>
        <w:spacing w:after="0" w:line="278"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 similar to our approach in which we in-licensed and acquired certain of our current product candidates and development programs.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may be limited.</w:t>
      </w:r>
    </w:p>
    <w:p>
      <w:pPr>
        <w:spacing w:after="0" w:line="21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have incurred substantial losses during our history, do not expect to become profitable in the near future and may never achieve profitability. To the extent that we continue to generate taxable losses, unused losses will, subject to limitations, carry forward to offset future taxable income, if any, until such unused losses expire (if at all). As of December 31, 2024, we had federal, California and other state net operating loss (NOL) carryforwards of $251.8 million, $243.1 million and $3.3 million, respectively.</w:t>
      </w:r>
    </w:p>
    <w:p>
      <w:pPr>
        <w:spacing w:after="0" w:line="174"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Federal NOL carryforwards arising in tax years beginning after December 31, 2017 may be carried forward indefinitely. The deductibility of federal NOL carryforwards may be limited. In addition, our NOL carryforwards are subject to review and possible adjustment by the United States Internal Revenue Service and state tax authorities.</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Section 382 of the Internal Revenue Code of 1986, as amended (IRC), our federal NOL carryforwards may become subject to an annual limitation in the event of certain cumulative changes in the ownership of our company. An “ownership change” pursuant to Section 382 of the IRC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yet formally determined the amount of the cumulative change in our ownership resulting from our IPO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including changes related to our IPO.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spacing w:after="0" w:line="182"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3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There is an increasing focus from certain investors, employees and other stakeholders concerning corporate responsibility, specifically related to environmental, social and governance factors. Some investors may use these factors to guide their investment strategies and, in some cases, may choose not to invest in us if they believe our policies relating to corporate responsibility are inadequate, including if they believe our policies relating to the Erasca Foundation are inadequate. Third-party providers of corporate responsibility ratings and reports on companies have increased to meet growing investor demand for measurement of corporate responsibility performance. The criteria by which companies’ corporate responsibility practices are assessed may change, which could result in greater expectations of us and cause us to undertake costly initiatives to satisfy such new criteria. If we elect not to or are unable to satisfy such new criteria, investors may conclude that our policies with respect to corporate responsibility are inadequate. We may face reputational damage in the event that our corporate responsibility procedures or standards do not meet the standards set by various constituencies.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7" w:right="379" w:bottom="1440" w:gutter="0" w:footer="0" w:header="0"/>
        </w:sectPr>
      </w:pPr>
    </w:p>
    <w:bookmarkStart w:id="90" w:name="page91"/>
    <w:bookmarkEnd w:id="90"/>
    <w:p>
      <w:pPr>
        <w:ind w:right="120"/>
        <w:spacing w:after="0" w:line="242" w:lineRule="auto"/>
        <w:rPr>
          <w:sz w:val="20"/>
          <w:szCs w:val="20"/>
          <w:color w:val="auto"/>
        </w:rPr>
      </w:pPr>
      <w:r>
        <w:rPr>
          <w:rFonts w:ascii="Arial" w:cs="Arial" w:eastAsia="Arial" w:hAnsi="Arial"/>
          <w:sz w:val="18"/>
          <w:szCs w:val="18"/>
          <w:color w:val="auto"/>
        </w:rPr>
        <w:t>Furthermore, if our competitors’ corporate responsibility performance is perceived to be greater than ours, potential or current investors may elect to invest with our competitors instead. In addition, in the event that we communicate certain initiatives and goals regarding environmental, social and governance matters, including with respect to the initiatives and goals we established as part of the Erasca Foundation,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financial results could be materially and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United States tariff and import/export regulations may have a negative effect on us.</w:t>
      </w:r>
    </w:p>
    <w:p>
      <w:pPr>
        <w:spacing w:after="0" w:line="19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United States has recently enacted and proposed to enact significant new tariffs. Additionally,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development and commercialization of our product candidates, which could result in a material adverse effect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15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Our success depends in large part on our ability to obtain and maintain patent protection and trade secret protection with respect to our therapeutic programs, proprietary technologies, and their uses. We seek to protect our proprietary position, in part, by filing patent applications in the United States and abroad relating to our product candidates. We also seek to protect our proprietary position by acquiring or in-licensing relevant issued patents or pending applications from third parties. If we or our licensors are unable to obtain or maintain patent protection with respect to our product candidates, our business, financial condition, results of operations and prospects could be materially harmed.</w:t>
      </w:r>
    </w:p>
    <w:p>
      <w:pPr>
        <w:spacing w:after="0" w:line="17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Changes in either the patent laws or their interpretation in the United States and other jurisdictions may diminish our ability to protect our intellectual property, obtain, maintain and enforce our intellectual property rights and, more generally, could affect the value of our intellectual property or narrow the scope of our protection. We cannot predict whether the patent applications we or our licensors are currently pursuing will issue as patents in any particular jurisdiction or whether the claims of any issued patents will provide sufficient protection against competitors or other third parties.</w:t>
      </w:r>
    </w:p>
    <w:p>
      <w:pPr>
        <w:spacing w:after="0" w:line="1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patent prosecution process is expensive, time-consuming, and complex, and we and our licensors may not be able to file, prosecute, maintain, enforce, or license all necessary or desirable patent applications at a reasonable cost or in a timely manner. It is also possible that we or our licensors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third-party collaborators, CROs, CMOs,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invent the inventions claimed in any of our owned or licensed patents or pending patent applications, or that we or our licensors were the first to file for patent protection of such inventions.</w:t>
      </w:r>
    </w:p>
    <w:p>
      <w:pPr>
        <w:spacing w:after="0" w:line="18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owned and in-licensed patent applications may not result in patents being issued which protect our therapeutic programs and other proprietary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technologies we may develop or which effectively prevent others from commercializing competitive technologies and products.</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Moreover, the claim coverage in a patent application can be significantly reduced before the patent is granted. Even if our owned and in-licensed patent applications issue as patents, they may not issue in a form that will provide us with any meaningful protection, prevent competitors or other third parties from competing with us or otherwise provide us with any competitive advantage. Any patents issuing from our owned and in-licensed patent applications may be challenged, narrowed, circumvented or invalidated by third parties. Consequently, we do not know whether our therapeutic programs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therapeutic programs and eventual product candidates, patents protecting the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8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in-licensed patents may be challenged in the courts or patent offices in the United States and abroad. We may be subject to a third-party pre-issuance submission of prior art to the USPTO or become involved in opposition, derivation, revocation, reexamination, post-grant and inter partes review, or other similar proceedings challenging our patent rights. An adverse determination in any such submission, proceeding or litigation could reduce the scope of, or invalidate or render unenforceable, our patent rights, allow third parties to commercialize our therapeutic programs and other proprietary technologies we may develop and compete directly with us, without payment to us, or result in our inability to manufacture or commercialize products without infringing third-party patent rights. Such proceedings also may result in substantial cost and require significant time from our scientists and management, even if the eventual outcome is favorable to us.</w:t>
      </w:r>
    </w:p>
    <w:p>
      <w:pPr>
        <w:spacing w:after="0" w:line="180"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Moreover, some of our owned and in-licensed patent rights are, and may in the future be, co-owned with third parties. If we are unable to obtain an exclusive license to any such third-party co-owners’ interest in such patent rights, such co-owners may be able to license their rights to other third parties,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conditions, results of operations, and prospects.</w:t>
      </w:r>
    </w:p>
    <w:p>
      <w:pPr>
        <w:spacing w:after="0" w:line="17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Furthermore, our owned and in-licensed patent rights may be subject to a reservation of rights by one or more third parties. For example, the research resulting in certain of our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and the laws of foreign countries may not protect our intellectual property rights to the same extent as the laws of the United States. Consequently, we may not be able to prevent third parties from practicing our inventions in all countries outside the United States, or from selling or importing products made using our intellectual property in and into the United States or other jurisdictions. Competitors may use our intellectual property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owned and in-licensed patents or other intellectual property rights may not be effective or sufficient to prevent them from competing. Many companies have encountered significant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2" w:name="page93"/>
    <w:bookmarkEnd w:id="92"/>
    <w:p>
      <w:pPr>
        <w:ind w:right="120"/>
        <w:spacing w:after="0"/>
        <w:rPr>
          <w:sz w:val="20"/>
          <w:szCs w:val="20"/>
          <w:color w:val="auto"/>
        </w:rPr>
      </w:pPr>
      <w:r>
        <w:rPr>
          <w:rFonts w:ascii="Arial" w:cs="Arial" w:eastAsia="Arial" w:hAnsi="Arial"/>
          <w:sz w:val="18"/>
          <w:szCs w:val="18"/>
          <w:color w:val="auto"/>
        </w:rPr>
        <w:t>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owned and in-licensed patents or marketing of competing products in violation of our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spacing w:after="0" w:line="180"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Proceedings to enforce our intellectual property and proprietary rights in foreign jurisdictions could result in substantial costs and divert our efforts and attention from other aspects of our business, could put our owned and in-licensed patents at risk of being invalidated or interpreted narrowly, could put our owned and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spacing w:after="0" w:line="17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6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currently and may in the future rely on foreign licensors, such as Joyo. Such foreign licensors may be subject to U.S. legislation, sanctions, trade restrictions and other foreign regulatory requirements which could have an adverse effect on our ability to secure significant commitments from governments to purchase our potential therapies. For example, in January 2024, there was Congressional activity, including the introduction of the BIOSECURE Act (H.R. 7085) in the House of Representatives and a substantially similar Senate bill (S.3558). The BIOSECURE Act was passed by the House of Representatives in September 2024. If these bills become law, or similar laws are passed, they would have the potential to severely restrict the ability of U.S. biopharmaceutical companies like us to collaborate with certain Chinese biotechnology companies “of concern” without losing the ability to contract with, or otherwise receive funding from, the U.S. government.</w:t>
      </w:r>
    </w:p>
    <w:p>
      <w:pPr>
        <w:spacing w:after="0" w:line="169"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59"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USPTO and various non-US government agencies require compliance with several procedural, documentary, fee payment and other similar provisions during the patent application process. In some circumstances, we are dependent on our licensors to take the necessary action to comply with these requirements with respect to our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3" w:name="page94"/>
    <w:bookmarkEnd w:id="93"/>
    <w:p>
      <w:pPr>
        <w:ind w:right="100"/>
        <w:spacing w:after="0" w:line="244" w:lineRule="auto"/>
        <w:rPr>
          <w:sz w:val="20"/>
          <w:szCs w:val="20"/>
          <w:color w:val="auto"/>
        </w:rPr>
      </w:pPr>
      <w:r>
        <w:rPr>
          <w:rFonts w:ascii="Arial" w:cs="Arial" w:eastAsia="Arial" w:hAnsi="Arial"/>
          <w:sz w:val="18"/>
          <w:szCs w:val="18"/>
          <w:color w:val="auto"/>
        </w:rPr>
        <w:t>licensing partners to pay these fees due to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7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USPTO and various non-US. government agencies require compliance with certain foreign filing requirements during the patent application process. For example, in some countries, including the US,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cases, a foreign filing license may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are also dependent on our licensors to take the necessary actions to comply with these requirements with respect to our licensed intellectual property. The Indian patent application covering ERAS-007 as composition of matter was filed without obtaining a foreign filing license from the Indian Patent Office. As such, any patent issuing from the pending patent application in India may be vulnerable to revocation by the Indian Patent Office or invalidity or unenforceability attacks by third parties.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21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Changes in either the patent laws or interpretation of the patent laws in the United States or other countries could increase the uncertainties and costs surrounding the prosecution of patent applications and the enforcement, defense and term of issued patents. In the United States,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therapeutic programs and other proprietary technologies we may develop, or (ii) invent any of the inventions claimed in our patent applications.</w:t>
      </w:r>
    </w:p>
    <w:p>
      <w:pPr>
        <w:spacing w:after="0" w:line="18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America Invents Act also includes a number of significant changes to US patent law with respect to patent applications filed after March 16, 2013,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owned and in-licensed patent claims that would not have been invalidated if first challenged by the third party as a defendant in a district court action.</w:t>
      </w:r>
    </w:p>
    <w:p>
      <w:pPr>
        <w:spacing w:after="0" w:line="18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and similar authorities in foreign jurisdictions, the laws and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4" w:name="page95"/>
    <w:bookmarkEnd w:id="94"/>
    <w:p>
      <w:pPr>
        <w:ind w:right="140"/>
        <w:spacing w:after="0" w:line="238" w:lineRule="auto"/>
        <w:rPr>
          <w:sz w:val="20"/>
          <w:szCs w:val="20"/>
          <w:color w:val="auto"/>
        </w:rPr>
      </w:pPr>
      <w:r>
        <w:rPr>
          <w:rFonts w:ascii="Arial" w:cs="Arial" w:eastAsia="Arial" w:hAnsi="Arial"/>
          <w:sz w:val="18"/>
          <w:szCs w:val="18"/>
          <w:color w:val="auto"/>
        </w:rPr>
        <w:t>regulations governing patents could change in unpredictable ways that could have a material adverse effect on our existing patent portfolio and our ability to protect and enforce our intellectual property in the future. For example, in June 2023, the European Patent Package (the EU Patent Package) regulations were implemented with the goal of providing a single pan-European Unitary Patent and a new European Unified Patent Court (the UPC) for litigation involving European patents. As a result, all European patents, including those issued prior to ratification of the EU Patent Package, will by default automatically fall under the jurisdiction of the UPC. We may opt our European patents out of the UPC during first seven years of the UPC’s existence, but doing so may preclude us from realizing the benefits of the new unified court. Moreover, if we do not meet all of the formalities and requirements for opt-out under the UPC, our current or future European patents could remain under the jurisdiction of the UPC. It is uncertain how the UPC will impact granted European patents in the biotechnology and pharmaceutical industries and our European patent applications, if issued, could be challenged in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and, resultantly, on our business, financial condition, prospects and results of operations.</w:t>
      </w:r>
    </w:p>
    <w:p>
      <w:pPr>
        <w:spacing w:after="0" w:line="185" w:lineRule="exact"/>
        <w:rPr>
          <w:sz w:val="20"/>
          <w:szCs w:val="20"/>
          <w:color w:val="auto"/>
        </w:rPr>
      </w:pPr>
    </w:p>
    <w:p>
      <w:pPr>
        <w:ind w:right="920"/>
        <w:spacing w:after="0" w:line="278"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before administrative bodies in the United States or abroad.</w:t>
      </w:r>
    </w:p>
    <w:p>
      <w:pPr>
        <w:spacing w:after="0" w:line="13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we or our licensors initiated legal proceedings against a third party to enforce a patent covering our product candidates,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lack of sufficient written description or obviousness-type double patenting.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derivation proceedings, and equivalent proceedings in foreign jurisdictions (e.g., opposition proceedings). Such proceedings could result in the revocation of, cancellation of or amendment to our owned and in-licensed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Such a loss of patent protection would have a material adverse impact on our business, financial condition, results of operations and prospects.</w:t>
      </w:r>
    </w:p>
    <w:p>
      <w:pPr>
        <w:spacing w:after="0" w:line="190"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products and product candidates for an adequate amount of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 candidates are obtained, once the patent has expired, we may be vulnerable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in-licensed patent portfolio may not provide us with sufficient rights to exclude others from commercializing products similar or identical to ours.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21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Depending upon the timing, duration and specifics of any FDA marketing approval of any of our product candidates, one or more of our owned and in-licensed issued US patents may be eligible for limited patent term extension under the Drug Price Competition and Patent Term Restoration Action of 1984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because of,</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95" w:name="page96"/>
    <w:bookmarkEnd w:id="95"/>
    <w:p>
      <w:pPr>
        <w:ind w:right="280"/>
        <w:spacing w:after="0" w:line="244" w:lineRule="auto"/>
        <w:rPr>
          <w:sz w:val="20"/>
          <w:szCs w:val="20"/>
          <w:color w:val="auto"/>
        </w:rPr>
      </w:pPr>
      <w:r>
        <w:rPr>
          <w:rFonts w:ascii="Arial" w:cs="Arial" w:eastAsia="Arial" w:hAnsi="Arial"/>
          <w:sz w:val="18"/>
          <w:szCs w:val="18"/>
          <w:color w:val="auto"/>
        </w:rPr>
        <w:t>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1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 rights, trade secrets, or other intellectual property as an inventor or co-inventor. For example, we may have inventorship disputes arise from conflicting obligations of consultants or others who are involved in developing our therapeutic programs and other proprietary technologies we may develop. Litigation may be necessary to defend against these and other claims challenging inventorship or our patent rights, trade secrets or other intellectual property. If we fail in defending any such claims, in addition to paying monetary damages, we may lose valuable intellectual property rights, such as exclusive ownership of, or right to use, intellectual property that is important to our therapeutic programs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to seeking patent protection for our product candidates, we also rely on trade secrets and confidentiality agreements to protect our unpatented know-how, technology, and other proprietary information and to maintain our competitive position. We seek to protect these trade secrets and other proprietary technology, in part, by entering into non-disclosure and confidentiality agreements with parties who have access to them, such as our employees, third-party collaborators, CROs, CMOs,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and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our product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182"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3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6" w:name="page97"/>
    <w:bookmarkEnd w:id="96"/>
    <w:p>
      <w:pPr>
        <w:ind w:right="20"/>
        <w:spacing w:after="0" w:line="244" w:lineRule="auto"/>
        <w:rPr>
          <w:sz w:val="20"/>
          <w:szCs w:val="20"/>
          <w:color w:val="auto"/>
        </w:rPr>
      </w:pPr>
      <w:r>
        <w:rPr>
          <w:rFonts w:ascii="Arial" w:cs="Arial" w:eastAsia="Arial" w:hAnsi="Arial"/>
          <w:sz w:val="18"/>
          <w:szCs w:val="18"/>
          <w:color w:val="auto"/>
        </w:rPr>
        <w:t>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7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1"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 and product candidates.</w:t>
      </w:r>
    </w:p>
    <w:p>
      <w:pPr>
        <w:spacing w:after="0" w:line="13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and future products and product candidates in any jurisdiction. The scope of a patent claim is determined by an interpretation of the law, the written disclosure in a patent and the patent’s prosecution history. Our interpretation of the relevance or the scope of a patent or a pending patent application may be incorrect, which may negatively impact our ability to market our products. We may incorrectly determine that our products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 Any of the foregoing could have a material adverse effect on our business, financial condition, results of operations and prospects.</w:t>
      </w:r>
    </w:p>
    <w:p>
      <w:pPr>
        <w:spacing w:after="0" w:line="188"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violations against us or our collaborators may prevent or delay the development and commercialization of our product candidates.</w:t>
      </w:r>
    </w:p>
    <w:p>
      <w:pPr>
        <w:spacing w:after="0" w:line="13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As discussed above, recently, due to changes in US law referred to as patent reform, new procedures including inter partes review and post-grant review have also been implemented. As stated above, this reform adds uncertainty to the possibility of challenge to our owned and in-licensed patents in the future.</w:t>
      </w:r>
    </w:p>
    <w:p>
      <w:pPr>
        <w:spacing w:after="0" w:line="18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Numerous US and foreign issued patents and pending patent applications owned by third parties exist in the fields in which we plan to commercialize our therapeutic and diagnostic programs and in which we are developing other proprietary technologies. As the biotechnology and pharmaceutical industries expand and more patents are issued, and as we gain greater visibility and market exposure as a public company, the risk that our therapeutic and diagnostic programs and commercializing activities may give rise to claims of infringement of the patent rights of others increases. We cannot assure you that our therapeutic programs and other proprietary technologies we may develop will not infringe existing or future patents owned by third parties. We may not be aware of patents that have already been issued and that a third party, including a competitor in the fields in which we are developing our therapeutic programs,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 -party patent does not pose a material risk, but in another country, the corresponding third-party patent may pose a material risk to our products or product candidates. As such, we monitor third-party patents in the relevant pharmaceutical markets. In addition, because patent applications can take many years to issue, there may be currently pending patent applications that may later result in issued patents that we may infringe.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7" w:name="page98"/>
    <w:bookmarkEnd w:id="97"/>
    <w:p>
      <w:pPr>
        <w:ind w:right="40"/>
        <w:spacing w:after="0" w:line="237" w:lineRule="auto"/>
        <w:rPr>
          <w:sz w:val="20"/>
          <w:szCs w:val="20"/>
          <w:color w:val="auto"/>
        </w:rPr>
      </w:pPr>
      <w:r>
        <w:rPr>
          <w:rFonts w:ascii="Arial" w:cs="Arial" w:eastAsia="Arial" w:hAnsi="Arial"/>
          <w:sz w:val="18"/>
          <w:szCs w:val="18"/>
          <w:color w:val="auto"/>
        </w:rPr>
        <w:t>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have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spacing w:after="0" w:line="18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legal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or results of operations.</w:t>
      </w:r>
    </w:p>
    <w:p>
      <w:pPr>
        <w:spacing w:after="0" w:line="182"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owned and in-licensed patents and other intellectual property rights, which could be expensive, time-consuming and unsuccessful.</w:t>
      </w:r>
    </w:p>
    <w:p>
      <w:pPr>
        <w:spacing w:after="0" w:line="13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Third parties, such as a competitor, may infringe our patent rights. In an infringement proceeding, a court may decide that a patent owned by us is invalid or unenforceable or may refuse to stop the other party from using the invention at issue on the grounds that the patent does not cover the technology in question. In addition, our patent rights may become involved in inventorship, priority or validity disputes. To counter or defend against such claims can be expensive and time-consuming. An adverse result in any litigation proceeding could put our patent rights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8" w:name="page99"/>
    <w:bookmarkEnd w:id="98"/>
    <w:p>
      <w:pPr>
        <w:spacing w:after="0" w:line="239" w:lineRule="auto"/>
        <w:rPr>
          <w:sz w:val="20"/>
          <w:szCs w:val="20"/>
          <w:color w:val="auto"/>
        </w:rPr>
      </w:pPr>
      <w:r>
        <w:rPr>
          <w:rFonts w:ascii="Arial" w:cs="Arial" w:eastAsia="Arial" w:hAnsi="Arial"/>
          <w:sz w:val="18"/>
          <w:szCs w:val="18"/>
          <w:color w:val="auto"/>
        </w:rPr>
        <w:t>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8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1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9" w:lineRule="exact"/>
        <w:rPr>
          <w:sz w:val="20"/>
          <w:szCs w:val="20"/>
          <w:color w:val="auto"/>
        </w:rPr>
      </w:pPr>
    </w:p>
    <w:p>
      <w:pPr>
        <w:ind w:left="1020" w:right="48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license or may own;</w:t>
      </w:r>
    </w:p>
    <w:p>
      <w:pPr>
        <w:spacing w:after="0" w:line="46"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or our licensors or collaborators might not have been the first to make the inventions covered by our current or future patent applications;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or our licensors or collaborators might not have been the first to file patent applications covering our inventions;</w:t>
      </w:r>
    </w:p>
    <w:p>
      <w:pPr>
        <w:spacing w:after="0" w:line="11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the pending and future patent applications we own or in-license will not lead to issued patents;</w:t>
      </w:r>
    </w:p>
    <w:p>
      <w:pPr>
        <w:spacing w:after="0" w:line="116"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own or in-license may be held invalid or unenforceable, including as a result of legal challenges by our competitors or other third parties;</w:t>
      </w:r>
    </w:p>
    <w:p>
      <w:pPr>
        <w:spacing w:after="0" w:line="46" w:lineRule="exact"/>
        <w:rPr>
          <w:rFonts w:ascii="Times New Roman" w:cs="Times New Roman" w:eastAsia="Times New Roman" w:hAnsi="Times New Roman"/>
          <w:sz w:val="18"/>
          <w:szCs w:val="18"/>
          <w:color w:val="auto"/>
        </w:rPr>
      </w:pPr>
    </w:p>
    <w:p>
      <w:pPr>
        <w:jc w:val="both"/>
        <w:ind w:left="1020" w:right="440" w:hanging="503"/>
        <w:spacing w:after="0" w:line="252"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identify potential patentable subject matter and/or may fail to file on it;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of others may harm our business; and</w:t>
      </w:r>
    </w:p>
    <w:p>
      <w:pPr>
        <w:spacing w:after="0" w:line="116" w:lineRule="exact"/>
        <w:rPr>
          <w:rFonts w:ascii="Times New Roman" w:cs="Times New Roman" w:eastAsia="Times New Roman" w:hAnsi="Times New Roman"/>
          <w:sz w:val="18"/>
          <w:szCs w:val="18"/>
          <w:color w:val="auto"/>
        </w:rPr>
      </w:pPr>
    </w:p>
    <w:p>
      <w:pPr>
        <w:ind w:left="1020" w:right="40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file for patent protection in order to maintain certain trade secrets or know-how, and a third party may subsequently file a patent application covering such intellectual property.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 foregoing occur, it could adversely affect our business, financial condition, results of operations and prospects.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9" w:name="page100"/>
    <w:bookmarkEnd w:id="99"/>
    <w:p>
      <w:pPr>
        <w:jc w:val="both"/>
        <w:spacing w:after="0" w:line="256" w:lineRule="auto"/>
        <w:rPr>
          <w:sz w:val="20"/>
          <w:szCs w:val="20"/>
          <w:color w:val="auto"/>
        </w:rPr>
      </w:pPr>
      <w:r>
        <w:rPr>
          <w:rFonts w:ascii="Arial" w:cs="Arial" w:eastAsia="Arial" w:hAnsi="Arial"/>
          <w:sz w:val="18"/>
          <w:szCs w:val="18"/>
          <w:b w:val="1"/>
          <w:bCs w:val="1"/>
          <w:i w:val="1"/>
          <w:iCs w:val="1"/>
          <w:color w:val="auto"/>
        </w:rPr>
        <w:t>We partially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15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We are dependent, in part, on patents, know-how and proprietary technology licensed from others. We are a party to a number of license agreements under which we are granted rights to intellectual property that are important to our business and we may enter into additional license agreements in the future. Our existing license agreements impose, and we expect that any future license agreements where we in-license intellectual property, will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develop or market products covered by the license.</w:t>
      </w:r>
    </w:p>
    <w:p>
      <w:pPr>
        <w:spacing w:after="0" w:line="18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we or our licensors fail to adequately protect our licensed intellectual property, our ability to commercialize product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licensors have been or will be conducted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spacing w:after="0" w:line="18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that may arise between us and our licensors regarding intellectual property subject to a license agreement could include disputes regarding:</w:t>
      </w:r>
    </w:p>
    <w:p>
      <w:pPr>
        <w:spacing w:after="0" w:line="82"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16"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46"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w:t>
      </w:r>
    </w:p>
    <w:p>
      <w:pPr>
        <w:spacing w:after="0" w:line="154"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reasonable terms, we may be unable to successfully develop and commercialize the affected technology or product candidates. As a result, any termination of or disputes over our intellectual property licenses could result in the loss of our ability to develop and commercialize our product candidates, or we could lose other significant rights, any of which could have a material adverse effect on our business, financial condition, results of operations and prospects.</w:t>
      </w:r>
    </w:p>
    <w:p>
      <w:pPr>
        <w:spacing w:after="0" w:line="17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For example, our agreements with certain of our third-party research partners provide that improvements developed in the course of our relationship may be owned solely by either us or our third-party research partner, or jointly between us and the third party. If we determine that rights to such improvements owned solely by a research partner or other third party with whom we collaborate are necessary to commercialize our product candidates or maintain our competitive advantage, we may need to obtain a license from such third party in order to use the improvements and continue developing, manufacturing or marketing our product candidates. We may not be able to obtain such a license on an exclusive basis, on commercially reasonable terms, or at all, which could prevent us from commercializing our product candidates or allow our competitors or others the chance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00" w:name="page101"/>
    <w:bookmarkEnd w:id="100"/>
    <w:p>
      <w:pPr>
        <w:ind w:right="1120"/>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 For example, our product candidates may require specific formulations to work effectively and efficiently, we may develop product candidates containing our compounds and pre-existing pharmaceutical compounds, or we may be required by the FDA or comparable foreign regulatory authorities to provide a companion diagnostic test or tests with our product candidates, any of which could require us to obtain rights to use intellectual property held by third parties.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8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7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We and our service providers may be subject to a variety of data privacy and security laws and contractual obligations, which could increase compliance costs and our actual or perceived failure to comply with them could subject us to potentially significant fines or penalties, harm our reputation and otherwise adversely affect our business, results of operations, and financial condition.</w:t>
      </w:r>
    </w:p>
    <w:p>
      <w:pPr>
        <w:spacing w:after="0" w:line="15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maintain a large quantity of sensitive information, including confidential business and health-related information in connection with our preclinical studies, and are subject to laws and regulations governing the privacy and security of such information. The global data protection landscape is rapidly evolving, and we may be affected by or subject to new, amended or existing laws and regulations in the future, including as our operations continue to expand or if we operate in foreign jurisdictions. This evolution may create uncertainty in our business, and could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8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the United States, there are numerous federal and state data privacy and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By way of example, HIPAA imposes privacy and security requirements and breach reporting</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obligations upon “covered entities” (health plans, health care clearinghouses and certain health care providers), and their respective business associates and subcontractors, individuals or entities that create, receive, maintain or transmit protected health information in connection with providing a service for or on behalf of a covered entity, as well as their covered subcontractors. We do not believe that we are currently acting as a covered entity or business associate under HIPAA and thus are not directly subject to its requirements or penalties. However,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18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certain states have also adopted comprehensive and health-specific data privacy and security laws and regulations governing the privacy, processing and protection of personal information, some of which are more stringent than HIPAA. For example, the California Consumer Privacy Act (CCPA), which went into effect on January 1, 2020, imposes a range of obligations on covered businesses that process personal information about California residents. The CCPA provides for civil penalties for violations, as well as a private right of action for certain data breaches, which may increase our compliance costs and potential liability, including due to a new California data protection agency authorized to enforce the CCPA in addition to the Attorney General. Similar laws are already in effect in other states, including Virginia, Utah, Connecticut and Colorado, and have been enacted or proposed in other states and at the federal level, reflecting a trend toward more stringent privacy-related regulation in the United States. The enactment of such laws creates a patchwork of overlapping, but different and potentially conflicting, requirements that may make compliance challenging. Furthermore, the FTC and many state Attorneys General continue to enforce federal and state consumer protection laws against companies in relation to a variety of data privacy and security issues. In the event that we are subject to HIPAA, the CCPA, or similar state data privacy laws, compliance will likely involve significant expenditure and resources, and any failure or perceived failure to comply with the requirements of these laws could adversely affect our business, results of operations, and financial condition.</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Europe, the European Union General Data Protection Regulation (EU GDPR) and the United Kingdom General Data Protection Regulation and Data Protection Act (UK GDPR and together with the EU GDPR, GDPR) govern the collection, use, disclosure, transfer or other processing of personal information of individuals within the EEA.</w:t>
      </w:r>
    </w:p>
    <w:p>
      <w:pPr>
        <w:spacing w:after="0" w:line="16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addition, the GDPR increases the scrutiny of transfers of personal data from the EEA and UK to the US and other jurisdictions that the European Commission does not recognize as having “adequate” data protection laws. Reliance on standard contractual clauses (SCCs) alone may not be sufficient in all circumstances, and we expect the existing legal complexity and uncertainty regarding international personal data transfers, in particular to the US, to continue. As regulatory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business, results of operations, and financial condition.</w:t>
      </w:r>
    </w:p>
    <w:p>
      <w:pPr>
        <w:spacing w:after="0" w:line="180"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cybersecurity concerns, even if unfounded, could result in additional cost and liability to us, damage our reputation, and materially adversely affect our business,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and is likely to continue to be highly volatile, and purchasers of our common stock could incur substantial losses.</w:t>
      </w:r>
    </w:p>
    <w:p>
      <w:pPr>
        <w:spacing w:after="0" w:line="139"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Our stock price has been, and is likely to continue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 including:</w:t>
      </w:r>
    </w:p>
    <w:p>
      <w:pPr>
        <w:spacing w:after="0" w:line="65" w:lineRule="exact"/>
        <w:rPr>
          <w:sz w:val="20"/>
          <w:szCs w:val="20"/>
          <w:color w:val="auto"/>
        </w:rPr>
      </w:pPr>
    </w:p>
    <w:p>
      <w:pPr>
        <w:ind w:left="1020" w:right="16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our clinical trials and preclinical studies, and the results of trials of our competitors or those of other companies in our market sector;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2" w:name="page103"/>
    <w:bookmarkEnd w:id="102"/>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enroll subjects in our future clinical trials;</w:t>
      </w:r>
    </w:p>
    <w:p>
      <w:pPr>
        <w:spacing w:after="0" w:line="116" w:lineRule="exact"/>
        <w:rPr>
          <w:rFonts w:ascii="Times New Roman" w:cs="Times New Roman" w:eastAsia="Times New Roman" w:hAnsi="Times New Roman"/>
          <w:sz w:val="18"/>
          <w:szCs w:val="18"/>
          <w:color w:val="auto"/>
        </w:rPr>
      </w:pPr>
    </w:p>
    <w:p>
      <w:pPr>
        <w:ind w:left="1020" w:right="400" w:hanging="503"/>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approval of our product candidates, or limitations to specific label indications or patient populations for its use, or changes or delays in the regulatory review process;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or failure of our efforts to develop, acquire or license additional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innovations, clinical trial results, product approvals and other developments regarding our competitors;</w:t>
      </w:r>
    </w:p>
    <w:p>
      <w:pPr>
        <w:spacing w:after="0" w:line="116" w:lineRule="exact"/>
        <w:rPr>
          <w:rFonts w:ascii="Times New Roman" w:cs="Times New Roman" w:eastAsia="Times New Roman" w:hAnsi="Times New Roman"/>
          <w:sz w:val="18"/>
          <w:szCs w:val="18"/>
          <w:color w:val="auto"/>
        </w:rPr>
      </w:pPr>
    </w:p>
    <w:p>
      <w:pPr>
        <w:ind w:left="1020" w:right="1100" w:hanging="503"/>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supply or distribution delays or shortages;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changes to our relationship with any manufacturers, suppliers, collaborators or other strategic partners;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achievement of expected product sales and profitability;</w:t>
      </w:r>
    </w:p>
    <w:p>
      <w:pPr>
        <w:spacing w:after="0" w:line="11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those of companies that are perceived to be similar to us, or fluctuations in the valuation of such other companies;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trading volume of our common stock;</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 inability to obtain additional funding;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stock by us, our insiders and our other stockholders;</w:t>
      </w:r>
    </w:p>
    <w:p>
      <w:pPr>
        <w:spacing w:after="0" w:line="12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any natural disasters or public health emergencies;</w:t>
      </w:r>
    </w:p>
    <w:p>
      <w:pPr>
        <w:spacing w:after="0" w:line="116" w:lineRule="exact"/>
        <w:rPr>
          <w:rFonts w:ascii="Times New Roman" w:cs="Times New Roman" w:eastAsia="Times New Roman" w:hAnsi="Times New Roman"/>
          <w:sz w:val="18"/>
          <w:szCs w:val="18"/>
          <w:color w:val="auto"/>
        </w:rPr>
      </w:pPr>
    </w:p>
    <w:p>
      <w:pPr>
        <w:jc w:val="both"/>
        <w:ind w:left="1020" w:right="160" w:hanging="503"/>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geopolitical and market conditions other events or factors, many of which are beyond our control, such as the military conflict between Russia and Ukraine, inflation and interest rate changes and financial institution instability;</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departures of key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intellectual property, product liability or other litigation against us;</w:t>
      </w:r>
    </w:p>
    <w:p>
      <w:pPr>
        <w:spacing w:after="0" w:line="116"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expiration of market stand-off or lock-up agreements;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capital structure, such as future issuances of securities and the incurrence of additional debt;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22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our management’s attention and resources, which could have a material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trading market for our common stock may not be maintained.</w:t>
      </w:r>
    </w:p>
    <w:p>
      <w:pPr>
        <w:spacing w:after="0" w:line="19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can provide no assurance that we will be able to maintain an active trading market for our common stock.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03" w:name="page104"/>
    <w:bookmarkEnd w:id="103"/>
    <w:p>
      <w:pPr>
        <w:ind w:right="540"/>
        <w:spacing w:after="0" w:line="278"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significantly influence all matters submitted to stockholders for approval.</w:t>
      </w:r>
    </w:p>
    <w:p>
      <w:pPr>
        <w:spacing w:after="0" w:line="13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of December 31, 2024, our executive officers, directors and greater than 5% stockholders, in the aggregate, owned approximately 35% of our outstanding common stock. As a result, such persons, acting together,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87"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3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78"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6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holders of 71,263,685 shares of our outstanding common stock, or approximately 25.2% of our total outstanding common stock as of December 31, 2024,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or the registration of such shares, could have a material adverse effect on the trading price of our common stock.</w:t>
      </w:r>
    </w:p>
    <w:p>
      <w:pPr>
        <w:spacing w:after="0" w:line="178"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(JOBS Act), and may remain an emerging growth company until the last day of the fiscal year following the fifth anniversary of the completion of our IPO. However, if certain events occur prior to the end of such five-year period, including if we become a large accelerated filer, as defined under the Exchange Act, our annual gross revenue exceed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0" w:lineRule="exact"/>
        <w:rPr>
          <w:sz w:val="20"/>
          <w:szCs w:val="20"/>
          <w:color w:val="auto"/>
        </w:rPr>
      </w:pPr>
    </w:p>
    <w:p>
      <w:pPr>
        <w:ind w:left="1020" w:right="140" w:hanging="503"/>
        <w:spacing w:after="0" w:line="252"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2"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 pursuant to the Sarbanes-Oxley Act of 2002 (Sarbanes-Oxley);</w:t>
      </w:r>
    </w:p>
    <w:p>
      <w:pPr>
        <w:spacing w:after="0" w:line="46" w:lineRule="exact"/>
        <w:rPr>
          <w:rFonts w:ascii="Times New Roman" w:cs="Times New Roman" w:eastAsia="Times New Roman" w:hAnsi="Times New Roman"/>
          <w:sz w:val="18"/>
          <w:szCs w:val="18"/>
          <w:color w:val="auto"/>
        </w:rPr>
      </w:pPr>
    </w:p>
    <w:p>
      <w:pPr>
        <w:ind w:left="1020" w:right="240" w:hanging="503"/>
        <w:spacing w:after="0" w:line="252"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reduced disclosure obligations regarding executive compensation;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04" w:name="page105"/>
    <w:bookmarkEnd w:id="104"/>
    <w:p>
      <w:pPr>
        <w:ind w:left="1020" w:right="120" w:hanging="503"/>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5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18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181" w:lineRule="exact"/>
        <w:rPr>
          <w:sz w:val="20"/>
          <w:szCs w:val="20"/>
          <w:color w:val="auto"/>
        </w:rPr>
      </w:pPr>
    </w:p>
    <w:p>
      <w:pPr>
        <w:ind w:right="740"/>
        <w:spacing w:after="0" w:line="278"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39"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74" w:lineRule="exact"/>
        <w:rPr>
          <w:sz w:val="20"/>
          <w:szCs w:val="20"/>
          <w:color w:val="auto"/>
        </w:rPr>
      </w:pPr>
    </w:p>
    <w:p>
      <w:pPr>
        <w:ind w:left="1020" w:right="620" w:hanging="503"/>
        <w:spacing w:after="0" w:line="270"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62"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4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16" w:lineRule="exact"/>
        <w:rPr>
          <w:rFonts w:ascii="Times New Roman" w:cs="Times New Roman" w:eastAsia="Times New Roman" w:hAnsi="Times New Roman"/>
          <w:sz w:val="18"/>
          <w:szCs w:val="18"/>
          <w:color w:val="auto"/>
        </w:rPr>
      </w:pPr>
    </w:p>
    <w:p>
      <w:pPr>
        <w:ind w:left="1020" w:right="240" w:hanging="503"/>
        <w:spacing w:after="0" w:line="252"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62" w:lineRule="exact"/>
        <w:rPr>
          <w:rFonts w:ascii="Times New Roman" w:cs="Times New Roman" w:eastAsia="Times New Roman" w:hAnsi="Times New Roman"/>
          <w:sz w:val="18"/>
          <w:szCs w:val="18"/>
          <w:color w:val="auto"/>
        </w:rPr>
      </w:pPr>
    </w:p>
    <w:p>
      <w:pPr>
        <w:ind w:left="1020" w:right="560" w:hanging="503"/>
        <w:spacing w:after="0" w:line="270"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46" w:lineRule="exact"/>
        <w:rPr>
          <w:rFonts w:ascii="Times New Roman" w:cs="Times New Roman" w:eastAsia="Times New Roman" w:hAnsi="Times New Roman"/>
          <w:sz w:val="18"/>
          <w:szCs w:val="18"/>
          <w:color w:val="auto"/>
        </w:rPr>
      </w:pPr>
    </w:p>
    <w:p>
      <w:pPr>
        <w:ind w:left="1020" w:right="200" w:hanging="503"/>
        <w:spacing w:after="0" w:line="252"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5" w:name="page106"/>
    <w:bookmarkEnd w:id="105"/>
    <w:p>
      <w:pPr>
        <w:ind w:right="20"/>
        <w:spacing w:after="0" w:line="25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p>
    <w:p>
      <w:pPr>
        <w:spacing w:after="0" w:line="17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Furthermore,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4"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is required to devote substantial time to new compliance initiatives.</w:t>
      </w:r>
    </w:p>
    <w:p>
      <w:pPr>
        <w:spacing w:after="0" w:line="13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and “pay versus performance” disclosure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0"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The rules and regulations applicable to public companies have substantially increased our legal and financial compliance costs and have made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We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6" w:name="page107"/>
    <w:bookmarkEnd w:id="106"/>
    <w:p>
      <w:pPr>
        <w:jc w:val="both"/>
        <w:ind w:right="480"/>
        <w:spacing w:after="0" w:line="253" w:lineRule="auto"/>
        <w:rPr>
          <w:sz w:val="20"/>
          <w:szCs w:val="20"/>
          <w:color w:val="auto"/>
        </w:rPr>
      </w:pPr>
      <w:r>
        <w:rPr>
          <w:rFonts w:ascii="Arial" w:cs="Arial" w:eastAsia="Arial" w:hAnsi="Arial"/>
          <w:sz w:val="18"/>
          <w:szCs w:val="18"/>
          <w:color w:val="auto"/>
        </w:rPr>
        <w:t>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We could face criminal liability and other serious consequences for violations, which could harm our business.</w:t>
      </w:r>
    </w:p>
    <w:p>
      <w:pPr>
        <w:spacing w:after="0" w:line="15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or from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w:t>
      </w:r>
    </w:p>
    <w:p>
      <w:pPr>
        <w:spacing w:after="0" w:line="18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We are also subject to other US laws and regulations governing export controls, as well as economic sanctions and embargoes on certain countries and persons.</w:t>
      </w:r>
    </w:p>
    <w:p>
      <w:pPr>
        <w:spacing w:after="0" w:line="15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spacing w:after="0" w:line="178" w:lineRule="exact"/>
        <w:rPr>
          <w:sz w:val="20"/>
          <w:szCs w:val="20"/>
          <w:color w:val="auto"/>
        </w:rPr>
      </w:pPr>
    </w:p>
    <w:p>
      <w:pPr>
        <w:ind w:right="560"/>
        <w:spacing w:after="0" w:line="278" w:lineRule="auto"/>
        <w:rPr>
          <w:sz w:val="20"/>
          <w:szCs w:val="20"/>
          <w:color w:val="auto"/>
        </w:rPr>
      </w:pPr>
      <w:r>
        <w:rPr>
          <w:rFonts w:ascii="Arial" w:cs="Arial" w:eastAsia="Arial" w:hAnsi="Arial"/>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time-consuming or costly.</w:t>
      </w:r>
    </w:p>
    <w:p>
      <w:pPr>
        <w:spacing w:after="0" w:line="13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and any of our third-party manufacturers or suppliers and current or potential future collaborators will use biological materials, potent chemical agents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7" w:name="page108"/>
    <w:bookmarkEnd w:id="107"/>
    <w:p>
      <w:pPr>
        <w:ind w:right="120"/>
        <w:spacing w:after="0" w:line="247"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1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our product candidates. Our ability to obtain clinical supplies of our product candidates could be disrupted if the operations of these suppliers were affected by a man-made or natural disaster or other business interruption. In addition, our corporate headquarters is located in San Diego,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82"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Unstable market and economic conditions and adverse developments with respect to financial institutions and associated liquidity risk may have serious adverse consequences on our business, financial condition and stock price.</w:t>
      </w:r>
    </w:p>
    <w:p>
      <w:pPr>
        <w:spacing w:after="0" w:line="13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or wars, terrorism or other geopolitical events. Sanctions imposed by the United States and other countries in response to such conflicts may also adversely impact the financial markets and the global economy, and any economic countermeasures by the affected countries or others could exacerbate market and economic instability.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materially adversely affect our financial condition, results of operations and cash flows.</w:t>
      </w:r>
    </w:p>
    <w:p>
      <w:pPr>
        <w:spacing w:after="0" w:line="21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or interpreted, changed, modified or applied adversely to us, any of which could adversely affect our business operations and financial performance. The likelihood of these changes being enacted or implemented is unclear. We are currently unable to predict whether such changes will occur. If such changes are enacted or implemented, we are currently unable to predict the ultimate impact on our business. We urge our investors to consult with their legal and tax advisors with respect to any changes in tax law and the potential tax consequences of investing in our common stock.</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8" w:name="page109"/>
    <w:bookmarkEnd w:id="108"/>
    <w:p>
      <w:pPr>
        <w:ind w:right="4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3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business, our market or our competitors.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5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Section 404 of Sarbanes-Oxley, our management is required to report upon the effectiveness of our internal control over financial reporting.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8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audits,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1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6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These inherent limitations include the facts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1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it could result in substantial costs and a diversion of our management’s attention and resources, which could harm our business.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Item 1C. Cybersecurity.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and Strategy</w:t>
      </w:r>
    </w:p>
    <w:p>
      <w:pPr>
        <w:spacing w:after="0" w:line="198"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We have developed and implemented a cybersecurity risk management program intended to protect the confidentiality, integrity, and availability of our critical systems and information.</w:t>
      </w:r>
    </w:p>
    <w:p>
      <w:pPr>
        <w:spacing w:after="0" w:line="14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program is developed and informed by industry best practices such as the National Institute of Standards and Technology Cybersecurity Framework (NIST CSF) and input from expert third-party consultants. It’s important to note that our adoption of the NIST CSF serves as a blueprint to aid in the identification, assessment, and mitigation of cybersecurity risks pertinent to our operations, rather than as a certification of compliance with specific technical standards or requirements.</w:t>
      </w:r>
    </w:p>
    <w:p>
      <w:pPr>
        <w:spacing w:after="0" w:line="160"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Our cybersecurity risk management program includes:</w:t>
      </w:r>
    </w:p>
    <w:p>
      <w:pPr>
        <w:spacing w:after="0" w:line="306" w:lineRule="exact"/>
        <w:rPr>
          <w:sz w:val="20"/>
          <w:szCs w:val="20"/>
          <w:color w:val="auto"/>
        </w:rPr>
      </w:pPr>
    </w:p>
    <w:p>
      <w:pPr>
        <w:ind w:left="1020" w:right="220" w:hanging="503"/>
        <w:spacing w:after="0" w:line="244" w:lineRule="auto"/>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risk assessments designed to help identify material cybersecurity risks to our critical systems, information, and our broader enterprise IT environment; an IT security team (including Chief Operating Officer (COO)) principally responsible for managing</w:t>
      </w:r>
    </w:p>
    <w:p>
      <w:pPr>
        <w:spacing w:after="0" w:line="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(1) our cybersecurity risk assessment processes, (2) our security controls, and (3) our response to cybersecurity incidents;</w:t>
      </w:r>
    </w:p>
    <w:p>
      <w:pPr>
        <w:spacing w:after="0" w:line="8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use of external service providers, where appropriate, to assess, test or otherwise assist with aspects of our security controls;</w:t>
      </w:r>
    </w:p>
    <w:p>
      <w:pPr>
        <w:spacing w:after="0" w:line="127"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awareness training of our employees, incident response personnel, and senior management;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 cybersecurity incident response plan that includes procedures for responding to cybersecurity incidents.</w:t>
      </w:r>
    </w:p>
    <w:p>
      <w:pPr>
        <w:spacing w:after="0" w:line="21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Our cybersecurity risk management program includes a third-party risk management process for evaluating risks posed by critical service providers, suppliers, and vendors.</w:t>
      </w:r>
    </w:p>
    <w:p>
      <w:pPr>
        <w:spacing w:after="0" w:line="14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Governance</w:t>
      </w:r>
    </w:p>
    <w:p>
      <w:pPr>
        <w:spacing w:after="0" w:line="198"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Our board of directors considers cybersecurity risk as part of its risk oversight function and has delegated to the audit committee oversight of cybersecurity and other information technology risks. The audit committee oversees management’s implementation of our cybersecurity risk management program.</w:t>
      </w:r>
    </w:p>
    <w:p>
      <w:pPr>
        <w:spacing w:after="0" w:line="15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audit committee receives reports from management on our cybersecurity risks no less than twice per calendar year. In addition, management updates the audit committee, as necessary, regarding any material cybersecurity incidents, as well as any incidents with lesser impact potential.</w:t>
      </w:r>
    </w:p>
    <w:p>
      <w:pPr>
        <w:spacing w:after="0" w:line="15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audit committee reports to the full board of directors regarding its activities, including those related to cybersecurity. The full board of directors also receives briefings from management on our cyber risk management program. The audit committee and the board of directors receive presentations on cybersecurity topics from our COO as part of continuing education on topics that impact public companies.</w:t>
      </w:r>
    </w:p>
    <w:p>
      <w:pPr>
        <w:spacing w:after="0" w:line="138"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Our management team, including our COO,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Collectively, the IT security team that is responsible for managing our cybersecurity risks has over 50 years of experience in mitigating cybersecurity risks.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110" w:name="page111"/>
    <w:bookmarkEnd w:id="110"/>
    <w:p>
      <w:pPr>
        <w:ind w:right="180"/>
        <w:spacing w:after="0" w:line="247" w:lineRule="auto"/>
        <w:rPr>
          <w:sz w:val="20"/>
          <w:szCs w:val="20"/>
          <w:color w:val="auto"/>
        </w:rPr>
      </w:pPr>
      <w:r>
        <w:rPr>
          <w:rFonts w:ascii="Arial" w:cs="Arial" w:eastAsia="Arial" w:hAnsi="Arial"/>
          <w:sz w:val="18"/>
          <w:szCs w:val="18"/>
          <w:color w:val="auto"/>
        </w:rPr>
        <w:t>Our management team supervises efforts to prevent, detect, mitigate, and remediate cybersecurity risks and incidents through various means, which may include briefings from internal IT personnel; threat intelligence and other information obtained from governmental, public or private sources, including external consultants engaged by us; and alerts and reports produced by cybersecurity tools deployed in the IT environment.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corporate headquarters is located in San Diego, California, where we lease 77,828 square feet of office and laboratory space pursuant to a lease that expires in April 2032 and may be terminated early under certain circumstances. In January 2024, we entered into an agreement to sublease approximately 10,000 square feet of such office space. In connection with the subtenant exercising its option to terminate the sublease early, the term of this sublease will end on January 31, 2026. In July 2024, we entered into a second agreement to sublease approximately 18,000 square feet of such office space. The agreement has a term of 61 months beginning in October 2024, and includes an option for the subtenant to renew for an additional year and an early termination clause. In September 2024, we entered into a third agreement to sublease approximately 5,000 square feet of such office and laboratory space. The agreement has a term of one year and includes an option for the subtenant to renew for an additional year.</w:t>
      </w:r>
    </w:p>
    <w:p>
      <w:pPr>
        <w:spacing w:after="0" w:line="167"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We also lease 29,542 square feet of office and laboratory space in South San Francisco, California, pursuant to a lease that expires in October 2032, with an option to extend the term by five years, subject to certain conditions.</w:t>
      </w:r>
    </w:p>
    <w:p>
      <w:pPr>
        <w:spacing w:after="0" w:line="14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believe our existing facilities are adequate to meet our current business requirements for the near term, and that additional space will be available on commercially reasonable terms, if required.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are not currently a party to any material proceedings. From time to time, we may become involved in legal proceedings or be subject to claims arising in the ordinary course of our business. Regardless of outcome, such proceedings or claims can have an adverse impact on us because of defense and settlement costs, diversion of resources and other factors, and there can be no assurances that favorable outcomes will be obtained.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trades under the symbol “ERAS” on the Nasdaq Global Select Market.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198"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As of February 28, 2025, there were approximately 52 holders of record of our common stock. This number was derived from our shareholder records and does not include beneficial owners of our common stock whose shares are held in the name of various dealers, clearing agencies, banks, brokers and other fiduciaries.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have never declared or paid any cash dividends on our capital stock. We intend to retain all available funds and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Information about our equity compensation plans will be included in our definitive proxy statement to be filed with the SEC with respect to our 2025 Annual Meeting of Stockholders and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ind w:right="5200"/>
        <w:spacing w:after="0" w:line="506" w:lineRule="auto"/>
        <w:rPr>
          <w:sz w:val="20"/>
          <w:szCs w:val="20"/>
          <w:color w:val="auto"/>
        </w:rPr>
      </w:pPr>
      <w:r>
        <w:rPr>
          <w:rFonts w:ascii="Arial" w:cs="Arial" w:eastAsia="Arial" w:hAnsi="Arial"/>
          <w:sz w:val="18"/>
          <w:szCs w:val="18"/>
          <w:b w:val="1"/>
          <w:bCs w:val="1"/>
          <w:color w:val="auto"/>
        </w:rPr>
        <w:t xml:space="preserve">Purchases of Equity Securities by the Issuer and Affiliated Purchasers </w:t>
      </w: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spacing w:after="0" w:line="244" w:lineRule="auto"/>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in conjunction with our consolidated financial statements and notes thereto included elsewhere in this Annual Report on Form 10-K. </w:t>
      </w:r>
      <w:r>
        <w:rPr>
          <w:rFonts w:ascii="Times New Roman" w:cs="Times New Roman" w:eastAsia="Times New Roman" w:hAnsi="Times New Roman"/>
          <w:sz w:val="18"/>
          <w:szCs w:val="18"/>
          <w:i w:val="1"/>
          <w:iCs w:val="1"/>
          <w:color w:val="auto"/>
        </w:rPr>
        <w:t>T</w:t>
      </w:r>
      <w:r>
        <w:rPr>
          <w:rFonts w:ascii="Arial" w:cs="Arial" w:eastAsia="Arial" w:hAnsi="Arial"/>
          <w:sz w:val="18"/>
          <w:szCs w:val="18"/>
          <w:i w:val="1"/>
          <w:iCs w:val="1"/>
          <w:color w:val="auto"/>
        </w:rPr>
        <w:t>his discussion contains forward-looking statements that involve risks and uncertainties, including those described in the section titled “Special Note Regarding Forward Looking Statements.”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more than five million new patients diagnosed with cancer globally each year. Our company was co-founded by leading pioneers in precision oncology and RAS targeting to create novel therapies and combination regimens designed to comprehensively shut down the RAS/MAPK pathway for the treatment of patients with cancer. We have assembled one of the deepest RAS/MAPK pathway-focused pipelines in the industry, which comprises modality-agnostic programs aligned with our three therapeutic strategies of: (1) targeting key upstream and downstream signaling nodes in the RAS/MAPK pathway; (2) targeting RAS directly; and (3) targeting escape routes that emerge in response to treatment.</w:t>
      </w:r>
    </w:p>
    <w:p>
      <w:pPr>
        <w:spacing w:after="0" w:line="16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figure shows the RAS/MAPK pathway and how the three therapeutic strategies listed above attempt to comprehensively and synergistically shut down the RAS/MAPK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229235</wp:posOffset>
            </wp:positionV>
            <wp:extent cx="3891915" cy="2948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9191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target breadth and molecular diversity represented in our pipeline enable us to pursue a systematic, data-driven, portfolio-wide clinical development effort to identify single agent and combination approaches with the goal of prolonging survival in numerous patient populations with high unmet medical needs. Our modality-agnostic approach aims to allow us to selectively and potently target critical signaling nodes with the most appropriate modality, including small and large molecule therapeutics. Our purpose-built pipeline includes one clinical-stage program (a pan-RAF inhibitor), two IND-enabling stage programs (a pan-RAS molecular glue and a pan-KRAS inhibitor), and an additional discovery-stage program (an EGFR D2/D3 biparatopic antibody). We believe our world-class team’s capabilities and experience, further guided by our scientific advisory board, which includes the world’s leading experts in the RAS/MAPK pathway, uniquely position us to achieve our bold mission of erasing cancer.</w:t>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113" w:name="page114"/>
    <w:bookmarkEnd w:id="113"/>
    <w:p>
      <w:pPr>
        <w:spacing w:after="0" w:line="205" w:lineRule="exact"/>
        <w:rPr>
          <w:sz w:val="20"/>
          <w:szCs w:val="20"/>
          <w:color w:val="auto"/>
        </w:rPr>
      </w:pPr>
      <w:r>
        <w:rPr>
          <w:rFonts w:ascii="Arial" w:cs="Arial" w:eastAsia="Arial" w:hAnsi="Arial"/>
          <w:sz w:val="18"/>
          <w:szCs w:val="18"/>
          <w:color w:val="auto"/>
        </w:rPr>
        <w:t>Our lead product candidate is naporafenib, for which we initiated our SEACRAFT-2 pivotal Phase 3 trial in the first half of 2024 for patients with NRAS-mutated (NRASm) melanoma. In October 2024, we announced promising preliminary data from our SEACRAFT-1 Phase 1b trial for patients with NRAS Q61X melanoma in an oral presentation at the 36th EORTC-NCI-AACR (ENA) Symposium (2024 Triple Meeting). Naporafenib is a pan-RAF inhibitor with first-in-class and best-in-class potential for patients with NRASm melanoma and other RAS/MAPK pathway-driven tumors. RAF proteins are ubiquitously expressed serine-threonine kinases that constitute a key node of the RAS/MAPK pathway downstream of RAS and upstream of MEK. The RAF protein family consists of ARAF, BRAF, and CRAF (RAF1) that are activated through dimerization. Mutations in RAF proteins have been observed in many cancers, such as melanoma, colorectal cancer (CRC), non-small cell lung cancer (NSCLC), and thyroid cancer. We in-licensed naporafenib from Novartis Pharma AG (Novartis) in December 2022. Naporafenib has been dosed in over 600 patients to date, whereby safety, tolerability, and acceptable pharmacokinetics (PK) and pharmacodynamics have been established in both monotherapy and select combinations, with clinical proof-of-concept (PoC) data in combination with trametinib (MEKINIST) for patients with NRASm melanoma, which includes NRAS Q61X melanoma. In December 2023, we announced that the US Food and Drug Administration (FDA) granted Fast Track Designation (FTD) to naporafenib in combination with trametinib for the treatment of adult patients with unresectable or metastatic melanoma who have progressed on, or are intolerant to, an anti</w:t>
      </w:r>
      <w:r>
        <w:rPr>
          <w:rFonts w:ascii="MS PGothic" w:cs="MS PGothic" w:eastAsia="MS PGothic" w:hAnsi="MS PGothic"/>
          <w:sz w:val="18"/>
          <w:szCs w:val="18"/>
          <w:color w:val="auto"/>
        </w:rPr>
        <w:t>‑</w:t>
      </w:r>
      <w:r>
        <w:rPr>
          <w:rFonts w:ascii="Arial" w:cs="Arial" w:eastAsia="Arial" w:hAnsi="Arial"/>
          <w:sz w:val="18"/>
          <w:szCs w:val="18"/>
          <w:color w:val="auto"/>
        </w:rPr>
        <w:t xml:space="preserve"> programmed death-1 (ligand 1) (PD</w:t>
      </w:r>
      <w:r>
        <w:rPr>
          <w:rFonts w:ascii="MS PGothic" w:cs="MS PGothic" w:eastAsia="MS PGothic" w:hAnsi="MS PGothic"/>
          <w:sz w:val="18"/>
          <w:szCs w:val="18"/>
          <w:color w:val="auto"/>
        </w:rPr>
        <w:t>‑</w:t>
      </w:r>
      <w:r>
        <w:rPr>
          <w:rFonts w:ascii="Arial" w:cs="Arial" w:eastAsia="Arial" w:hAnsi="Arial"/>
          <w:sz w:val="18"/>
          <w:szCs w:val="18"/>
          <w:color w:val="auto"/>
        </w:rPr>
        <w:t>(L)1)-based regimen, and whose tumors contain an NRAS mutation. Programs that receive FTD may benefit from early and frequent interactions with the FDA during the clinical development process and, if relevant criteria are met, the FDA may consider reviewing portions of a marketing application before the sponsor submits the complete application.</w:t>
      </w:r>
    </w:p>
    <w:p>
      <w:pPr>
        <w:spacing w:after="0" w:line="17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Our development strategy for naporafenib includes our SEACRAFT trials designed to evaluate naporafenib in combination with other targeted therapies. Our SEACRAFT-2 trial is supported by the clinical PoC data in patients with NRASm melanoma that we presented from the SEACRAFT-1 trial at the 2024 Triple Meeting. In addition, we believe such clinical PoC in NRASm melanoma is supported by data presented by Novartis at the European Society for Medical Oncology Congress 2022 medical conference and as published in March 2023 by de Braud et al. in the </w:t>
      </w:r>
      <w:r>
        <w:rPr>
          <w:rFonts w:ascii="Arial" w:cs="Arial" w:eastAsia="Arial" w:hAnsi="Arial"/>
          <w:sz w:val="18"/>
          <w:szCs w:val="18"/>
          <w:i w:val="1"/>
          <w:iCs w:val="1"/>
          <w:color w:val="auto"/>
        </w:rPr>
        <w:t>Journal of Clinical Oncology</w:t>
      </w:r>
      <w:r>
        <w:rPr>
          <w:rFonts w:ascii="Arial" w:cs="Arial" w:eastAsia="Arial" w:hAnsi="Arial"/>
          <w:sz w:val="18"/>
          <w:szCs w:val="18"/>
          <w:color w:val="auto"/>
        </w:rPr>
        <w:t>. In connection with our SEACRAFT-2 trial, we have entered into a clinical trial collaboration and supply agreement (CTCSA) with Novartis for its MEK inhibitor, trametinib. Pursuant to the CTCSA, we are sponsoring and funding the clinical trial and Novartis is providing its drug to us free of charge. In addition, we are evaluating additional combinations of naporafenib with our other RAS/MAPK pathway targeting agents and/or external agents in preclinical models.</w:t>
      </w:r>
    </w:p>
    <w:p>
      <w:pPr>
        <w:spacing w:after="0" w:line="167" w:lineRule="exact"/>
        <w:rPr>
          <w:sz w:val="20"/>
          <w:szCs w:val="20"/>
          <w:color w:val="auto"/>
        </w:rPr>
      </w:pPr>
    </w:p>
    <w:p>
      <w:pPr>
        <w:jc w:val="both"/>
        <w:ind w:right="340"/>
        <w:spacing w:after="0" w:line="271" w:lineRule="auto"/>
        <w:rPr>
          <w:sz w:val="20"/>
          <w:szCs w:val="20"/>
          <w:color w:val="auto"/>
        </w:rPr>
      </w:pPr>
      <w:r>
        <w:rPr>
          <w:rFonts w:ascii="Arial" w:cs="Arial" w:eastAsia="Arial" w:hAnsi="Arial"/>
          <w:sz w:val="18"/>
          <w:szCs w:val="18"/>
          <w:color w:val="auto"/>
        </w:rPr>
        <w:t>On October 24, 2024, we announced preliminary data from our SEACRAFT-1 trial in an oral presentation at the 2024 Triple Meeting. The preliminary clinical activity of naporafenib plus trametinib in the melanoma cohort of SEACRAFT-1 include, as of the efficacy cutoff date*:</w:t>
      </w:r>
    </w:p>
    <w:p>
      <w:pPr>
        <w:spacing w:after="0" w:line="46" w:lineRule="exact"/>
        <w:rPr>
          <w:sz w:val="20"/>
          <w:szCs w:val="20"/>
          <w:color w:val="auto"/>
        </w:rPr>
      </w:pPr>
    </w:p>
    <w:p>
      <w:pPr>
        <w:jc w:val="both"/>
        <w:ind w:left="1020" w:right="280" w:hanging="503"/>
        <w:spacing w:after="0" w:line="252"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40% (4/10) response rate observed in the efficacy-evaluable patients with NRAS Q61X melanoma, including three confirmed partial responses and one unconfirmed partial response; the melanoma cohort in SEACRAFT-1 is generally representative of the patient population currently being enrolled in the pivotal SEACRAFT-2 trial</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70% (7/10) of patients remained on treatment as of the data cutoff, including all four responders</w:t>
      </w:r>
    </w:p>
    <w:p>
      <w:pPr>
        <w:spacing w:after="0" w:line="211"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In addition, we reported that naporafenib plus trametinib was generally well tolerated as of the safety cutoff date*, with mostly low-grade adverse events in the majority of patients. We believe that the use of mandatory primary rash prophylaxis helped reduce the frequency and severity of skin toxicities, reduced the drug discontinuation rate due to adverse events, and improved the observed tolerability results as measured by the increased relative dose intensity, as compared to the prior clinical trials of naporafenib plus trametinib conducted by Novartis, which did not include the use of mandatory primary rash prophylaxis.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Efficacy data cutoff date was September 5, 2024. Safety data cutoff date was September 3, 2024.</w:t>
      </w:r>
    </w:p>
    <w:p>
      <w:pPr>
        <w:spacing w:after="0" w:line="198"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We believe that while the preliminary SEACRAFT-1 data do not support further exploration of a tissue-agnostic indication, they do reinforce the potential of the ongoing Phase 3 SEACRAFT-2 trial in patients with NRASm melanoma. We expect to read out randomized dose optimization data of naporafenib plus trametinib from Stage 1 of the SEACRAFT-2 Phase 3 trial in the second half of 2025. Stage 2 of the SEACRAFT-2 Phase 3 trial is currently designed to compare naporafenib plus trametinib against physician's choice of chemotherapy or trametinib using dual primary endpoints of progression free survival and overall survival for regulatory approval.</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4" w:name="page115"/>
    <w:bookmarkEnd w:id="114"/>
    <w:p>
      <w:pPr>
        <w:ind w:right="100"/>
        <w:spacing w:after="0" w:line="244" w:lineRule="auto"/>
        <w:rPr>
          <w:sz w:val="20"/>
          <w:szCs w:val="20"/>
          <w:color w:val="auto"/>
        </w:rPr>
      </w:pPr>
      <w:r>
        <w:rPr>
          <w:rFonts w:ascii="Arial" w:cs="Arial" w:eastAsia="Arial" w:hAnsi="Arial"/>
          <w:sz w:val="18"/>
          <w:szCs w:val="18"/>
          <w:color w:val="auto"/>
        </w:rPr>
        <w:t>Our next two programs are part of our RAS-targeting franchise, which we in-licensed in May 2024. We believe these two programs fit within our second approach of targeting RAS directly, both in its active GTP and inactive GDP states. The RAS targeting landscape can be divided into pan-RAS, pan-KRAS, and mutant-selective approaches. We believe pan-RAS and pan-KRAS targeting molecules can address a broad population of patients with G12X, G13X, and possibly Q61X mutations, and also have the potential to address or prevent resistance by blocking wildtype RAS activation.</w:t>
      </w:r>
    </w:p>
    <w:p>
      <w:pPr>
        <w:spacing w:after="0" w:line="16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ERAS-0015 is a potential best-in-class pan-RAS molecular glue in development for the treatment of patients with RAS-altered solid tumors. In vitro, ERAS-0015 has shown approximately 8-21 times higher binding affinity to cyclophilin A versus the leading pan-RAS molecular glue in development. We believe this higher binding affinity results in approximately 5 times more potent RAS inhibition than the comparator that has been demonstrated in cell-based assays. ERAS-0015 also has favorable absorption, distribution, metabolism and excretion (ADME) and PK properties in multiple animal species. As a result of these favorable in vitro potency and ADME/PK attributes, ERAS-0015 has demonstrated comparable to greater in vivo antitumor activity at doses which are approximately one-tenth to one-eighth of the dose of the leading pan-RAS molecular glue. The initial clinical trial for ERAS-0015 will be AURORAS-1, for which we plan to file an investigational new drug application (IND) in mid-Q2 2025, with an anticipated Phase 1 monotherapy data readout in 2026.</w:t>
      </w:r>
    </w:p>
    <w:p>
      <w:pPr>
        <w:spacing w:after="0" w:line="167"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ERAS-4001 is a potential first-in-class pan-KRAS inhibitor in development for the treatment of patients with KRAS-altered solid tumors. The preclinical in vitro potency of ERAS-4001 showed good activity against KRAS G12X mutations, as well as KRAS wildtype amplifications, with no activity observed against HRAS or NRAS wildtype proteins. We believe sparing wild-type HRAS and NRAS has the potential to provide a wider therapeutic window. ERAS-4001 demonstrated activity against both GDP-bound (“inactive state”) and GTP-bound (“active state”) KRAS G12D with single digit nanomolar IC</w:t>
      </w:r>
      <w:r>
        <w:rPr>
          <w:rFonts w:ascii="Arial" w:cs="Arial" w:eastAsia="Arial" w:hAnsi="Arial"/>
          <w:sz w:val="23"/>
          <w:szCs w:val="23"/>
          <w:color w:val="auto"/>
          <w:vertAlign w:val="subscript"/>
        </w:rPr>
        <w:t>50</w:t>
      </w:r>
      <w:r>
        <w:rPr>
          <w:rFonts w:ascii="Arial" w:cs="Arial" w:eastAsia="Arial" w:hAnsi="Arial"/>
          <w:sz w:val="17"/>
          <w:szCs w:val="17"/>
          <w:color w:val="auto"/>
        </w:rPr>
        <w:t>s in a biochemical RAS – RAF1 RBD (RAS Binding Domain) assay. In vivo, ERAS-4001 showed</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good tumor regression in multiple models. In combination with anti-PD-1, ERAS-4001 was able to achieve complete disappearance of tumors in mice on day 31. The initial clinical trial for ERAS-4001 will be BOREALIS-1, for which we plan to file an IND in the second quarter of 2025, with an anticipated Phase 1 monotherapy data readout in 2026.</w:t>
      </w:r>
    </w:p>
    <w:p>
      <w:pPr>
        <w:spacing w:after="0" w:line="16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believe ERAS-0015 has the potential to address unmet medical needs in approximately 2.7 million patients who are diagnosed annually worldwide with RAS-mutant tumors, including the more than 2.2 million patients with KRAS-mutant tumors that ERAS-4001 could also address.</w:t>
      </w:r>
    </w:p>
    <w:p>
      <w:pPr>
        <w:spacing w:after="0" w:line="15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Our next program is ERAS-12, our investigational EGFR D2/D3 biparatopic antibody (bpAb). ERAS-12 is a potential best-in-class biologic that is designed to inhibit EGFR through the combination of multiple proposed mechanisms of action. In tumors where EGFR signaling is thought to be a primary driver of tumor growth, an antibody-based approach has been shown to be an effective way to target the receptor. However, all approved anti-EGFR antibodies target domain III (D3) only, which is the main site for ligand binding, and no approved antibodies target domain II (D2), which is responsible for dimerization of EGFR upon ligand binding. Binding of D2 prevents both EGFR homodimerization as well as heterodimerization. We believe the combined binding of D2 and D3 could result in differentiated and improved inhibition of downstream EGFR signaling. ERAS-12 also aims to exploit the innate immune system to induce tumor cell apoptosis. The Fragment crystallizable (Fc) region of IgG1 antibodies contain binding spots for both immune effector cells (e.g., NK cells) and the classical complement component C1q. By combining novel cell signal inhibition with enhancements to the Fc, we aim to create a potent multi-modal BIC anti-EGFR biologic which we believe could function as a targeted therapy with immunomodulatory activity.</w:t>
      </w:r>
    </w:p>
    <w:p>
      <w:pPr>
        <w:spacing w:after="0" w:line="16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May 2024, in connection with entering into the Joyo License Agreement and Medshine License Agreement, a review of our strategic priorities, and our decision to deemphasize certain drug discovery activities, we approved a strategic reprioritization to focus a substantial portion of our resources on our naporafenib program, ERAS-0015, and ERAS-4001. We deprioritized our HERKULES-3 clinical trial evaluating ERAS-007 in combination with encorafenib and cetuximab (EC) in patients with EC-naïve BRAFm colorectal cancer as we believe the clinical efficacy data did not support continued evaluation. We also deprioritized our THUNDERBBOLT-1 clinical trial evaluating ERAS-801 in patients with recurrent glioblastoma (GBM), although we are exploring further advancement of the ERAS-801 program, including via partnerships and select investigator-sponsored trials. Finally, we deprioritized our preclinical ERAS-4 program; however, certain of our existing ERAS-4 molecules may serve as backup compounds for ERAS-4001.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5" w:name="page116"/>
    <w:bookmarkEnd w:id="115"/>
    <w:p>
      <w:pPr>
        <w:ind w:right="120"/>
        <w:spacing w:after="0" w:line="239" w:lineRule="auto"/>
        <w:rPr>
          <w:sz w:val="20"/>
          <w:szCs w:val="20"/>
          <w:color w:val="auto"/>
        </w:rPr>
      </w:pPr>
      <w:r>
        <w:rPr>
          <w:rFonts w:ascii="Arial" w:cs="Arial" w:eastAsia="Arial" w:hAnsi="Arial"/>
          <w:sz w:val="18"/>
          <w:szCs w:val="18"/>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are working with our current manufacturers to ensure that we will be able to scale up our manufacturing capabilities to support our clinical plans. We are also in the process of locating and qualifying additional manufacturers to build redundancies into our supply chain. In addition, we rely on third parties to package, label, store, and distribute our product candidates, and we intend to continue to rely on third parties with respect to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w:t>
      </w:r>
    </w:p>
    <w:p>
      <w:pPr>
        <w:spacing w:after="0" w:line="17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December 2022, we completed the sale and issuance of 15,384,616 shares of our common stock at a price to the public of $6.50 per share (the 2022 Offering). Proceeds from the 2022 Offering were $94.9 million, net of underwriting discounts and commissions and offering costs of $5.1 million.</w:t>
      </w:r>
    </w:p>
    <w:p>
      <w:pPr>
        <w:spacing w:after="0" w:line="15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 March 2024, we entered into a stock purchase agreement with the purchasers named therein for the private placement of 21,844,660 shares of our common stock at a price of $2.06 per share, which closed on April 2, 2024 (the 2024 Private Placement). Proceeds from the 2024 Private Placement were $43.6 million, after deducting placement agent fees and expenses of approximately $1.4 million.</w:t>
      </w:r>
    </w:p>
    <w:p>
      <w:pPr>
        <w:spacing w:after="0" w:line="155"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In May 2024, we completed the sale and issuance of 99,459,458 shares of our common stock, including the exercise in full by the underwriters of their option to purchase 12,972,972 shares of our common stock, at a price to the public of $1.85 per share (the 2024 Offering). Proceeds from the 2024 Offering were $174.4 million, net of underwriting discounts and commissions and offering costs of $9.6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In August 2022, we entered into an Open Market Sale Agreement (the Sale Agreement) with Jefferies LLC (the Agent), pursuant to which we may offer and sell shares of our common stock having an aggregate offering price of up to $ 200 million from time to time, in an “at-the-market offering” (ATM Offering) through the Agent. Sales of the shares of common stock, if any, will be made at prevailing market prices at the time of sale, or as otherwise agreed with the Agent. Pursuant to the Sale Agreement, the Agent will receive a commission from us of up to 3.0% of the gross proceeds of any shares of common stock sold under the Sale Agreement. During the year ended December 31, 2024, we sold 9,231,114 shares of common stock under the Sale Agreement at a weighted-average price of $ 2.37 per share. Proceeds from the ATM Offering during the year ended December 31, 2024 were $21.0 million, net of commissions and expenses of $0.8 million.</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Since our inception in 2018, we have devoted substantially all of our resources to organizing and staffing our company, business planning, raising capital, identifying, acquiring, and in-licensing our product candidates, establishing our intellectual property portfolio, conducting research, preclinical studies and clinical trials, establishing arrangements with third parties for the manufacture of our product candidates and related raw materials, and providing general and administrative support for these operations. We do not have any products approved for sale and have not generated any revenue. As of December 31, 2024, we have raised a total of $ 1.0 billion to fund our operations, comprised primarily of gross proceeds from our IPO, underwritten offerings, a private placement of our common stock and the sale and issuance of convertible preferred stock. As of December 31, 2024, we had cash, cash equivalents and marketable securities of $440.5 million.</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incurred significant operating losses since inception. Our net losses were $161.7 million and $125.0 million for the years ended December 31, 2024 and 2023, respectively. As of December 31, 2024, we had an accumulated deficit of $767.7 million. We expect our expenses and operating losses will increase substantially for the foreseeable future, particularly if and as we conduct our ongoing and planned clinical trials and preclinical studies; continue our research and development activities; utilize third parties to manufacture our product candidates and related raw materials; hire additional personnel; acquire, in-license, or develop additional product candidates; expand and protect our intellectual property; and incur additional costs associated with being a public company. If we obtain regulatory approval for any of our product candidates, we expect to incur significant commercialization expenses related to product sales, marketing, manufacturing, and distribution. In addition, as our product candidates progress through development and toward commercialization, we will need to make milestone payments to the licensors and other third parties from whom we have in-licensed or acquired our product candidates. Our net losses may fluctuate significantly from quarter-to-quarter and year-to-year, depending on the timing of our clinical trials and preclinical studies and our expenditures on other research and development activities.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6" w:name="page117"/>
    <w:bookmarkEnd w:id="116"/>
    <w:p>
      <w:pPr>
        <w:spacing w:after="0" w:line="239" w:lineRule="auto"/>
        <w:rPr>
          <w:sz w:val="20"/>
          <w:szCs w:val="20"/>
          <w:color w:val="auto"/>
        </w:rPr>
      </w:pPr>
      <w:r>
        <w:rPr>
          <w:rFonts w:ascii="Arial" w:cs="Arial" w:eastAsia="Arial" w:hAnsi="Arial"/>
          <w:sz w:val="18"/>
          <w:szCs w:val="18"/>
          <w:color w:val="auto"/>
        </w:rPr>
        <w:t>Based upon our current operating plans, we believe that our cash, cash equivalents and marketable securities as of December 31, 2024 will be sufficient to fund our operations into the second half of 2027. We do not expect to generate any revenues from product sales until we successfully complete development and obtain regulatory approval for one or more of our product candidates, which we expect will take a number of years and may never occur.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research and development programs or other operations, or grant rights to develop and market product candidates that we would otherwise prefer to develop and market ourselves.</w:t>
      </w:r>
    </w:p>
    <w:p>
      <w:pPr>
        <w:spacing w:after="0" w:line="16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financial condition and results of operations may also be impacted by other factors we may not be able to control, such as geopolitical and economic events. We do not believe that such factors had a material adverse impact on our results of operations during the year ended December 31, 2024.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 and license agreements</w:t>
      </w:r>
    </w:p>
    <w:p>
      <w:pPr>
        <w:spacing w:after="0" w:line="19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have entered into in-license and acquisition agreements pursuant to which we in-licensed or acquired certain intellectual property rights related to our product candidates and development programs.</w:t>
      </w:r>
    </w:p>
    <w:p>
      <w:pPr>
        <w:spacing w:after="0" w:line="140"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For additional information regarding these agreements, see the section titled “Business—Our acquisition and license agreements” in this Annual Report on Form 10-K.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9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do not expect to generate any revenue from the sale of products unless and until such time that our product candidates have advanced through clinical development and obtained regulatory approval, if ever. If we fail to complete preclinical and clinical development of product candidates or obtain regulatory approval for them, our ability to generate future revenues, and our results of operations and financial position would be adversely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8" w:lineRule="exact"/>
        <w:rPr>
          <w:sz w:val="20"/>
          <w:szCs w:val="20"/>
          <w:color w:val="auto"/>
        </w:rPr>
      </w:pPr>
    </w:p>
    <w:p>
      <w:pPr>
        <w:ind w:right="700"/>
        <w:spacing w:after="0" w:line="253" w:lineRule="auto"/>
        <w:rPr>
          <w:sz w:val="20"/>
          <w:szCs w:val="20"/>
          <w:color w:val="auto"/>
        </w:rPr>
      </w:pPr>
      <w:r>
        <w:rPr>
          <w:rFonts w:ascii="Arial" w:cs="Arial" w:eastAsia="Arial" w:hAnsi="Arial"/>
          <w:sz w:val="18"/>
          <w:szCs w:val="18"/>
          <w:color w:val="auto"/>
        </w:rPr>
        <w:t>Research and development expenses consist of external and internal costs associated with our research and development activities, including our discovery and research efforts and the preclinical and clinical development of our product candidates. Research and development costs are expensed as incurred. Our research and development expenses include:</w:t>
      </w:r>
    </w:p>
    <w:p>
      <w:pPr>
        <w:spacing w:after="0" w:line="61" w:lineRule="exact"/>
        <w:rPr>
          <w:sz w:val="20"/>
          <w:szCs w:val="20"/>
          <w:color w:val="auto"/>
        </w:rPr>
      </w:pPr>
    </w:p>
    <w:p>
      <w:pPr>
        <w:ind w:left="760" w:right="380" w:hanging="752"/>
        <w:spacing w:after="0" w:line="271" w:lineRule="auto"/>
        <w:tabs>
          <w:tab w:leader="none" w:pos="4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external costs, including expenses incurred under arrangements with third parties, such as contract research organizations (CROs), contract manufacturing organizations (CMOs), consultants and our scientific advisors; and</w:t>
      </w:r>
    </w:p>
    <w:p>
      <w:pPr>
        <w:spacing w:after="0" w:line="45" w:lineRule="exact"/>
        <w:rPr>
          <w:rFonts w:ascii="Arial" w:cs="Arial" w:eastAsia="Arial" w:hAnsi="Arial"/>
          <w:sz w:val="18"/>
          <w:szCs w:val="18"/>
          <w:color w:val="auto"/>
        </w:rPr>
      </w:pPr>
    </w:p>
    <w:p>
      <w:pPr>
        <w:ind w:left="400" w:hanging="392"/>
        <w:spacing w:after="0"/>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internal costs, including:</w:t>
      </w:r>
    </w:p>
    <w:p>
      <w:pPr>
        <w:spacing w:after="0" w:line="103" w:lineRule="exact"/>
        <w:rPr>
          <w:rFonts w:ascii="Arial" w:cs="Arial" w:eastAsia="Arial" w:hAnsi="Arial"/>
          <w:sz w:val="18"/>
          <w:szCs w:val="18"/>
          <w:color w:val="auto"/>
        </w:rPr>
      </w:pPr>
    </w:p>
    <w:p>
      <w:pPr>
        <w:ind w:left="1500" w:right="480" w:hanging="690"/>
        <w:spacing w:after="0" w:line="271" w:lineRule="auto"/>
        <w:tabs>
          <w:tab w:leader="none" w:pos="1205" w:val="left"/>
        </w:tabs>
        <w:numPr>
          <w:ilvl w:val="1"/>
          <w:numId w:val="52"/>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for those individuals involved in research and development efforts;</w:t>
      </w:r>
    </w:p>
    <w:p>
      <w:pPr>
        <w:spacing w:after="0" w:line="45" w:lineRule="exact"/>
        <w:rPr>
          <w:rFonts w:ascii="Arial" w:cs="Arial" w:eastAsia="Arial" w:hAnsi="Arial"/>
          <w:sz w:val="18"/>
          <w:szCs w:val="18"/>
          <w:color w:val="auto"/>
        </w:rPr>
      </w:pPr>
    </w:p>
    <w:p>
      <w:pPr>
        <w:ind w:left="1220" w:hanging="410"/>
        <w:spacing w:after="0"/>
        <w:tabs>
          <w:tab w:leader="none" w:pos="1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materials; and</w:t>
      </w:r>
    </w:p>
    <w:p>
      <w:pPr>
        <w:spacing w:after="0" w:line="103" w:lineRule="exact"/>
        <w:rPr>
          <w:rFonts w:ascii="Arial" w:cs="Arial" w:eastAsia="Arial" w:hAnsi="Arial"/>
          <w:sz w:val="18"/>
          <w:szCs w:val="18"/>
          <w:color w:val="auto"/>
        </w:rPr>
      </w:pPr>
    </w:p>
    <w:p>
      <w:pPr>
        <w:ind w:left="1220" w:hanging="410"/>
        <w:spacing w:after="0"/>
        <w:tabs>
          <w:tab w:leader="none" w:pos="1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facilities and depreciation, which include direct and allocated expenses for rent of facilities and depreciation.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The following table summarizes our research and development expenses incurred for the following periods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20" w:type="dxa"/>
            <w:vAlign w:val="bottom"/>
            <w:gridSpan w:val="5"/>
          </w:tcPr>
          <w:p>
            <w:pPr>
              <w:ind w:left="400"/>
              <w:spacing w:after="0"/>
              <w:rPr>
                <w:sz w:val="20"/>
                <w:szCs w:val="20"/>
                <w:color w:val="auto"/>
              </w:rPr>
            </w:pPr>
            <w:r>
              <w:rPr>
                <w:rFonts w:ascii="Arial" w:cs="Arial" w:eastAsia="Arial" w:hAnsi="Arial"/>
                <w:sz w:val="16"/>
                <w:szCs w:val="16"/>
                <w:b w:val="1"/>
                <w:bCs w:val="1"/>
                <w:color w:val="auto"/>
              </w:rPr>
              <w:t>Year Ended December 31,</w:t>
            </w:r>
          </w:p>
        </w:tc>
      </w:tr>
      <w:tr>
        <w:trPr>
          <w:trHeight w:val="183"/>
        </w:trPr>
        <w:tc>
          <w:tcPr>
            <w:tcW w:w="7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3"/>
              <w:spacing w:after="0" w:line="183" w:lineRule="exact"/>
              <w:rPr>
                <w:sz w:val="20"/>
                <w:szCs w:val="20"/>
                <w:color w:val="auto"/>
              </w:rPr>
            </w:pPr>
            <w:r>
              <w:rPr>
                <w:rFonts w:ascii="Arial" w:cs="Arial" w:eastAsia="Arial" w:hAnsi="Arial"/>
                <w:sz w:val="16"/>
                <w:szCs w:val="16"/>
                <w:b w:val="1"/>
                <w:bCs w:val="1"/>
                <w:color w:val="auto"/>
              </w:rPr>
              <w:t>2024</w:t>
            </w:r>
          </w:p>
        </w:tc>
        <w:tc>
          <w:tcPr>
            <w:tcW w:w="22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92"/>
              <w:spacing w:after="0" w:line="183"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r>
      <w:tr>
        <w:trPr>
          <w:trHeight w:val="196"/>
        </w:trPr>
        <w:tc>
          <w:tcPr>
            <w:tcW w:w="770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Naporafenib</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51,248</w:t>
            </w:r>
          </w:p>
        </w:tc>
        <w:tc>
          <w:tcPr>
            <w:tcW w:w="6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31,564</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clinical programs</w:t>
            </w: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7,047</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44,892</w:t>
            </w:r>
          </w:p>
        </w:tc>
        <w:tc>
          <w:tcPr>
            <w:tcW w:w="100" w:type="dxa"/>
            <w:vAlign w:val="bottom"/>
          </w:tcPr>
          <w:p>
            <w:pPr>
              <w:spacing w:after="0"/>
              <w:rPr>
                <w:sz w:val="17"/>
                <w:szCs w:val="17"/>
                <w:color w:val="auto"/>
              </w:rPr>
            </w:pPr>
          </w:p>
        </w:tc>
      </w:tr>
      <w:tr>
        <w:trPr>
          <w:trHeight w:val="203"/>
        </w:trPr>
        <w:tc>
          <w:tcPr>
            <w:tcW w:w="7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discovery and preclinical programs</w:t>
            </w:r>
          </w:p>
        </w:tc>
        <w:tc>
          <w:tcPr>
            <w:tcW w:w="1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57,064</w:t>
            </w: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27,365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research and development expenses</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115,359</w:t>
            </w:r>
          </w:p>
        </w:tc>
        <w:tc>
          <w:tcPr>
            <w:tcW w:w="6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103,821</w:t>
            </w:r>
          </w:p>
        </w:tc>
        <w:tc>
          <w:tcPr>
            <w:tcW w:w="10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-162560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conduct our ongoing research and development activities, conduct clinical trials and advance our preclinical research programs toward clinical development, particularly as more of our product candidates move into later stages of development, which typically cost more. The process of conducting clinical trials and preclinical studies necessary to obtain regulatory approval is costly and time-consuming. We may never succeed in achieving marketing approval for any of our product candidates.</w:t>
      </w:r>
    </w:p>
    <w:p>
      <w:pPr>
        <w:spacing w:after="0" w:line="14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timelines and costs with research and development activities are uncertain, can vary significantly for each product candidate and program and are difficult to predict. We anticipate we will make determinations as to which product candidates and programs to pursue and how much funding to direct to each product candidate and program on an ongoing basis in response to preclinical and clinical results, regulatory developments, ongoing assessments as to each product candidate’s and program’s commercial potential, and our ability to enter into collaborations, licenses or other similar agreements to the extent we determine the resources or expertise of a third-party would be beneficial for a given product candidate or program. We will need to raise substantial additional capital in the future. In addition, we cannot forecast which product candidates and programs may be subject to future collaborations, licenses, or other agreements, when such arrangements will be secured, if at all, and to what degree such arrangements would affect our development plans and capital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development costs may vary significantly based on factors such as:</w:t>
      </w:r>
    </w:p>
    <w:p>
      <w:pPr>
        <w:spacing w:after="0" w:line="104"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 and clinical trials;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the number of sites included in the trials;</w:t>
      </w:r>
    </w:p>
    <w:p>
      <w:pPr>
        <w:spacing w:after="0" w:line="103" w:lineRule="exact"/>
        <w:rPr>
          <w:rFonts w:ascii="Arial" w:cs="Arial" w:eastAsia="Arial" w:hAnsi="Arial"/>
          <w:sz w:val="18"/>
          <w:szCs w:val="18"/>
          <w:b w:val="1"/>
          <w:bCs w:val="1"/>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phase of development of our product candidates;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receipt and terms of any approvals from applicable regulatory authorities;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 if any;</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03" w:lineRule="exact"/>
        <w:rPr>
          <w:rFonts w:ascii="Arial" w:cs="Arial" w:eastAsia="Arial" w:hAnsi="Arial"/>
          <w:sz w:val="18"/>
          <w:szCs w:val="18"/>
          <w:color w:val="auto"/>
        </w:rPr>
      </w:pPr>
    </w:p>
    <w:p>
      <w:pPr>
        <w:ind w:left="540" w:right="20" w:hanging="532"/>
        <w:spacing w:after="0" w:line="271" w:lineRule="auto"/>
        <w:tabs>
          <w:tab w:leader="none" w:pos="40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any interruptions to our operations or to those of third parties with whom we work due to geopolitical and economic events; and</w:t>
      </w:r>
    </w:p>
    <w:p>
      <w:pPr>
        <w:spacing w:after="0" w:line="45"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extent to which we establish additional collaboration, license or other arrangements.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In-process research and development</w:t>
      </w:r>
    </w:p>
    <w:p>
      <w:pPr>
        <w:spacing w:after="0" w:line="21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In-process research and development expenses include rights acquired as part of asset acquisitions or in-licenses to develop and commercialize product candidates. Upfront payments that relate to the acquisition of a new product candidate, as well as pre-commercial milestone payments, are immediately expensed as in-process research and development in the period in which they are incurred, provided that the new product candidate did not also include processes or activities that would constitute a “business” as defined under US generally accepted accounting principles (US GAAP), the product candidate has not achieved regulatory approval for marketing and, absent obtaining such approval, has no established alternative future use.</w:t>
      </w:r>
    </w:p>
    <w:p>
      <w:pPr>
        <w:spacing w:after="0" w:line="16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In-process research and development expenses consist primarily of our upfront payments, milestone payments, and our stock issuances in connection with our acquisition and in-license agreements.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7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benefits and stock-based compensation, for employees in our finance, accounting, legal, information technology, business development and support functions. Other general and administrative expenses include allocated facility and depreciation related costs not otherwise included in research and development expenses and professional fees for auditing, tax, intellectual property and legal services. Costs related to filing and pursuing patent applications are recognized as general and administrative expenses as incurred since recoverability of such expenditures is uncertain.</w:t>
      </w:r>
    </w:p>
    <w:p>
      <w:pPr>
        <w:spacing w:after="0" w:line="14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expect our general and administrative expenses will increase substantially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primarily of interest earned on our cash, cash equivalents and marketable securities.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2024 and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2024 and 2023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00" w:type="dxa"/>
            <w:vAlign w:val="bottom"/>
            <w:gridSpan w:val="5"/>
          </w:tcPr>
          <w:p>
            <w:pPr>
              <w:jc w:val="right"/>
              <w:ind w:right="11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6"/>
                <w:szCs w:val="16"/>
                <w:color w:val="auto"/>
              </w:rPr>
            </w:pPr>
          </w:p>
        </w:tc>
        <w:tc>
          <w:tcPr>
            <w:tcW w:w="1440" w:type="dxa"/>
            <w:vAlign w:val="bottom"/>
            <w:gridSpan w:val="2"/>
            <w:vMerge w:val="restart"/>
          </w:tcPr>
          <w:p>
            <w:pPr>
              <w:jc w:val="right"/>
              <w:ind w:right="6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72"/>
              <w:spacing w:after="0" w:line="183" w:lineRule="exact"/>
              <w:rPr>
                <w:sz w:val="20"/>
                <w:szCs w:val="20"/>
                <w:color w:val="auto"/>
              </w:rPr>
            </w:pPr>
            <w:r>
              <w:rPr>
                <w:rFonts w:ascii="Arial" w:cs="Arial" w:eastAsia="Arial" w:hAnsi="Arial"/>
                <w:sz w:val="16"/>
                <w:szCs w:val="16"/>
                <w:b w:val="1"/>
                <w:bCs w:val="1"/>
                <w:color w:val="auto"/>
              </w:rPr>
              <w:t>2024</w:t>
            </w:r>
          </w:p>
        </w:tc>
        <w:tc>
          <w:tcPr>
            <w:tcW w:w="3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571"/>
              <w:spacing w:after="0" w:line="183" w:lineRule="exact"/>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18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80"/>
              <w:spacing w:after="0" w:line="202" w:lineRule="exact"/>
              <w:rPr>
                <w:sz w:val="20"/>
                <w:szCs w:val="20"/>
                <w:color w:val="auto"/>
              </w:rPr>
            </w:pPr>
            <w:r>
              <w:rPr>
                <w:rFonts w:ascii="Arial" w:cs="Arial" w:eastAsia="Arial" w:hAnsi="Arial"/>
                <w:sz w:val="18"/>
                <w:szCs w:val="18"/>
                <w:color w:val="auto"/>
              </w:rPr>
              <w:t>Research and development</w:t>
            </w:r>
          </w:p>
        </w:tc>
        <w:tc>
          <w:tcPr>
            <w:tcW w:w="1600" w:type="dxa"/>
            <w:vAlign w:val="bottom"/>
            <w:gridSpan w:val="2"/>
          </w:tcPr>
          <w:p>
            <w:pPr>
              <w:jc w:val="center"/>
              <w:ind w:left="81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115,359</w:t>
            </w:r>
          </w:p>
        </w:tc>
        <w:tc>
          <w:tcPr>
            <w:tcW w:w="30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103,821</w:t>
            </w:r>
          </w:p>
        </w:tc>
        <w:tc>
          <w:tcPr>
            <w:tcW w:w="3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11,538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In-process research and development</w:t>
            </w:r>
          </w:p>
        </w:tc>
        <w:tc>
          <w:tcPr>
            <w:tcW w:w="1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22,500</w:t>
            </w: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Borders>
              <w:bottom w:val="single" w:sz="8" w:color="CFF0FC"/>
            </w:tcBorders>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118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41,728</w:t>
            </w:r>
          </w:p>
        </w:tc>
        <w:tc>
          <w:tcPr>
            <w:tcW w:w="3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37,704</w:t>
            </w:r>
          </w:p>
        </w:tc>
        <w:tc>
          <w:tcPr>
            <w:tcW w:w="3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4,024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179,587</w:t>
            </w:r>
          </w:p>
        </w:tc>
        <w:tc>
          <w:tcPr>
            <w:tcW w:w="3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141,525</w:t>
            </w:r>
          </w:p>
        </w:tc>
        <w:tc>
          <w:tcPr>
            <w:tcW w:w="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38,062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(179,587 )</w:t>
            </w:r>
          </w:p>
        </w:tc>
        <w:tc>
          <w:tcPr>
            <w:tcW w:w="380" w:type="dxa"/>
            <w:vAlign w:val="bottom"/>
          </w:tcPr>
          <w:p>
            <w:pPr>
              <w:spacing w:after="0"/>
              <w:rPr>
                <w:sz w:val="17"/>
                <w:szCs w:val="17"/>
                <w:color w:val="auto"/>
              </w:rPr>
            </w:pPr>
          </w:p>
        </w:tc>
        <w:tc>
          <w:tcPr>
            <w:tcW w:w="15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(141,525 )</w:t>
            </w:r>
          </w:p>
        </w:tc>
        <w:tc>
          <w:tcPr>
            <w:tcW w:w="320" w:type="dxa"/>
            <w:vAlign w:val="bottom"/>
          </w:tcPr>
          <w:p>
            <w:pPr>
              <w:spacing w:after="0"/>
              <w:rPr>
                <w:sz w:val="17"/>
                <w:szCs w:val="17"/>
                <w:color w:val="auto"/>
              </w:rPr>
            </w:pPr>
          </w:p>
        </w:tc>
        <w:tc>
          <w:tcPr>
            <w:tcW w:w="14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(38,062 )</w:t>
            </w:r>
          </w:p>
        </w:tc>
        <w:tc>
          <w:tcPr>
            <w:tcW w:w="0" w:type="dxa"/>
            <w:vAlign w:val="bottom"/>
          </w:tcPr>
          <w:p>
            <w:pPr>
              <w:spacing w:after="0"/>
              <w:rPr>
                <w:sz w:val="1"/>
                <w:szCs w:val="1"/>
                <w:color w:val="auto"/>
              </w:rPr>
            </w:pPr>
          </w:p>
        </w:tc>
      </w:tr>
      <w:tr>
        <w:trPr>
          <w:trHeight w:val="203"/>
        </w:trPr>
        <w:tc>
          <w:tcPr>
            <w:tcW w:w="43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Total other income (expense), net</w:t>
            </w:r>
          </w:p>
        </w:tc>
        <w:tc>
          <w:tcPr>
            <w:tcW w:w="11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17,937</w:t>
            </w:r>
          </w:p>
        </w:tc>
        <w:tc>
          <w:tcPr>
            <w:tcW w:w="3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16,483</w:t>
            </w:r>
          </w:p>
        </w:tc>
        <w:tc>
          <w:tcPr>
            <w:tcW w:w="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1,454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ind w:left="20"/>
              <w:spacing w:after="0" w:line="182" w:lineRule="exact"/>
              <w:rPr>
                <w:sz w:val="20"/>
                <w:szCs w:val="20"/>
                <w:color w:val="auto"/>
              </w:rPr>
            </w:pPr>
            <w:r>
              <w:rPr>
                <w:rFonts w:ascii="Arial" w:cs="Arial" w:eastAsia="Arial" w:hAnsi="Arial"/>
                <w:sz w:val="18"/>
                <w:szCs w:val="18"/>
                <w:color w:val="auto"/>
              </w:rPr>
              <w:t>Net loss</w:t>
            </w:r>
          </w:p>
        </w:tc>
        <w:tc>
          <w:tcPr>
            <w:tcW w:w="1180" w:type="dxa"/>
            <w:vAlign w:val="bottom"/>
          </w:tcPr>
          <w:p>
            <w:pPr>
              <w:spacing w:after="0"/>
              <w:rPr>
                <w:sz w:val="17"/>
                <w:szCs w:val="17"/>
                <w:color w:val="auto"/>
              </w:rPr>
            </w:pPr>
          </w:p>
        </w:tc>
        <w:tc>
          <w:tcPr>
            <w:tcW w:w="420" w:type="dxa"/>
            <w:vAlign w:val="bottom"/>
          </w:tcPr>
          <w:p>
            <w:pPr>
              <w:jc w:val="center"/>
              <w:ind w:right="190"/>
              <w:spacing w:after="0" w:line="182" w:lineRule="exact"/>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(161,650 )</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(125,042 )</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(36,608 )</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4380" w:type="dxa"/>
            <w:vAlign w:val="bottom"/>
          </w:tcPr>
          <w:p>
            <w:pPr>
              <w:spacing w:after="0"/>
              <w:rPr>
                <w:sz w:val="24"/>
                <w:szCs w:val="24"/>
                <w:color w:val="auto"/>
              </w:rPr>
            </w:pPr>
          </w:p>
        </w:tc>
        <w:tc>
          <w:tcPr>
            <w:tcW w:w="160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117</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-1452245</wp:posOffset>
            </wp:positionV>
            <wp:extent cx="9398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-1452245</wp:posOffset>
            </wp:positionV>
            <wp:extent cx="9398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-1452245</wp:posOffset>
            </wp:positionV>
            <wp:extent cx="939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-1036320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-1036320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98"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Research and development expenses were $115.4 million for the year ended December 31, 2024 compared to $103.8 million for the year ended December 31, 2023. The increase of $11.5 million was primarily driven by an increase of $10.0 million in expenses incurred in connection with clinical trials, preclinical studies and discovery activities and an impairment charge of $ 3.0 million on operating lease assets, leasehold improvements, and furniture related to the sublease of the first floor of our San Diego facility during the year ended December 31, 2024, partially offset by a $1.5 million decrease in personnel costs, including stock-based compensation expense, primarily due to the reduction in force in May 2024.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 expenses</w:t>
      </w:r>
    </w:p>
    <w:p>
      <w:pPr>
        <w:spacing w:after="0" w:line="19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In-process research and development expenses were $ 22.5 million for the year ended December 31, 2024 compared to $ 0 for the year ended December 31, 2023. The increase was driven by upfront payments of $12.5 million and $10.0 million in connection with our license agreements with Joyo and Medshine, respectively, during the year ended December 31, 2024.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General and administrative expenses were $41.7 million for the year ended December 31, 2024 compared to $37.7 million for the year ended December 31, 2023. The increase of $4.0 million was primarily driven by an increase of $2.2 million in personnel costs, including stock-based compensation expense, an impairment charge of $1.7 million on operating lease assets, leasehold improvements, and furniture related to the sublease of the first floor of our San Diego facility during the year ended December 31, 2024, and an increase of $1.4 million in legal fees, partially offset by decreases of $0.8 million in insurance costs and $0.7 million in facility and office-related expenses.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98"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Other income (expense), net was $17.9 million for the year ended December 31, 2024 compared to $16.5 million for the year ended December 31, 2023. The increase of $1.5 million was primarily related to an increase in interest earned on our cash, cash equivalents and marketable securities of $3.4 million, partially offset by $2.2 million in impairment charges on our investment in equity securities during the year ended December 31, 2024.</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19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July 2021, we completed our IPO and issued 21,562,500 shares of our common stock, including the exercise in full by the underwriters of their option to purchase 2,812,500 shares of our common stock, at a price to the public of $16.00 per share. Our aggregate net proceeds from the offering were $ 317.0 million, net of underwriting discounts and commissions of $24.2 million and offering costs of $3.8 million. Prior to the IPO, we received aggregate gross proceeds of $320.4 million from the sale of shares of our convertible preferred stock.</w:t>
      </w:r>
    </w:p>
    <w:p>
      <w:pPr>
        <w:spacing w:after="0" w:line="16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August 2022, we entered into the Sale Agreement with the Agent, pursuant to which we may offer and sell shares of our common stock having an aggregate offering price of up to $200 million from time to time, in ATM Offerings through the Agent. Sales of the shares of common stock, if any, will be made at prevailing market prices at the time of sale, or as otherwise agreed with the Agent. Pursuant to the Sale Agreement, the Agent will receive a commission from us of up to 3.0% of the gross proceeds of any shares of common stock sold under the Sale Agreement. During the year ended December 31, 2024, we sold 9,231,114 shares of common stock under the Sale Agreement at a weighted-average price of $2.37 per share. Proceeds from the ATM Offering during the year ended December 31, 2024 were $21.0 million, net of commissions and expenses of $0.8 million.</w:t>
      </w:r>
    </w:p>
    <w:p>
      <w:pPr>
        <w:spacing w:after="0" w:line="171"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In December 2022, we completed the 2022 Offering and issued 15,384,616 shares of our common stock at a price to the public of $6.50 per share. Proceeds from the 2022 Offering were $94.9 million, net of underwriting discounts and commissions and offering costs of $5.1 million.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0" w:name="page121"/>
    <w:bookmarkEnd w:id="120"/>
    <w:p>
      <w:pPr>
        <w:jc w:val="both"/>
        <w:ind w:right="400"/>
        <w:spacing w:after="0" w:line="253" w:lineRule="auto"/>
        <w:rPr>
          <w:sz w:val="20"/>
          <w:szCs w:val="20"/>
          <w:color w:val="auto"/>
        </w:rPr>
      </w:pPr>
      <w:r>
        <w:rPr>
          <w:rFonts w:ascii="Arial" w:cs="Arial" w:eastAsia="Arial" w:hAnsi="Arial"/>
          <w:sz w:val="18"/>
          <w:szCs w:val="18"/>
          <w:color w:val="auto"/>
        </w:rPr>
        <w:t>In March 2024, in connection with the 2024 Private Placement, we entered into a stock purchase agreement with the purchasers named therein for the private placement of 21,844,660 shares of our common stock at a price of $2.06 per share, which closed on April 2, 2024. Proceeds from the 2024 Private Placement were $43.6 million, net of placement agent fees and expenses of approximately $1.4 million.</w:t>
      </w:r>
    </w:p>
    <w:p>
      <w:pPr>
        <w:spacing w:after="0" w:line="15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May 2024, we completed the 2024 Offering and issued 99,459,458 shares of our common stock, including the exercise in full by the underwriters of their option to purchase 12,972,972 shares of our common stock, at a price to the public of $1.85 per share. Proceeds from the 2024 Offering were $174.4 million, net of underwriting discounts and commissions and offering costs of $9.6 million.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198"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As of December 31, 2024, we had cash, cash equivalents and marketable securities of $440.5 million. Based upon our current operating plans, we believe that our cash, cash equivalents and marketable securities will be sufficient to fund our operations into the second half of 2027.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 but not limited to:</w:t>
      </w:r>
    </w:p>
    <w:p>
      <w:pPr>
        <w:spacing w:after="0" w:line="104" w:lineRule="exact"/>
        <w:rPr>
          <w:sz w:val="20"/>
          <w:szCs w:val="20"/>
          <w:color w:val="auto"/>
        </w:rPr>
      </w:pPr>
    </w:p>
    <w:p>
      <w:pPr>
        <w:ind w:left="540" w:hanging="532"/>
        <w:spacing w:after="0" w:line="253" w:lineRule="auto"/>
        <w:tabs>
          <w:tab w:leader="none" w:pos="40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type, number, scope, progress, expansions, results, costs and timing of discovery, preclinical studies and clinical trials of our product candidates that we are pursuing or may choose to pursue in the future, including the costs of any third-party products used in our combination clinical trials that are not covered by such third party or other sources;</w:t>
      </w:r>
    </w:p>
    <w:p>
      <w:pPr>
        <w:spacing w:after="0" w:line="60" w:lineRule="exact"/>
        <w:rPr>
          <w:rFonts w:ascii="Arial" w:cs="Arial" w:eastAsia="Arial" w:hAnsi="Arial"/>
          <w:sz w:val="18"/>
          <w:szCs w:val="18"/>
          <w:color w:val="auto"/>
        </w:rPr>
      </w:pPr>
    </w:p>
    <w:p>
      <w:pPr>
        <w:ind w:left="540" w:right="620" w:hanging="532"/>
        <w:spacing w:after="0" w:line="271" w:lineRule="auto"/>
        <w:tabs>
          <w:tab w:leader="none" w:pos="40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and timing of manufacturing for our product candidates with CMOs, including commercial manufacturing, if any product candidate is approved;</w:t>
      </w:r>
    </w:p>
    <w:p>
      <w:pPr>
        <w:spacing w:after="0" w:line="45"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03" w:lineRule="exact"/>
        <w:rPr>
          <w:rFonts w:ascii="Arial" w:cs="Arial" w:eastAsia="Arial" w:hAnsi="Arial"/>
          <w:sz w:val="18"/>
          <w:szCs w:val="18"/>
          <w:color w:val="auto"/>
        </w:rPr>
      </w:pPr>
    </w:p>
    <w:p>
      <w:pPr>
        <w:ind w:left="540" w:right="580" w:hanging="532"/>
        <w:spacing w:after="0" w:line="271" w:lineRule="auto"/>
        <w:tabs>
          <w:tab w:leader="none" w:pos="401"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45"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consultants, and CROs as our preclinical and clinical activities increase;</w:t>
      </w:r>
    </w:p>
    <w:p>
      <w:pPr>
        <w:spacing w:after="0" w:line="103" w:lineRule="exact"/>
        <w:rPr>
          <w:rFonts w:ascii="Arial" w:cs="Arial" w:eastAsia="Arial" w:hAnsi="Arial"/>
          <w:sz w:val="18"/>
          <w:szCs w:val="18"/>
          <w:color w:val="auto"/>
        </w:rPr>
      </w:pPr>
    </w:p>
    <w:p>
      <w:pPr>
        <w:ind w:left="540" w:right="60" w:hanging="532"/>
        <w:spacing w:after="0" w:line="271" w:lineRule="auto"/>
        <w:tabs>
          <w:tab w:leader="none" w:pos="40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or acquired our product candidates or technologies;</w:t>
      </w:r>
    </w:p>
    <w:p>
      <w:pPr>
        <w:spacing w:after="0" w:line="45"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103" w:lineRule="exact"/>
        <w:rPr>
          <w:rFonts w:ascii="Arial" w:cs="Arial" w:eastAsia="Arial" w:hAnsi="Arial"/>
          <w:sz w:val="18"/>
          <w:szCs w:val="18"/>
          <w:color w:val="auto"/>
        </w:rPr>
      </w:pPr>
    </w:p>
    <w:p>
      <w:pPr>
        <w:ind w:left="540" w:right="20" w:hanging="532"/>
        <w:spacing w:after="0" w:line="271" w:lineRule="auto"/>
        <w:tabs>
          <w:tab w:leader="none" w:pos="401"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45" w:lineRule="exact"/>
        <w:rPr>
          <w:rFonts w:ascii="Arial" w:cs="Arial" w:eastAsia="Arial" w:hAnsi="Arial"/>
          <w:sz w:val="18"/>
          <w:szCs w:val="18"/>
          <w:color w:val="auto"/>
        </w:rPr>
      </w:pPr>
    </w:p>
    <w:p>
      <w:pPr>
        <w:ind w:left="540" w:right="220" w:hanging="532"/>
        <w:spacing w:after="0" w:line="271" w:lineRule="auto"/>
        <w:tabs>
          <w:tab w:leader="none" w:pos="401"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45"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delays and cost increases that result from geopolitical and economic events; and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1" w:name="page122"/>
    <w:bookmarkEnd w:id="121"/>
    <w:p>
      <w:pPr>
        <w:ind w:right="140"/>
        <w:spacing w:after="0" w:line="238" w:lineRule="auto"/>
        <w:rPr>
          <w:sz w:val="20"/>
          <w:szCs w:val="20"/>
          <w:color w:val="auto"/>
        </w:rPr>
      </w:pPr>
      <w:r>
        <w:rPr>
          <w:rFonts w:ascii="Arial" w:cs="Arial" w:eastAsia="Arial" w:hAnsi="Arial"/>
          <w:sz w:val="18"/>
          <w:szCs w:val="18"/>
          <w:color w:val="auto"/>
        </w:rPr>
        <w:t>We have no other committed sources of capital. Until we can generate a sufficient amount of product revenue to finance our cash requirements, if ever, we expect to finance our future cash needs primarily through equity offerings (including through the Sale Agreement),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licensing, or other similar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research and development programs or other operations, or grant rights to develop and market product candidates to third parties that we would otherwise prefer to develop and market ourselves.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periods presented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Year Ended December 31,</w:t>
            </w:r>
          </w:p>
        </w:tc>
      </w:tr>
      <w:tr>
        <w:trPr>
          <w:trHeight w:val="183"/>
        </w:trPr>
        <w:tc>
          <w:tcPr>
            <w:tcW w:w="768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13"/>
              <w:spacing w:after="0" w:line="183" w:lineRule="exact"/>
              <w:rPr>
                <w:sz w:val="20"/>
                <w:szCs w:val="20"/>
                <w:color w:val="auto"/>
              </w:rPr>
            </w:pPr>
            <w:r>
              <w:rPr>
                <w:rFonts w:ascii="Arial" w:cs="Arial" w:eastAsia="Arial" w:hAnsi="Arial"/>
                <w:sz w:val="16"/>
                <w:szCs w:val="16"/>
                <w:b w:val="1"/>
                <w:bCs w:val="1"/>
                <w:color w:val="auto"/>
              </w:rPr>
              <w:t>2024</w:t>
            </w:r>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32"/>
              <w:spacing w:after="0" w:line="183"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provided by:</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(109,417 )</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(101,217 )</w:t>
            </w:r>
          </w:p>
        </w:tc>
      </w:tr>
      <w:tr>
        <w:trPr>
          <w:trHeight w:val="203"/>
        </w:trPr>
        <w:tc>
          <w:tcPr>
            <w:tcW w:w="7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(156,616 )</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(91,220 )</w:t>
            </w:r>
          </w:p>
        </w:tc>
      </w:tr>
      <w:tr>
        <w:trPr>
          <w:trHeight w:val="203"/>
        </w:trPr>
        <w:tc>
          <w:tcPr>
            <w:tcW w:w="7680" w:type="dxa"/>
            <w:vAlign w:val="bottom"/>
          </w:tcPr>
          <w:p>
            <w:pPr>
              <w:ind w:left="180"/>
              <w:spacing w:after="0" w:line="202" w:lineRule="exact"/>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240,697</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1,295</w:t>
            </w:r>
          </w:p>
        </w:tc>
        <w:tc>
          <w:tcPr>
            <w:tcW w:w="10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color w:val="auto"/>
              </w:rPr>
              <w:t>(25,336 )</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(191,142 )</w:t>
            </w: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Cash used in operating activities was $109.4 million during the year ended December 31, 2024, primarily resulting from a net loss of $161.7 million and accretion on marketable securities of $9.6 million, partially reduced by stock-based compensation expense of $27.0 million, in-process research and development expenses of $22.5 million in connection with our license agreements with Joyo and Medshine, which are reflected in investing activities, an impairment charge of $4.7 million on operating lease assets, leasehold improvements and furniture, depreciation and amortization expense of $3.8 million, impairment charges of $ 2.2 million on investment in equity securities, and changes in operating assets and liabilities of $ 1.7 million. Net cash provided by changes in operating assets and liabilities consisted primarily of an increase in accrued expenses and other current and long-term liabilities of $6.4 million, partially offset by a decrease in accounts payable of $1.5 million, and increases in prepaid expenses and other current and long-term assets of $2.4 million and operating lease assets and liabilities, net of $0.7 million.</w:t>
      </w:r>
    </w:p>
    <w:p>
      <w:pPr>
        <w:spacing w:after="0" w:line="17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Cash used in operating activities was $101.2 million during the year ended December 31, 2023, primarily resulting from a net loss of $125.0 million and accretion on marketable securities of $7.0 million, partially reduced by stock-based compensation expense of $26.2 million, depreciation and amortization expense of $3.7 million, and changes in operating assets and liabilities of $0.8 million. Net cash provided by changes in operating assets and liabilities consisted primarily of a decrease in operating lease assets and liabilities, net of $3.1 million primarily due to the receipt of $2.3 million in reimbursement from our landlord for tenant improvements and a decrease in prepaid expenses and other current and long-term assets of $0.9 million, partially offset by a decrease in accounts payable, accrued expenses and other current and long-term liabilities of $3.2 million.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Net cash used in investing activities was $156.6 million during the year ended December 31, 2024 as compared to $91.2 million during the year ended December 31, 2023. The increase in cash used in investing activities of $65.4 million was primarily the result of an increase in purchases of marketable securities of $ 88.8 million and an increase in in-process research and development of $2.5 million, partially offset by an increase in maturities of marketable securities of $24.4 million and a decrease in purchases of property and equipment of $1.7 million.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Financing activities</w:t>
      </w:r>
    </w:p>
    <w:p>
      <w:pPr>
        <w:spacing w:after="0" w:line="198"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Net cash provided by financing activities was $240.7 million during the year ended December 31, 2024 as compared to $1.3 million during the year ended December 31, 2023. During the year ended December 31, 2024, we received $174.4 million in net proceeds for the issuance of common stock from the 2024 Offering, $43.6 million in net proceeds for the issuance of common stock from the 2024 Private Placement, $21.0 million in net proceeds for the issuance of common stock from the ATM Offering, $0.8 million from the issuance of common stock under our Employee Stock Purchase Plan (ESPP) and $0.8 million from the exercise of stock options. During the year ended December 31, 2023, we received $0.8 million from the issuance of common stock under our ESPP and $0.5 million from the exercise of stock options.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 due to contractual obligations and other commitments</w:t>
      </w:r>
    </w:p>
    <w:p>
      <w:pPr>
        <w:spacing w:after="0" w:line="19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lease office and laboratory space and certain laboratory equipment under lease agreements with varying expiration dates through 2032. As of December 31, 2024, total future aggregate operating lease commitments was $71.8 million, with approximately $ 9.0 million due in 2025, and the remaining due in periods from 2026 through 2032. See Note 11 to our consolidated financial statements included elsewhere in this Annual Report on Form 10-K for further information.</w:t>
      </w:r>
    </w:p>
    <w:p>
      <w:pPr>
        <w:spacing w:after="0" w:line="1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enter into contracts in the normal course of business for contract research services, contract manufacturing services, professional services and other services and products for operating purposes. These contracts generally provide for termination after a notice period, and, therefore, are cancelable contracts and not included in the table above.</w:t>
      </w:r>
    </w:p>
    <w:p>
      <w:pPr>
        <w:spacing w:after="0" w:line="16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Additionally, there are additional potential development and sales milestone payments and royalty payments we may be required to make under license and acquisition agreements we have entered into pursuant to which we have in-licensed and acquired certain intellectual property. For additional information regarding these agreements, see the section titled “Business—Our acquisition and license agreements” in this Annual Report on Form 10-K. The timing of when these additional payments will actually be made is uncertain as these payments are contingent upon the completion of future activities.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This management discussion and analysis of financial condition and results of operations is based on our consolidated financial statements, which have been prepared in accordance with US GAAP. The preparation of these consolidated financial statements requires us to make estimates and judgments that affect the reported amounts of assets, liabilities, revenue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revenue and expenses that are not readily apparent from other sources. Actual results may differ materially from these estimates.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included elsewhere in this Annual Report on Form 10-K, we believe that the following accounting policies are the most critical to understanding and evaluating our historical and future performance.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10"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We are required to make estimates of our accrued expenses resulting from our obligations under contracts with CROs, CMOs,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We reflect research and development expenses in our consolidated financial statements by matching those expenses with the period in which services and efforts are expended.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3" w:name="page124"/>
    <w:bookmarkEnd w:id="123"/>
    <w:p>
      <w:pPr>
        <w:ind w:right="20"/>
        <w:spacing w:after="0"/>
        <w:rPr>
          <w:sz w:val="20"/>
          <w:szCs w:val="20"/>
          <w:color w:val="auto"/>
        </w:rPr>
      </w:pPr>
      <w:r>
        <w:rPr>
          <w:rFonts w:ascii="Arial" w:cs="Arial" w:eastAsia="Arial" w:hAnsi="Arial"/>
          <w:sz w:val="18"/>
          <w:szCs w:val="18"/>
          <w:color w:val="auto"/>
        </w:rPr>
        <w:t>We account for these expenses by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8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Stock-based compensation expense represents the cost of the grant date fair value of equity awards recognized over the requisite service period of the awards (usually the vesting period) on a straight-line basis. We estimate the fair value of stock option awards using the Black-Scholes option pricing model and recognize forfeitures as they occur.</w:t>
      </w:r>
    </w:p>
    <w:p>
      <w:pPr>
        <w:spacing w:after="0" w:line="169"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The Black-Scholes option pricing model requires the use of subjective assumptions, including the risk-free interest rate, the expected stock price volatility, the expected term of stock options, and the expected dividend yield. Changes in these assumptions can materially affect the fair value and ultimately how much stock-based compensation expense is recognized. These inputs are subjective and generally require judgment to develop. See Note 10 to our consolidated financial statements included elsewhere in this Annual Report on Form 10-K for information concerning certain of the specific assumptions we used in applying the Black-Scholes option pricing model to determine the estimated fair value of our stock options granted in the years ended December 31, 2024 and 2023.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5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See Note 2 to our consolidated financial statements included elsewhere in this Annual Report on Form 10-K for recently issued and adopted accounting pronouncements.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9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 an emerging growth company under the Jumpstart Our Business Startups Act of 2012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our consolidated financial statements may not be comparable to companies that comply with new or revised accounting pronouncements as of public company effective dates. We also intend to rely on other exemptions provided by the JOBS Act, including without limitation, not being required to comply with the auditor attestation requirements of Section 404(b) of the Sarbanes-Oxley Act of 2002 (Sarbanes-Oxley).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4" w:name="page125"/>
    <w:bookmarkEnd w:id="124"/>
    <w:p>
      <w:pPr>
        <w:ind w:right="40"/>
        <w:spacing w:after="0" w:line="242"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6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related to changes in interest rates of our investment portfolio of cash equivalents and marketable securities. As of December 31, 2024, our cash equivalents and marketable securities consisted of money market funds, US treasury securities, US government agency securities, corporate debt securities, commercial paper, and Yankee debt securities. Our primary exposure to market risk is interest income sensitivity, which is affected by changes in the general level of US interest rates. The fair value of our marketable securities is subject to change as a result of potential changes in market interest rates, including changes resulting from geopolitical and economic events. Due to the nature of our cash equivalents and marketable securities, we believe an immediate hypothetical 10% change in interest rates would not have had a material effect on our results of operations during the periods presented.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1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these arrangements. To date, these fluctuations have not been significant and we have not had a formal hedging program with respect to foreign currency. We believe an immediate hypothetical 10% change in exchange rates would not have had a material effect on our results of operations during the periods presented.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1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 costs. We believe inflation has not had a material effect on our results of operations during the periods presented.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An index of those financial statements is found in Index to the Consolidated Financial Statements on page F-1 of this Annual Report on Form 10-K, as incorporated into Item 15, Exhibits and Financial Statement Schedules, of this Annual Report on Form 10-K, by reference.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9" w:lineRule="exact"/>
        <w:rPr>
          <w:sz w:val="20"/>
          <w:szCs w:val="20"/>
          <w:color w:val="auto"/>
        </w:rPr>
      </w:pPr>
    </w:p>
    <w:p>
      <w:pPr>
        <w:jc w:val="both"/>
        <w:ind w:right="260"/>
        <w:spacing w:after="0" w:line="247"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have concluded that, as of December 31, 2024, our disclosure controls and procedures were effective at the reasonable assurance level.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and Attestation Report on Internal Control over Financial Reporting</w:t>
      </w:r>
    </w:p>
    <w:p>
      <w:pPr>
        <w:spacing w:after="0" w:line="198"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2024, based on the criteria set forth by the Committee of Sponsoring Organizations of the Treadway Commission in Internal Control-Integrated Framework</w:t>
      </w:r>
    </w:p>
    <w:p>
      <w:pPr>
        <w:spacing w:after="0" w:line="234" w:lineRule="auto"/>
        <w:rPr>
          <w:sz w:val="20"/>
          <w:szCs w:val="20"/>
          <w:color w:val="auto"/>
        </w:rPr>
      </w:pPr>
      <w:r>
        <w:rPr>
          <w:rFonts w:ascii="Arial" w:cs="Arial" w:eastAsia="Arial" w:hAnsi="Arial"/>
          <w:sz w:val="18"/>
          <w:szCs w:val="18"/>
          <w:color w:val="auto"/>
        </w:rPr>
        <w:t>(2013). Based on this assessment, management concluded that our internal control over financial reporting was effective as of December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18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2024 that have materially affected, or are reasonably likely to materially affect, our internal control over financial reporting.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From time to time, our officers (as defined in Rule 16a–1(f) of the Exchange Act) and directors may enter into Rule 10b5-1 or non-Rule 10b5-1 trading arrangements (as each such term is defined in Item 408 of Regulation S-K). During the three months ended December 31, 2024, none of our officers or directors adopted, materially modified or terminated any such trading arrangements.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 with respect to our 2025 Annual Meeting of Stockholders within 120 days of the end of our fiscal year (Definitive Proxy Statement), under the headings “Election of Directors,” “Corporate Governance,” “Executive Officers,” and “Section 16(a) Beneficial Ownership Reporting Compliance,”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have adopted a Code of Business Conduct and Ethics that applies to our officers, directors and employees, which is available on our website at www.erasca.com. The Code of Business Conduct and Ethics contains general guidelines for conducting the business of our company consistent with the highest standards of business ethics and is intended to qualify as a “code of ethics” within the meaning of Section 406 of Sarbanes-Oxley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19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have adopted an insider trading policy and procedures governing the purchase, sale, and/or other dispositions of our securities by our directors, officers, employees and other covered persons that are designed to promote compliance with insider trading laws, rules and regulations, and the Nasdaq Stock Market LLC listing rules, as applicable. A copy of our Insider Trading Compliance Policy and Procedures is filed as Exhibit 19.1 to this annual report on Form 10-K. It is our policy to comply with U.S. insider trading laws and regulations, including with respect to transactions in our own securities.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information required by this Item 11 will be included in our Definitive Proxy Statement under the heading “Executive Compensation and Other Information,” and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information required by this Item 12 will be included in our Definitive Proxy Statement under the heading “Security Ownership of Certain Beneficial Owners and Management,” and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8" w:lineRule="exact"/>
        <w:rPr>
          <w:sz w:val="20"/>
          <w:szCs w:val="20"/>
          <w:color w:val="auto"/>
        </w:rPr>
      </w:pPr>
    </w:p>
    <w:p>
      <w:pPr>
        <w:ind w:right="220"/>
        <w:spacing w:after="0" w:line="301" w:lineRule="auto"/>
        <w:rPr>
          <w:sz w:val="20"/>
          <w:szCs w:val="20"/>
          <w:color w:val="auto"/>
        </w:rPr>
      </w:pPr>
      <w:r>
        <w:rPr>
          <w:rFonts w:ascii="Arial" w:cs="Arial" w:eastAsia="Arial" w:hAnsi="Arial"/>
          <w:sz w:val="17"/>
          <w:szCs w:val="17"/>
          <w:color w:val="auto"/>
        </w:rPr>
        <w:t>The information required by this Item 13 will be included in our Definitive Proxy Statement under the headings “Certain Relationships and Related Person Transactions,” “Board Independence” and “Committees of the Board of Directors” and is incorporated herein by reference.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this Item 14 will be included in our Definitive Proxy Statement under the heading “Independent Registered Public Accountants’ Fees,” and is incorporated herein by reference.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98" w:lineRule="exact"/>
        <w:rPr>
          <w:sz w:val="20"/>
          <w:szCs w:val="20"/>
          <w:color w:val="auto"/>
        </w:rPr>
      </w:pPr>
    </w:p>
    <w:p>
      <w:pPr>
        <w:ind w:right="380" w:firstLine="8"/>
        <w:spacing w:after="0" w:line="271" w:lineRule="auto"/>
        <w:tabs>
          <w:tab w:leader="none" w:pos="2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a list of the financial statements included herein, see Index to the Consolidated Financial Statements on page F-1 of this Annual Report on Form 10-K, incorporated into this Item by reference.</w:t>
      </w:r>
    </w:p>
    <w:p>
      <w:pPr>
        <w:spacing w:after="0" w:line="140" w:lineRule="exact"/>
        <w:rPr>
          <w:rFonts w:ascii="Arial" w:cs="Arial" w:eastAsia="Arial" w:hAnsi="Arial"/>
          <w:sz w:val="18"/>
          <w:szCs w:val="18"/>
          <w:color w:val="auto"/>
        </w:rPr>
      </w:pPr>
    </w:p>
    <w:p>
      <w:pPr>
        <w:ind w:right="60" w:firstLine="8"/>
        <w:spacing w:after="0" w:line="271" w:lineRule="auto"/>
        <w:tabs>
          <w:tab w:leader="none" w:pos="2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140" w:lineRule="exact"/>
        <w:rPr>
          <w:rFonts w:ascii="Arial" w:cs="Arial" w:eastAsia="Arial" w:hAnsi="Arial"/>
          <w:sz w:val="18"/>
          <w:szCs w:val="18"/>
          <w:color w:val="auto"/>
        </w:rPr>
      </w:pPr>
    </w:p>
    <w:p>
      <w:pPr>
        <w:ind w:firstLine="8"/>
        <w:spacing w:after="0" w:line="271" w:lineRule="auto"/>
        <w:tabs>
          <w:tab w:leader="none" w:pos="2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exhibits filed as part of this Annual Report on Form 10-K are set forth on the Exhibit Index immediately preceding the signature page of this Annual Report on Form 10-K. The Exhibit Index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9" w:right="4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740" w:type="dxa"/>
            <w:vAlign w:val="bottom"/>
            <w:gridSpan w:val="4"/>
          </w:tcPr>
          <w:p>
            <w:pPr>
              <w:jc w:val="center"/>
              <w:ind w:right="121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2100" w:type="dxa"/>
            <w:vAlign w:val="bottom"/>
          </w:tcPr>
          <w:p>
            <w:pPr>
              <w:spacing w:after="0"/>
              <w:rPr>
                <w:sz w:val="21"/>
                <w:szCs w:val="21"/>
                <w:color w:val="auto"/>
              </w:rPr>
            </w:pPr>
          </w:p>
        </w:tc>
      </w:tr>
      <w:tr>
        <w:trPr>
          <w:trHeight w:val="361"/>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94"/>
        </w:trPr>
        <w:tc>
          <w:tcPr>
            <w:tcW w:w="20" w:type="dxa"/>
            <w:vAlign w:val="bottom"/>
          </w:tcPr>
          <w:p>
            <w:pPr>
              <w:spacing w:after="0"/>
              <w:rPr>
                <w:sz w:val="16"/>
                <w:szCs w:val="16"/>
                <w:color w:val="auto"/>
              </w:rPr>
            </w:pPr>
          </w:p>
        </w:tc>
        <w:tc>
          <w:tcPr>
            <w:tcW w:w="9120" w:type="dxa"/>
            <w:vAlign w:val="bottom"/>
            <w:gridSpan w:val="9"/>
          </w:tcPr>
          <w:p>
            <w:pPr>
              <w:spacing w:after="0" w:line="195"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(Auditor Firm ID: 185)</w:t>
            </w:r>
          </w:p>
        </w:tc>
        <w:tc>
          <w:tcPr>
            <w:tcW w:w="2100" w:type="dxa"/>
            <w:vAlign w:val="bottom"/>
          </w:tcPr>
          <w:p>
            <w:pPr>
              <w:jc w:val="right"/>
              <w:spacing w:after="0" w:line="195" w:lineRule="exact"/>
              <w:rPr>
                <w:sz w:val="20"/>
                <w:szCs w:val="20"/>
                <w:color w:val="auto"/>
              </w:rPr>
            </w:pPr>
            <w:r>
              <w:rPr>
                <w:rFonts w:ascii="Arial" w:cs="Arial" w:eastAsia="Arial" w:hAnsi="Arial"/>
                <w:sz w:val="18"/>
                <w:szCs w:val="18"/>
                <w:color w:val="auto"/>
              </w:rPr>
              <w:t>F-2</w:t>
            </w: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232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5"/>
                <w:szCs w:val="15"/>
                <w:color w:val="auto"/>
              </w:rPr>
            </w:pPr>
          </w:p>
        </w:tc>
        <w:tc>
          <w:tcPr>
            <w:tcW w:w="2080" w:type="dxa"/>
            <w:vAlign w:val="bottom"/>
            <w:tcBorders>
              <w:top w:val="single" w:sz="8" w:color="0000FF"/>
            </w:tcBorders>
            <w:gridSpan w:val="5"/>
          </w:tcPr>
          <w:p>
            <w:pPr>
              <w:spacing w:after="0"/>
              <w:rPr>
                <w:sz w:val="15"/>
                <w:szCs w:val="15"/>
                <w:color w:val="auto"/>
              </w:rPr>
            </w:pPr>
          </w:p>
        </w:tc>
        <w:tc>
          <w:tcPr>
            <w:tcW w:w="6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F-3</w:t>
            </w:r>
          </w:p>
        </w:tc>
      </w:tr>
      <w:tr>
        <w:trPr>
          <w:trHeight w:val="183"/>
        </w:trPr>
        <w:tc>
          <w:tcPr>
            <w:tcW w:w="20" w:type="dxa"/>
            <w:vAlign w:val="bottom"/>
          </w:tcPr>
          <w:p>
            <w:pPr>
              <w:spacing w:after="0"/>
              <w:rPr>
                <w:sz w:val="15"/>
                <w:szCs w:val="15"/>
                <w:color w:val="auto"/>
              </w:rPr>
            </w:pPr>
          </w:p>
        </w:tc>
        <w:tc>
          <w:tcPr>
            <w:tcW w:w="2340" w:type="dxa"/>
            <w:vAlign w:val="bottom"/>
            <w:gridSpan w:val="2"/>
          </w:tcPr>
          <w:p>
            <w:pPr>
              <w:spacing w:after="0" w:line="182" w:lineRule="exact"/>
              <w:rPr>
                <w:sz w:val="20"/>
                <w:szCs w:val="20"/>
                <w:color w:val="auto"/>
              </w:rPr>
            </w:pPr>
            <w:r>
              <w:rPr>
                <w:rFonts w:ascii="Arial" w:cs="Arial" w:eastAsia="Arial" w:hAnsi="Arial"/>
                <w:sz w:val="18"/>
                <w:szCs w:val="18"/>
                <w:color w:val="0000FF"/>
              </w:rPr>
              <w:t>Consolidated statements of</w:t>
            </w:r>
          </w:p>
        </w:tc>
        <w:tc>
          <w:tcPr>
            <w:tcW w:w="6780" w:type="dxa"/>
            <w:vAlign w:val="bottom"/>
            <w:gridSpan w:val="7"/>
          </w:tcPr>
          <w:p>
            <w:pPr>
              <w:spacing w:after="0" w:line="182" w:lineRule="exact"/>
              <w:rPr>
                <w:sz w:val="20"/>
                <w:szCs w:val="20"/>
                <w:color w:val="auto"/>
              </w:rPr>
            </w:pPr>
            <w:r>
              <w:rPr>
                <w:rFonts w:ascii="Arial" w:cs="Arial" w:eastAsia="Arial" w:hAnsi="Arial"/>
                <w:sz w:val="18"/>
                <w:szCs w:val="18"/>
                <w:color w:val="0000FF"/>
              </w:rPr>
              <w:t>operations and comprehensive loss</w:t>
            </w: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F-4</w:t>
            </w:r>
          </w:p>
        </w:tc>
      </w:tr>
      <w:tr>
        <w:trPr>
          <w:trHeight w:val="183"/>
        </w:trPr>
        <w:tc>
          <w:tcPr>
            <w:tcW w:w="20" w:type="dxa"/>
            <w:vAlign w:val="bottom"/>
            <w:tcBorders>
              <w:top w:val="single" w:sz="8" w:color="0000EE"/>
            </w:tcBorders>
          </w:tcPr>
          <w:p>
            <w:pPr>
              <w:spacing w:after="0"/>
              <w:rPr>
                <w:sz w:val="15"/>
                <w:szCs w:val="15"/>
                <w:color w:val="auto"/>
              </w:rPr>
            </w:pPr>
          </w:p>
        </w:tc>
        <w:tc>
          <w:tcPr>
            <w:tcW w:w="506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Consolidated statements of stockholders’ equity</w:t>
            </w:r>
          </w:p>
        </w:tc>
        <w:tc>
          <w:tcPr>
            <w:tcW w:w="4060" w:type="dxa"/>
            <w:vAlign w:val="bottom"/>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308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720" w:type="dxa"/>
            <w:vAlign w:val="bottom"/>
            <w:tcBorders>
              <w:top w:val="single" w:sz="8" w:color="0000FF"/>
            </w:tcBorders>
            <w:gridSpan w:val="2"/>
          </w:tcPr>
          <w:p>
            <w:pPr>
              <w:spacing w:after="0"/>
              <w:rPr>
                <w:sz w:val="15"/>
                <w:szCs w:val="15"/>
                <w:color w:val="auto"/>
              </w:rPr>
            </w:pPr>
          </w:p>
        </w:tc>
        <w:tc>
          <w:tcPr>
            <w:tcW w:w="5300" w:type="dxa"/>
            <w:vAlign w:val="bottom"/>
            <w:gridSpan w:val="3"/>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r>
      <w:tr>
        <w:trPr>
          <w:trHeight w:val="183"/>
        </w:trPr>
        <w:tc>
          <w:tcPr>
            <w:tcW w:w="20" w:type="dxa"/>
            <w:vAlign w:val="bottom"/>
          </w:tcPr>
          <w:p>
            <w:pPr>
              <w:spacing w:after="0"/>
              <w:rPr>
                <w:sz w:val="15"/>
                <w:szCs w:val="15"/>
                <w:color w:val="auto"/>
              </w:rPr>
            </w:pPr>
          </w:p>
        </w:tc>
        <w:tc>
          <w:tcPr>
            <w:tcW w:w="9120" w:type="dxa"/>
            <w:vAlign w:val="bottom"/>
            <w:gridSpan w:val="9"/>
          </w:tcPr>
          <w:p>
            <w:pPr>
              <w:spacing w:after="0" w:line="182" w:lineRule="exact"/>
              <w:rPr>
                <w:sz w:val="20"/>
                <w:szCs w:val="20"/>
                <w:color w:val="auto"/>
              </w:rPr>
            </w:pPr>
            <w:r>
              <w:rPr>
                <w:rFonts w:ascii="Arial" w:cs="Arial" w:eastAsia="Arial" w:hAnsi="Arial"/>
                <w:sz w:val="18"/>
                <w:szCs w:val="18"/>
                <w:color w:val="0000FF"/>
              </w:rPr>
              <w:t>Notes to consolidated financial statements</w:t>
            </w: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r>
      <w:tr>
        <w:trPr>
          <w:trHeight w:val="619"/>
        </w:trPr>
        <w:tc>
          <w:tcPr>
            <w:tcW w:w="20" w:type="dxa"/>
            <w:vAlign w:val="bottom"/>
          </w:tcPr>
          <w:p>
            <w:pPr>
              <w:spacing w:after="0"/>
              <w:rPr>
                <w:sz w:val="24"/>
                <w:szCs w:val="24"/>
                <w:color w:val="auto"/>
              </w:rPr>
            </w:pPr>
          </w:p>
        </w:tc>
        <w:tc>
          <w:tcPr>
            <w:tcW w:w="2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jc w:val="center"/>
              <w:ind w:right="2890"/>
              <w:spacing w:after="0"/>
              <w:rPr>
                <w:sz w:val="20"/>
                <w:szCs w:val="20"/>
                <w:color w:val="auto"/>
              </w:rPr>
            </w:pPr>
            <w:r>
              <w:rPr>
                <w:rFonts w:ascii="Arial" w:cs="Arial" w:eastAsia="Arial" w:hAnsi="Arial"/>
                <w:sz w:val="18"/>
                <w:szCs w:val="18"/>
                <w:color w:val="auto"/>
              </w:rPr>
              <w:t>F-1</w:t>
            </w:r>
          </w:p>
        </w:tc>
        <w:tc>
          <w:tcPr>
            <w:tcW w:w="2100" w:type="dxa"/>
            <w:vAlign w:val="bottom"/>
          </w:tcPr>
          <w:p>
            <w:pPr>
              <w:spacing w:after="0"/>
              <w:rPr>
                <w:sz w:val="24"/>
                <w:szCs w:val="24"/>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9" w:name="page130"/>
    <w:bookmarkEnd w:id="129"/>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Erasca,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9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have audited the accompanying consolidated balance sheets of Erasca, Inc. and subsidiaries (the Company) as of December 31, 2024 and 2023, the related consolidated statements of operations and comprehensive loss,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US generally accepted accounting principles.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9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20, 2025</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Erasca,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7"/>
                <w:szCs w:val="17"/>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67,739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93,075</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80"/>
              <w:spacing w:after="0" w:line="202" w:lineRule="exact"/>
              <w:rPr>
                <w:sz w:val="20"/>
                <w:szCs w:val="20"/>
                <w:color w:val="auto"/>
              </w:rPr>
            </w:pPr>
            <w:r>
              <w:rPr>
                <w:rFonts w:ascii="Arial" w:cs="Arial" w:eastAsia="Arial" w:hAnsi="Arial"/>
                <w:sz w:val="18"/>
                <w:szCs w:val="18"/>
                <w:color w:val="auto"/>
              </w:rPr>
              <w:t>Short-term marketable securities</w:t>
            </w:r>
          </w:p>
        </w:tc>
        <w:tc>
          <w:tcPr>
            <w:tcW w:w="1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230,570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219,275</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10,484</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8,326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308,793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320,676</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marketable securities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142,164</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9,642</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16,321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22,327</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assets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32,218</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37,861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2,622</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502,526</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395,297</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468</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17"/>
                <w:szCs w:val="17"/>
                <w:color w:val="auto"/>
              </w:rPr>
            </w:pPr>
          </w:p>
        </w:tc>
      </w:tr>
      <w:tr>
        <w:trPr>
          <w:trHeight w:val="202"/>
        </w:trPr>
        <w:tc>
          <w:tcPr>
            <w:tcW w:w="7720" w:type="dxa"/>
            <w:vAlign w:val="bottom"/>
          </w:tcPr>
          <w:p>
            <w:pPr>
              <w:ind w:left="2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26,308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20,186</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4,619</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31,395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26,156</w:t>
            </w:r>
          </w:p>
        </w:tc>
        <w:tc>
          <w:tcPr>
            <w:tcW w:w="100" w:type="dxa"/>
            <w:vAlign w:val="bottom"/>
          </w:tcPr>
          <w:p>
            <w:pPr>
              <w:spacing w:after="0"/>
              <w:rPr>
                <w:sz w:val="17"/>
                <w:szCs w:val="17"/>
                <w:color w:val="auto"/>
              </w:rPr>
            </w:pPr>
          </w:p>
        </w:tc>
      </w:tr>
      <w:tr>
        <w:trPr>
          <w:trHeight w:val="202"/>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47,270</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51,889</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362</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566</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79,027</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78,611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(Note 12)</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7720" w:type="dxa"/>
            <w:vAlign w:val="bottom"/>
          </w:tcPr>
          <w:p>
            <w:pPr>
              <w:ind w:left="20"/>
              <w:spacing w:after="0" w:line="183" w:lineRule="exact"/>
              <w:rPr>
                <w:sz w:val="20"/>
                <w:szCs w:val="20"/>
                <w:color w:val="auto"/>
              </w:rPr>
            </w:pPr>
            <w:r>
              <w:rPr>
                <w:rFonts w:ascii="Arial" w:cs="Arial" w:eastAsia="Arial" w:hAnsi="Arial"/>
                <w:sz w:val="18"/>
                <w:szCs w:val="18"/>
                <w:color w:val="auto"/>
              </w:rPr>
              <w:t>Preferred stock, $0.0001 par value; 80,000,000 shares authorized at December 31, 2024</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7720" w:type="dxa"/>
            <w:vAlign w:val="bottom"/>
          </w:tcPr>
          <w:p>
            <w:pPr>
              <w:ind w:left="20"/>
              <w:spacing w:after="0"/>
              <w:rPr>
                <w:sz w:val="20"/>
                <w:szCs w:val="20"/>
                <w:color w:val="auto"/>
              </w:rPr>
            </w:pPr>
            <w:r>
              <w:rPr>
                <w:rFonts w:ascii="Arial" w:cs="Arial" w:eastAsia="Arial" w:hAnsi="Arial"/>
                <w:sz w:val="18"/>
                <w:szCs w:val="18"/>
                <w:color w:val="auto"/>
              </w:rPr>
              <w:t>and 2023; no shares issued and outstanding at December 31, 2024 and 2023</w:t>
            </w:r>
          </w:p>
        </w:tc>
        <w:tc>
          <w:tcPr>
            <w:tcW w:w="16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84"/>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Common stock, $0.0001 par value; 800,000,000 shares authorized at December 31, 2024</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and 2023; 283,218,344 shares issued and outstanding at December 31, 2024;</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151,462,103 and 151,090,227 shares issued and outstanding at December 31, 2023,</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1,190,729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922,607</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405</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1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(767,663 )</w:t>
            </w:r>
          </w:p>
        </w:tc>
        <w:tc>
          <w:tcPr>
            <w:tcW w:w="160" w:type="dxa"/>
            <w:vAlign w:val="bottom"/>
          </w:tcPr>
          <w:p>
            <w:pPr>
              <w:spacing w:after="0"/>
              <w:rPr>
                <w:sz w:val="17"/>
                <w:szCs w:val="17"/>
                <w:color w:val="auto"/>
              </w:rPr>
            </w:pPr>
          </w:p>
        </w:tc>
        <w:tc>
          <w:tcPr>
            <w:tcW w:w="1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(606,013 )</w:t>
            </w:r>
          </w:p>
        </w:tc>
      </w:tr>
      <w:tr>
        <w:trPr>
          <w:trHeight w:val="19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423,499</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316,686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502,526</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395,297</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-3830955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-3051175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-2245360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-161925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Erasca,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20" w:type="dxa"/>
            <w:vAlign w:val="bottom"/>
            <w:gridSpan w:val="5"/>
          </w:tcPr>
          <w:p>
            <w:pPr>
              <w:jc w:val="right"/>
              <w:ind w:right="11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2024</w:t>
            </w:r>
          </w:p>
        </w:tc>
        <w:tc>
          <w:tcPr>
            <w:tcW w:w="3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4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280"/>
              <w:spacing w:after="0" w:line="202" w:lineRule="exact"/>
              <w:rPr>
                <w:sz w:val="20"/>
                <w:szCs w:val="20"/>
                <w:color w:val="auto"/>
              </w:rPr>
            </w:pPr>
            <w:r>
              <w:rPr>
                <w:rFonts w:ascii="Arial" w:cs="Arial" w:eastAsia="Arial" w:hAnsi="Arial"/>
                <w:sz w:val="18"/>
                <w:szCs w:val="18"/>
                <w:color w:val="auto"/>
              </w:rPr>
              <w:t>Research and development</w:t>
            </w:r>
          </w:p>
        </w:tc>
        <w:tc>
          <w:tcPr>
            <w:tcW w:w="46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115,359</w:t>
            </w:r>
          </w:p>
        </w:tc>
        <w:tc>
          <w:tcPr>
            <w:tcW w:w="300" w:type="dxa"/>
            <w:vAlign w:val="bottom"/>
          </w:tcPr>
          <w:p>
            <w:pPr>
              <w:spacing w:after="0"/>
              <w:rPr>
                <w:sz w:val="17"/>
                <w:szCs w:val="17"/>
                <w:color w:val="auto"/>
              </w:rPr>
            </w:pP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103,821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In-process research and development</w:t>
            </w:r>
          </w:p>
        </w:tc>
        <w:tc>
          <w:tcPr>
            <w:tcW w:w="4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22,500</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60" w:type="dxa"/>
            <w:vAlign w:val="bottom"/>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41,728</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179,587</w:t>
            </w:r>
          </w:p>
        </w:tc>
        <w:tc>
          <w:tcPr>
            <w:tcW w:w="3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141,525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460" w:type="dxa"/>
            <w:vAlign w:val="bottom"/>
          </w:tcPr>
          <w:p>
            <w:pPr>
              <w:spacing w:after="0"/>
              <w:rPr>
                <w:sz w:val="17"/>
                <w:szCs w:val="17"/>
                <w:color w:val="auto"/>
              </w:rPr>
            </w:pPr>
          </w:p>
        </w:tc>
        <w:tc>
          <w:tcPr>
            <w:tcW w:w="18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(179,587 )</w:t>
            </w:r>
          </w:p>
        </w:tc>
        <w:tc>
          <w:tcPr>
            <w:tcW w:w="460" w:type="dxa"/>
            <w:vAlign w:val="bottom"/>
          </w:tcPr>
          <w:p>
            <w:pPr>
              <w:spacing w:after="0"/>
              <w:rPr>
                <w:sz w:val="17"/>
                <w:szCs w:val="17"/>
                <w:color w:val="auto"/>
              </w:rPr>
            </w:pPr>
          </w:p>
        </w:tc>
        <w:tc>
          <w:tcPr>
            <w:tcW w:w="16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(141,525 )</w:t>
            </w:r>
          </w:p>
        </w:tc>
        <w:tc>
          <w:tcPr>
            <w:tcW w:w="0" w:type="dxa"/>
            <w:vAlign w:val="bottom"/>
          </w:tcPr>
          <w:p>
            <w:pPr>
              <w:spacing w:after="0"/>
              <w:rPr>
                <w:sz w:val="1"/>
                <w:szCs w:val="1"/>
                <w:color w:val="auto"/>
              </w:rPr>
            </w:pPr>
          </w:p>
        </w:tc>
      </w:tr>
      <w:tr>
        <w:trPr>
          <w:trHeight w:val="203"/>
        </w:trPr>
        <w:tc>
          <w:tcPr>
            <w:tcW w:w="6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20,093</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16,712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expense, net</w:t>
            </w:r>
          </w:p>
        </w:tc>
        <w:tc>
          <w:tcPr>
            <w:tcW w:w="46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(2,156 )</w:t>
            </w:r>
          </w:p>
        </w:tc>
        <w:tc>
          <w:tcPr>
            <w:tcW w:w="4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196"/>
        </w:trPr>
        <w:tc>
          <w:tcPr>
            <w:tcW w:w="67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other income (expense), net</w:t>
            </w:r>
          </w:p>
        </w:tc>
        <w:tc>
          <w:tcPr>
            <w:tcW w:w="4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17,937</w:t>
            </w:r>
          </w:p>
        </w:tc>
        <w:tc>
          <w:tcPr>
            <w:tcW w:w="30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16,483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w:t>
            </w:r>
          </w:p>
        </w:tc>
        <w:tc>
          <w:tcPr>
            <w:tcW w:w="460" w:type="dxa"/>
            <w:vAlign w:val="bottom"/>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color w:val="auto"/>
              </w:rPr>
              <w:t>(161,650 )</w:t>
            </w:r>
          </w:p>
        </w:tc>
        <w:tc>
          <w:tcPr>
            <w:tcW w:w="460" w:type="dxa"/>
            <w:vAlign w:val="bottom"/>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(125,042 )</w:t>
            </w:r>
          </w:p>
        </w:tc>
        <w:tc>
          <w:tcPr>
            <w:tcW w:w="0" w:type="dxa"/>
            <w:vAlign w:val="bottom"/>
          </w:tcPr>
          <w:p>
            <w:pPr>
              <w:spacing w:after="0"/>
              <w:rPr>
                <w:sz w:val="1"/>
                <w:szCs w:val="1"/>
                <w:color w:val="auto"/>
              </w:rPr>
            </w:pPr>
          </w:p>
        </w:tc>
      </w:tr>
      <w:tr>
        <w:trPr>
          <w:trHeight w:val="20"/>
        </w:trPr>
        <w:tc>
          <w:tcPr>
            <w:tcW w:w="67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tcPr>
          <w:p>
            <w:pPr>
              <w:ind w:left="20"/>
              <w:spacing w:after="0" w:line="182" w:lineRule="exact"/>
              <w:rPr>
                <w:sz w:val="20"/>
                <w:szCs w:val="20"/>
                <w:color w:val="auto"/>
              </w:rPr>
            </w:pPr>
            <w:r>
              <w:rPr>
                <w:rFonts w:ascii="Arial" w:cs="Arial" w:eastAsia="Arial" w:hAnsi="Arial"/>
                <w:sz w:val="18"/>
                <w:szCs w:val="18"/>
                <w:color w:val="auto"/>
              </w:rPr>
              <w:t>Net loss per share, basic and diluted</w:t>
            </w:r>
          </w:p>
        </w:tc>
        <w:tc>
          <w:tcPr>
            <w:tcW w:w="46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(0.69 )</w:t>
            </w:r>
          </w:p>
        </w:tc>
        <w:tc>
          <w:tcPr>
            <w:tcW w:w="46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(0.83 )</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76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color w:val="auto"/>
              </w:rPr>
              <w:t>Weighted-average shares of common stock used in computing net loss per</w:t>
            </w:r>
          </w:p>
        </w:tc>
        <w:tc>
          <w:tcPr>
            <w:tcW w:w="460" w:type="dxa"/>
            <w:vAlign w:val="bottom"/>
            <w:shd w:val="clear" w:color="auto" w:fill="CFF0FC"/>
          </w:tcPr>
          <w:p>
            <w:pPr>
              <w:spacing w:after="0"/>
              <w:rPr>
                <w:sz w:val="14"/>
                <w:szCs w:val="14"/>
                <w:color w:val="auto"/>
              </w:rPr>
            </w:pPr>
          </w:p>
        </w:tc>
        <w:tc>
          <w:tcPr>
            <w:tcW w:w="1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233,817,916</w:t>
            </w:r>
          </w:p>
        </w:tc>
        <w:tc>
          <w:tcPr>
            <w:tcW w:w="3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150,184,994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760" w:type="dxa"/>
            <w:vAlign w:val="bottom"/>
            <w:tcBorders>
              <w:bottom w:val="single" w:sz="8" w:color="CFF0FC"/>
            </w:tcBorders>
            <w:shd w:val="clear" w:color="auto" w:fill="CFF0FC"/>
          </w:tcPr>
          <w:p>
            <w:pPr>
              <w:ind w:left="20"/>
              <w:spacing w:after="0" w:line="161" w:lineRule="exact"/>
              <w:rPr>
                <w:sz w:val="20"/>
                <w:szCs w:val="20"/>
                <w:color w:val="auto"/>
              </w:rPr>
            </w:pPr>
            <w:r>
              <w:rPr>
                <w:rFonts w:ascii="Arial" w:cs="Arial" w:eastAsia="Arial" w:hAnsi="Arial"/>
                <w:sz w:val="18"/>
                <w:szCs w:val="18"/>
                <w:color w:val="auto"/>
              </w:rPr>
              <w:t>share, basic and diluted</w:t>
            </w:r>
          </w:p>
        </w:tc>
        <w:tc>
          <w:tcPr>
            <w:tcW w:w="4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760" w:type="dxa"/>
            <w:vAlign w:val="bottom"/>
          </w:tcPr>
          <w:p>
            <w:pPr>
              <w:ind w:left="20"/>
              <w:spacing w:after="0" w:line="183" w:lineRule="exact"/>
              <w:rPr>
                <w:sz w:val="20"/>
                <w:szCs w:val="20"/>
                <w:color w:val="auto"/>
              </w:rPr>
            </w:pPr>
            <w:r>
              <w:rPr>
                <w:rFonts w:ascii="Arial" w:cs="Arial" w:eastAsia="Arial" w:hAnsi="Arial"/>
                <w:sz w:val="18"/>
                <w:szCs w:val="18"/>
                <w:color w:val="auto"/>
              </w:rPr>
              <w:t>Other comprehensive income (loss):</w:t>
            </w:r>
          </w:p>
        </w:tc>
        <w:tc>
          <w:tcPr>
            <w:tcW w:w="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Unrealized gain on marketable securities, net</w:t>
            </w:r>
          </w:p>
        </w:tc>
        <w:tc>
          <w:tcPr>
            <w:tcW w:w="4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328</w:t>
            </w:r>
          </w:p>
        </w:tc>
        <w:tc>
          <w:tcPr>
            <w:tcW w:w="3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Pr>
          <w:p>
            <w:pPr>
              <w:ind w:left="20"/>
              <w:spacing w:after="0" w:line="182" w:lineRule="exact"/>
              <w:rPr>
                <w:sz w:val="20"/>
                <w:szCs w:val="20"/>
                <w:color w:val="auto"/>
              </w:rPr>
            </w:pPr>
            <w:r>
              <w:rPr>
                <w:rFonts w:ascii="Arial" w:cs="Arial" w:eastAsia="Arial" w:hAnsi="Arial"/>
                <w:sz w:val="18"/>
                <w:szCs w:val="18"/>
                <w:color w:val="auto"/>
              </w:rPr>
              <w:t>Comprehensive loss</w:t>
            </w:r>
          </w:p>
        </w:tc>
        <w:tc>
          <w:tcPr>
            <w:tcW w:w="46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(161,322 )</w:t>
            </w:r>
          </w:p>
        </w:tc>
        <w:tc>
          <w:tcPr>
            <w:tcW w:w="46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(123,924 )</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-1654175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-1654175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-1130935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-856615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-839470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-445135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-427990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-162560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Erasca,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data)</w:t>
      </w: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920" w:type="dxa"/>
            <w:vAlign w:val="bottom"/>
            <w:gridSpan w:val="5"/>
            <w:vMerge w:val="restart"/>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3"/>
                <w:szCs w:val="13"/>
                <w:color w:val="auto"/>
              </w:rPr>
            </w:pPr>
          </w:p>
        </w:tc>
        <w:tc>
          <w:tcPr>
            <w:tcW w:w="1920" w:type="dxa"/>
            <w:vAlign w:val="bottom"/>
            <w:tcBorders>
              <w:bottom w:val="single" w:sz="8" w:color="auto"/>
            </w:tcBorders>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rPr>
              <w:t>Comprehensive</w:t>
            </w:r>
          </w:p>
        </w:tc>
        <w:tc>
          <w:tcPr>
            <w:tcW w:w="1300" w:type="dxa"/>
            <w:vAlign w:val="bottom"/>
            <w:gridSpan w:val="3"/>
          </w:tcPr>
          <w:p>
            <w:pPr>
              <w:jc w:val="right"/>
              <w:ind w:right="248"/>
              <w:spacing w:after="0" w:line="158"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94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rPr>
              <w:t>Income (Loss)</w:t>
            </w:r>
          </w:p>
        </w:tc>
        <w:tc>
          <w:tcPr>
            <w:tcW w:w="200" w:type="dxa"/>
            <w:vAlign w:val="bottom"/>
          </w:tcPr>
          <w:p>
            <w:pPr>
              <w:spacing w:after="0"/>
              <w:rPr>
                <w:sz w:val="13"/>
                <w:szCs w:val="13"/>
                <w:color w:val="auto"/>
              </w:rPr>
            </w:pPr>
          </w:p>
        </w:tc>
        <w:tc>
          <w:tcPr>
            <w:tcW w:w="1100" w:type="dxa"/>
            <w:vAlign w:val="bottom"/>
            <w:gridSpan w:val="2"/>
          </w:tcPr>
          <w:p>
            <w:pPr>
              <w:jc w:val="right"/>
              <w:ind w:right="468"/>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6"/>
        </w:trPr>
        <w:tc>
          <w:tcPr>
            <w:tcW w:w="358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color w:val="auto"/>
              </w:rPr>
              <w:t>Balance at December 31, 2022</w:t>
            </w:r>
          </w:p>
        </w:tc>
        <w:tc>
          <w:tcPr>
            <w:tcW w:w="940" w:type="dxa"/>
            <w:vAlign w:val="bottom"/>
            <w:tcBorders>
              <w:top w:val="single" w:sz="8" w:color="auto"/>
            </w:tcBorders>
            <w:shd w:val="clear" w:color="auto" w:fill="CFF0FC"/>
          </w:tcPr>
          <w:p>
            <w:pPr>
              <w:jc w:val="right"/>
              <w:spacing w:after="0" w:line="147" w:lineRule="exact"/>
              <w:rPr>
                <w:sz w:val="20"/>
                <w:szCs w:val="20"/>
                <w:color w:val="auto"/>
              </w:rPr>
            </w:pPr>
            <w:r>
              <w:rPr>
                <w:rFonts w:ascii="Arial" w:cs="Arial" w:eastAsia="Arial" w:hAnsi="Arial"/>
                <w:sz w:val="14"/>
                <w:szCs w:val="14"/>
                <w:color w:val="auto"/>
              </w:rPr>
              <w:t>150,448,36</w:t>
            </w: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5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20" w:type="dxa"/>
            <w:vAlign w:val="bottom"/>
            <w:gridSpan w:val="2"/>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893,850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(1,041 )</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(480,971 )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411,853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580" w:type="dxa"/>
            <w:vAlign w:val="bottom"/>
            <w:tcBorders>
              <w:top w:val="single" w:sz="8" w:color="CFF0FC"/>
            </w:tcBorders>
          </w:tcPr>
          <w:p>
            <w:pPr>
              <w:ind w:left="200"/>
              <w:spacing w:after="0" w:line="143" w:lineRule="exact"/>
              <w:rPr>
                <w:sz w:val="20"/>
                <w:szCs w:val="20"/>
                <w:color w:val="auto"/>
              </w:rPr>
            </w:pPr>
            <w:r>
              <w:rPr>
                <w:rFonts w:ascii="Arial" w:cs="Arial" w:eastAsia="Arial" w:hAnsi="Arial"/>
                <w:sz w:val="14"/>
                <w:szCs w:val="14"/>
                <w:color w:val="auto"/>
              </w:rPr>
              <w:t>Exercise of stock options</w:t>
            </w:r>
          </w:p>
        </w:tc>
        <w:tc>
          <w:tcPr>
            <w:tcW w:w="9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624,807</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505</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505</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8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Issuance of common stock under the Employee</w:t>
            </w: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 Purchase Plan</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388,933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00"/>
              <w:spacing w:after="0"/>
              <w:rPr>
                <w:sz w:val="20"/>
                <w:szCs w:val="20"/>
                <w:color w:val="auto"/>
              </w:rPr>
            </w:pPr>
            <w:r>
              <w:rPr>
                <w:rFonts w:ascii="Arial" w:cs="Arial" w:eastAsia="Arial" w:hAnsi="Arial"/>
                <w:sz w:val="14"/>
                <w:szCs w:val="14"/>
                <w:color w:val="auto"/>
              </w:rPr>
              <w:t>Vesting of early exercised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26,231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Arial" w:cs="Arial" w:eastAsia="Arial" w:hAnsi="Arial"/>
                <w:sz w:val="14"/>
                <w:szCs w:val="14"/>
                <w:color w:val="auto"/>
              </w:rPr>
              <w:t>(125,042 )</w:t>
            </w:r>
          </w:p>
        </w:tc>
        <w:tc>
          <w:tcPr>
            <w:tcW w:w="14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(125,042 )</w:t>
            </w: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gain on marketable securities, net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1,118</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580" w:type="dxa"/>
            <w:vAlign w:val="bottom"/>
            <w:tcBorders>
              <w:top w:val="single" w:sz="8" w:color="CFF0FC"/>
            </w:tcBorders>
          </w:tcPr>
          <w:p>
            <w:pPr>
              <w:spacing w:after="0"/>
              <w:rPr>
                <w:sz w:val="12"/>
                <w:szCs w:val="12"/>
                <w:color w:val="auto"/>
              </w:rPr>
            </w:pPr>
          </w:p>
        </w:tc>
        <w:tc>
          <w:tcPr>
            <w:tcW w:w="9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151,462,10</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tcPr>
          <w:p>
            <w:pPr>
              <w:ind w:left="20"/>
              <w:spacing w:after="0"/>
              <w:rPr>
                <w:sz w:val="20"/>
                <w:szCs w:val="20"/>
                <w:color w:val="auto"/>
              </w:rPr>
            </w:pPr>
            <w:r>
              <w:rPr>
                <w:rFonts w:ascii="Arial" w:cs="Arial" w:eastAsia="Arial" w:hAnsi="Arial"/>
                <w:sz w:val="14"/>
                <w:szCs w:val="14"/>
                <w:color w:val="auto"/>
              </w:rPr>
              <w:t>Balance at December 31, 2023</w:t>
            </w:r>
          </w:p>
        </w:tc>
        <w:tc>
          <w:tcPr>
            <w:tcW w:w="9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w:t>
            </w:r>
          </w:p>
        </w:tc>
        <w:tc>
          <w:tcPr>
            <w:tcW w:w="220" w:type="dxa"/>
            <w:vAlign w:val="bottom"/>
            <w:gridSpan w:val="2"/>
          </w:tcPr>
          <w:p>
            <w:pPr>
              <w:spacing w:after="0"/>
              <w:rPr>
                <w:sz w:val="14"/>
                <w:szCs w:val="14"/>
                <w:color w:val="auto"/>
              </w:rPr>
            </w:pPr>
          </w:p>
        </w:tc>
        <w:tc>
          <w:tcPr>
            <w:tcW w:w="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15</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922,607</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77</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line="151"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(606,013</w:t>
            </w:r>
          </w:p>
        </w:tc>
        <w:tc>
          <w:tcPr>
            <w:tcW w:w="240" w:type="dxa"/>
            <w:vAlign w:val="bottom"/>
          </w:tcPr>
          <w:p>
            <w:pPr>
              <w:jc w:val="right"/>
              <w:ind w:right="108"/>
              <w:spacing w:after="0"/>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316,686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580" w:type="dxa"/>
            <w:vAlign w:val="bottom"/>
            <w:shd w:val="clear" w:color="auto" w:fill="CFF0FC"/>
          </w:tcPr>
          <w:p>
            <w:pPr>
              <w:ind w:left="200"/>
              <w:spacing w:after="0" w:line="133" w:lineRule="exact"/>
              <w:rPr>
                <w:sz w:val="20"/>
                <w:szCs w:val="20"/>
                <w:color w:val="auto"/>
              </w:rPr>
            </w:pPr>
            <w:r>
              <w:rPr>
                <w:rFonts w:ascii="Arial" w:cs="Arial" w:eastAsia="Arial" w:hAnsi="Arial"/>
                <w:sz w:val="14"/>
                <w:szCs w:val="14"/>
                <w:color w:val="auto"/>
              </w:rPr>
              <w:t>Issuance of common stock in private placement,</w:t>
            </w: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of $1,396 in fees and 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21,844,660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43,602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80" w:type="dxa"/>
            <w:vAlign w:val="bottom"/>
          </w:tcPr>
          <w:p>
            <w:pPr>
              <w:ind w:left="200"/>
              <w:spacing w:after="0" w:line="153" w:lineRule="exact"/>
              <w:rPr>
                <w:sz w:val="20"/>
                <w:szCs w:val="20"/>
                <w:color w:val="auto"/>
              </w:rPr>
            </w:pPr>
            <w:r>
              <w:rPr>
                <w:rFonts w:ascii="Arial" w:cs="Arial" w:eastAsia="Arial" w:hAnsi="Arial"/>
                <w:sz w:val="14"/>
                <w:szCs w:val="14"/>
                <w:color w:val="auto"/>
              </w:rPr>
              <w:t>Issuance of common stock in underwritten offering,</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80" w:type="dxa"/>
            <w:vAlign w:val="bottom"/>
          </w:tcPr>
          <w:p>
            <w:pPr>
              <w:ind w:left="200"/>
              <w:spacing w:after="0"/>
              <w:rPr>
                <w:sz w:val="20"/>
                <w:szCs w:val="20"/>
                <w:color w:val="auto"/>
              </w:rPr>
            </w:pPr>
            <w:r>
              <w:rPr>
                <w:rFonts w:ascii="Arial" w:cs="Arial" w:eastAsia="Arial" w:hAnsi="Arial"/>
                <w:sz w:val="14"/>
                <w:szCs w:val="14"/>
                <w:color w:val="auto"/>
              </w:rPr>
              <w:t>net of $9,574 in discounts and offering costs</w:t>
            </w:r>
          </w:p>
        </w:tc>
        <w:tc>
          <w:tcPr>
            <w:tcW w:w="940" w:type="dxa"/>
            <w:vAlign w:val="bottom"/>
          </w:tcPr>
          <w:p>
            <w:pPr>
              <w:jc w:val="right"/>
              <w:spacing w:after="0"/>
              <w:rPr>
                <w:sz w:val="20"/>
                <w:szCs w:val="20"/>
                <w:color w:val="auto"/>
              </w:rPr>
            </w:pPr>
            <w:r>
              <w:rPr>
                <w:rFonts w:ascii="Arial" w:cs="Arial" w:eastAsia="Arial" w:hAnsi="Arial"/>
                <w:sz w:val="14"/>
                <w:szCs w:val="14"/>
                <w:color w:val="auto"/>
              </w:rPr>
              <w:t>99,459,458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174,416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174,426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8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Issuance of common stock in ATM Offering, net of</w:t>
            </w: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$847 in commissions and 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9,231,114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21,030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0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710,280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8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Issuance of common stock under the Employee</w:t>
            </w: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 Purchase Plan</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510,729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00"/>
              <w:spacing w:after="0"/>
              <w:rPr>
                <w:sz w:val="20"/>
                <w:szCs w:val="20"/>
                <w:color w:val="auto"/>
              </w:rPr>
            </w:pPr>
            <w:r>
              <w:rPr>
                <w:rFonts w:ascii="Arial" w:cs="Arial" w:eastAsia="Arial" w:hAnsi="Arial"/>
                <w:sz w:val="14"/>
                <w:szCs w:val="14"/>
                <w:color w:val="auto"/>
              </w:rPr>
              <w:t>Vesting of early exercised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26,973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Arial" w:cs="Arial" w:eastAsia="Arial" w:hAnsi="Arial"/>
                <w:sz w:val="14"/>
                <w:szCs w:val="14"/>
                <w:color w:val="auto"/>
              </w:rPr>
              <w:t>(161,650 )</w:t>
            </w:r>
          </w:p>
        </w:tc>
        <w:tc>
          <w:tcPr>
            <w:tcW w:w="14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(161,650 )</w:t>
            </w: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gain on marketable securities, net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580" w:type="dxa"/>
            <w:vAlign w:val="bottom"/>
            <w:tcBorders>
              <w:top w:val="single" w:sz="8" w:color="CFF0FC"/>
            </w:tcBorders>
          </w:tcPr>
          <w:p>
            <w:pPr>
              <w:spacing w:after="0"/>
              <w:rPr>
                <w:sz w:val="12"/>
                <w:szCs w:val="12"/>
                <w:color w:val="auto"/>
              </w:rPr>
            </w:pPr>
          </w:p>
        </w:tc>
        <w:tc>
          <w:tcPr>
            <w:tcW w:w="9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283,218,34</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tcPr>
          <w:p>
            <w:pPr>
              <w:ind w:left="20"/>
              <w:spacing w:after="0"/>
              <w:rPr>
                <w:sz w:val="20"/>
                <w:szCs w:val="20"/>
                <w:color w:val="auto"/>
              </w:rPr>
            </w:pPr>
            <w:r>
              <w:rPr>
                <w:rFonts w:ascii="Arial" w:cs="Arial" w:eastAsia="Arial" w:hAnsi="Arial"/>
                <w:sz w:val="14"/>
                <w:szCs w:val="14"/>
                <w:color w:val="auto"/>
              </w:rPr>
              <w:t>Balance at December 31, 2024</w:t>
            </w:r>
          </w:p>
        </w:tc>
        <w:tc>
          <w:tcPr>
            <w:tcW w:w="9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w:t>
            </w:r>
          </w:p>
        </w:tc>
        <w:tc>
          <w:tcPr>
            <w:tcW w:w="220" w:type="dxa"/>
            <w:vAlign w:val="bottom"/>
            <w:gridSpan w:val="2"/>
          </w:tcPr>
          <w:p>
            <w:pPr>
              <w:spacing w:after="0"/>
              <w:rPr>
                <w:sz w:val="14"/>
                <w:szCs w:val="14"/>
                <w:color w:val="auto"/>
              </w:rPr>
            </w:pPr>
          </w:p>
        </w:tc>
        <w:tc>
          <w:tcPr>
            <w:tcW w:w="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28</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1,190,729</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405</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line="151"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(767,663</w:t>
            </w:r>
          </w:p>
        </w:tc>
        <w:tc>
          <w:tcPr>
            <w:tcW w:w="240" w:type="dxa"/>
            <w:vAlign w:val="bottom"/>
          </w:tcPr>
          <w:p>
            <w:pPr>
              <w:jc w:val="right"/>
              <w:ind w:right="108"/>
              <w:spacing w:after="0"/>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423,499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-2562860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-2545080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-2562860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-2545080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-2562860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-2545080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-2562860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-2545080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-2562860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-2545080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-2562860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-1816735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-1816735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-1816735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-1816735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-1816735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-239395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-239395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-239395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-239395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-239395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Erasca,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Year Ended December 31,</w:t>
            </w:r>
          </w:p>
        </w:tc>
      </w:tr>
      <w:tr>
        <w:trPr>
          <w:trHeight w:val="196"/>
        </w:trPr>
        <w:tc>
          <w:tcPr>
            <w:tcW w:w="77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(161,650 )</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(125,042 )</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3,805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3,732</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26,973</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26,231</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80"/>
              <w:spacing w:after="0" w:line="202" w:lineRule="exact"/>
              <w:rPr>
                <w:sz w:val="20"/>
                <w:szCs w:val="20"/>
                <w:color w:val="auto"/>
              </w:rPr>
            </w:pPr>
            <w:r>
              <w:rPr>
                <w:rFonts w:ascii="Arial" w:cs="Arial" w:eastAsia="Arial" w:hAnsi="Arial"/>
                <w:sz w:val="18"/>
                <w:szCs w:val="18"/>
                <w:color w:val="auto"/>
              </w:rPr>
              <w:t>In-process research and development expenses</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22,500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Accretion on marketable securities, net</w:t>
            </w:r>
          </w:p>
        </w:tc>
        <w:tc>
          <w:tcPr>
            <w:tcW w:w="3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(9,590 )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(6,951 )</w:t>
            </w:r>
          </w:p>
        </w:tc>
      </w:tr>
      <w:tr>
        <w:trPr>
          <w:trHeight w:val="203"/>
        </w:trPr>
        <w:tc>
          <w:tcPr>
            <w:tcW w:w="7700" w:type="dxa"/>
            <w:vAlign w:val="bottom"/>
          </w:tcPr>
          <w:p>
            <w:pPr>
              <w:ind w:left="280"/>
              <w:spacing w:after="0" w:line="202" w:lineRule="exact"/>
              <w:rPr>
                <w:sz w:val="20"/>
                <w:szCs w:val="20"/>
                <w:color w:val="auto"/>
              </w:rPr>
            </w:pPr>
            <w:r>
              <w:rPr>
                <w:rFonts w:ascii="Arial" w:cs="Arial" w:eastAsia="Arial" w:hAnsi="Arial"/>
                <w:sz w:val="18"/>
                <w:szCs w:val="18"/>
                <w:color w:val="auto"/>
              </w:rPr>
              <w:t>Impairment charge on operating lease assets and property and equipment</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4,653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Impairment charge on investment in equity securities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2,157</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00" w:type="dxa"/>
            <w:vAlign w:val="bottom"/>
          </w:tcPr>
          <w:p>
            <w:pPr>
              <w:ind w:left="2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700"/>
              <w:spacing w:after="0" w:line="202" w:lineRule="exact"/>
              <w:rPr>
                <w:sz w:val="20"/>
                <w:szCs w:val="20"/>
                <w:color w:val="auto"/>
              </w:rPr>
            </w:pPr>
            <w:r>
              <w:rPr>
                <w:rFonts w:ascii="Arial" w:cs="Arial" w:eastAsia="Arial" w:hAnsi="Arial"/>
                <w:sz w:val="18"/>
                <w:szCs w:val="18"/>
                <w:color w:val="auto"/>
              </w:rPr>
              <w:t>Prepaid expenses and other current and long-term assets</w:t>
            </w:r>
          </w:p>
        </w:tc>
        <w:tc>
          <w:tcPr>
            <w:tcW w:w="3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(2,397 )</w:t>
            </w: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939</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70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7"/>
                <w:szCs w:val="17"/>
                <w:color w:val="auto"/>
              </w:rPr>
            </w:pPr>
          </w:p>
        </w:tc>
        <w:tc>
          <w:tcPr>
            <w:tcW w:w="1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(1,532 )</w:t>
            </w:r>
          </w:p>
        </w:tc>
        <w:tc>
          <w:tcPr>
            <w:tcW w:w="3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(886 )</w:t>
            </w:r>
          </w:p>
        </w:tc>
      </w:tr>
      <w:tr>
        <w:trPr>
          <w:trHeight w:val="203"/>
        </w:trPr>
        <w:tc>
          <w:tcPr>
            <w:tcW w:w="7700" w:type="dxa"/>
            <w:vAlign w:val="bottom"/>
            <w:shd w:val="clear" w:color="auto" w:fill="CFF0FC"/>
          </w:tcPr>
          <w:p>
            <w:pPr>
              <w:ind w:left="700"/>
              <w:spacing w:after="0" w:line="202" w:lineRule="exact"/>
              <w:rPr>
                <w:sz w:val="20"/>
                <w:szCs w:val="20"/>
                <w:color w:val="auto"/>
              </w:rPr>
            </w:pPr>
            <w:r>
              <w:rPr>
                <w:rFonts w:ascii="Arial" w:cs="Arial" w:eastAsia="Arial" w:hAnsi="Arial"/>
                <w:sz w:val="18"/>
                <w:szCs w:val="18"/>
                <w:color w:val="auto"/>
              </w:rPr>
              <w:t>Accrued expenses and other current and long-term liabilities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6,396</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(2,301 )</w:t>
            </w:r>
          </w:p>
        </w:tc>
      </w:tr>
      <w:tr>
        <w:trPr>
          <w:trHeight w:val="203"/>
        </w:trPr>
        <w:tc>
          <w:tcPr>
            <w:tcW w:w="7700" w:type="dxa"/>
            <w:vAlign w:val="bottom"/>
          </w:tcPr>
          <w:p>
            <w:pPr>
              <w:ind w:left="700"/>
              <w:spacing w:after="0" w:line="202" w:lineRule="exact"/>
              <w:rPr>
                <w:sz w:val="20"/>
                <w:szCs w:val="20"/>
                <w:color w:val="auto"/>
              </w:rPr>
            </w:pPr>
            <w:r>
              <w:rPr>
                <w:rFonts w:ascii="Arial" w:cs="Arial" w:eastAsia="Arial" w:hAnsi="Arial"/>
                <w:sz w:val="18"/>
                <w:szCs w:val="18"/>
                <w:color w:val="auto"/>
              </w:rPr>
              <w:t>Operating lease assets and liabilities, net</w:t>
            </w:r>
          </w:p>
        </w:tc>
        <w:tc>
          <w:tcPr>
            <w:tcW w:w="360" w:type="dxa"/>
            <w:vAlign w:val="bottom"/>
          </w:tcPr>
          <w:p>
            <w:pPr>
              <w:spacing w:after="0"/>
              <w:rPr>
                <w:sz w:val="17"/>
                <w:szCs w:val="17"/>
                <w:color w:val="auto"/>
              </w:rPr>
            </w:pPr>
          </w:p>
        </w:tc>
        <w:tc>
          <w:tcPr>
            <w:tcW w:w="1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(732 )</w:t>
            </w: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3,061</w:t>
            </w:r>
          </w:p>
        </w:tc>
        <w:tc>
          <w:tcPr>
            <w:tcW w:w="10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(109,417 )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(101,217 )</w:t>
            </w:r>
          </w:p>
        </w:tc>
      </w:tr>
      <w:tr>
        <w:trPr>
          <w:trHeight w:val="405"/>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Purchases of marketable securities</w:t>
            </w:r>
          </w:p>
        </w:tc>
        <w:tc>
          <w:tcPr>
            <w:tcW w:w="3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(403,224 )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(314,390 )</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Maturities of marketable securities</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269,325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244,945</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In-process research and development</w:t>
            </w:r>
          </w:p>
        </w:tc>
        <w:tc>
          <w:tcPr>
            <w:tcW w:w="3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(22,500 )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(20,000 )</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Payment made for investment in equity securities</w:t>
            </w:r>
          </w:p>
        </w:tc>
        <w:tc>
          <w:tcPr>
            <w:tcW w:w="360" w:type="dxa"/>
            <w:vAlign w:val="bottom"/>
          </w:tcPr>
          <w:p>
            <w:pPr>
              <w:spacing w:after="0"/>
              <w:rPr>
                <w:sz w:val="17"/>
                <w:szCs w:val="17"/>
                <w:color w:val="auto"/>
              </w:rPr>
            </w:pPr>
          </w:p>
        </w:tc>
        <w:tc>
          <w:tcPr>
            <w:tcW w:w="1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(157 )</w:t>
            </w:r>
          </w:p>
        </w:tc>
        <w:tc>
          <w:tcPr>
            <w:tcW w:w="34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(60 )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(1,775 )</w:t>
            </w: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(156,616 )</w:t>
            </w:r>
          </w:p>
        </w:tc>
        <w:tc>
          <w:tcPr>
            <w:tcW w:w="34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(91,220 )</w:t>
            </w:r>
          </w:p>
        </w:tc>
      </w:tr>
      <w:tr>
        <w:trPr>
          <w:trHeight w:val="166"/>
        </w:trPr>
        <w:tc>
          <w:tcPr>
            <w:tcW w:w="7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Proceeds from issuance of common stock in private placement, net of fees and expenses</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43,604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84"/>
        </w:trPr>
        <w:tc>
          <w:tcPr>
            <w:tcW w:w="77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Proceeds from issuance of common stock in underwritten offering, net of discounts and</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offering costs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174,426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Proceeds from issuance of common stock in ATM Offering, net of commissions and expenses</w:t>
            </w: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21,031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the exercise of stock options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836</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505</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Proceeds from issuance of common stock under the Employee Stock Purchase Plan</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790</w:t>
            </w:r>
          </w:p>
        </w:tc>
        <w:tc>
          <w:tcPr>
            <w:tcW w:w="100" w:type="dxa"/>
            <w:vAlign w:val="bottom"/>
          </w:tcPr>
          <w:p>
            <w:pPr>
              <w:spacing w:after="0"/>
              <w:rPr>
                <w:sz w:val="17"/>
                <w:szCs w:val="17"/>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240,697</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1,295</w:t>
            </w:r>
          </w:p>
        </w:tc>
        <w:tc>
          <w:tcPr>
            <w:tcW w:w="100" w:type="dxa"/>
            <w:vAlign w:val="bottom"/>
            <w:shd w:val="clear" w:color="auto" w:fill="CFF0FC"/>
          </w:tcPr>
          <w:p>
            <w:pPr>
              <w:spacing w:after="0"/>
              <w:rPr>
                <w:sz w:val="17"/>
                <w:szCs w:val="17"/>
                <w:color w:val="auto"/>
              </w:rPr>
            </w:pPr>
          </w:p>
        </w:tc>
      </w:tr>
      <w:tr>
        <w:trPr>
          <w:trHeight w:val="405"/>
        </w:trPr>
        <w:tc>
          <w:tcPr>
            <w:tcW w:w="770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(25,336 )</w:t>
            </w:r>
          </w:p>
        </w:tc>
        <w:tc>
          <w:tcPr>
            <w:tcW w:w="340" w:type="dxa"/>
            <w:vAlign w:val="bottom"/>
          </w:tcPr>
          <w:p>
            <w:pPr>
              <w:spacing w:after="0"/>
              <w:rPr>
                <w:sz w:val="24"/>
                <w:szCs w:val="24"/>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(191,142 )</w:t>
            </w: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the period</w:t>
            </w: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93,483</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284,625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line="182" w:lineRule="exact"/>
              <w:rPr>
                <w:sz w:val="20"/>
                <w:szCs w:val="20"/>
                <w:color w:val="auto"/>
              </w:rPr>
            </w:pPr>
            <w:r>
              <w:rPr>
                <w:rFonts w:ascii="Arial" w:cs="Arial" w:eastAsia="Arial" w:hAnsi="Arial"/>
                <w:sz w:val="18"/>
                <w:szCs w:val="18"/>
                <w:color w:val="auto"/>
              </w:rPr>
              <w:t>Cash, cash equivalents and restricted cash at end of the period</w:t>
            </w:r>
          </w:p>
        </w:tc>
        <w:tc>
          <w:tcPr>
            <w:tcW w:w="36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68,147</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93,483</w:t>
            </w:r>
          </w:p>
        </w:tc>
        <w:tc>
          <w:tcPr>
            <w:tcW w:w="10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182" w:lineRule="exact"/>
              <w:rPr>
                <w:sz w:val="20"/>
                <w:szCs w:val="20"/>
                <w:color w:val="auto"/>
              </w:rPr>
            </w:pPr>
            <w:r>
              <w:rPr>
                <w:rFonts w:ascii="Arial" w:cs="Arial" w:eastAsia="Arial" w:hAnsi="Arial"/>
                <w:sz w:val="18"/>
                <w:szCs w:val="18"/>
                <w:color w:val="auto"/>
              </w:rPr>
              <w:t>Amounts accrued for purchases of property and equipment</w:t>
            </w:r>
          </w:p>
        </w:tc>
        <w:tc>
          <w:tcPr>
            <w:tcW w:w="36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00"/>
              <w:spacing w:after="0" w:line="18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Vesting of early exercised options</w:t>
            </w:r>
          </w:p>
        </w:tc>
        <w:tc>
          <w:tcPr>
            <w:tcW w:w="36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465</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1,231</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-2416810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-728345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Erasca,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Erasca, Inc. (Erasca or the Company) is a clinical-stage precision oncology company singularly focused on discovering, developing, and commercializing therapies for patients with RAS/MAPK pathway-driven cancers. The Company has assembled a RAS/MAPK pathway-focused pipeline comprising modality-agnostic programs aligned with its three therapeutic strategies of: (1) targeting key upstream and downstream signaling nodes in the RAS/MAPK pathway; (2) targeting RAS directly; and (3) targeting escape routes that emerge in response to treatment. The Company was incorporated under the laws of the State of Delaware on July 2, 2018, as Erasca, Inc., and is headquartered in San Diego, California. In September 2020, the Company established a wholly-owned Australian subsidiary, Erasca Australia Pty Ltd (Erasca Australia), in order to conduct clinical activities in Australia for its development candidates. In November 2020, the Company entered into an agreement and plan of merger with Asana BioSciences, LLC (Asana) and ASN Product Development, Inc. (ASN) (the Asana Merger Agreement), pursuant to which ASN became the Company's wholly-owned subsidiary. In March 2021, the Company established a wholly-owned subsidiary, Erasca Ventures, LLC (Erasca Ventures), to make equity investments in early-stage biotechnology companies that are aligned with the Company’s mission and strategy.</w:t>
      </w:r>
    </w:p>
    <w:p>
      <w:pPr>
        <w:spacing w:after="0" w:line="17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Since inception, the Company has devoted substantially all of its efforts and resources to organizing and staffing the Company, business planning, raising capital, identifying, acquiring and in-licensing the Company’s product candidates, establishing its intellectual property portfolio, conducting research, preclinical studies, and clinical trials, establishing arrangements with third parties for the manufacture of its product candidates and related raw materials, and providing general and administrative support for these operations. As of December 31, 2024, the Company had $298.3 million in cash, cash equivalents, and short-term marketable securities, and $142.2 million in long-term marketable securities. As of December 31, 2024, the Company had an accumulated deficit of $767.7 million. The Company has incurred significant operating losses and negative cash flows from operations. From its inception through December 31, 2024, the Company’s financial support has primarily been provided from the sale of its convertible preferred stock and the sale of its common stock in its initial public offering (IPO), underwritten offerings, a private placement of common stock, and an "at the market" offering (ATM Offering).</w:t>
      </w:r>
    </w:p>
    <w:p>
      <w:pPr>
        <w:spacing w:after="0" w:line="17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expects to use its cash, cash equivalents, and marketable securities to fund research and development, working capital, and other general corporate purposes. The Company does not expect to generate any revenues from product sales unless and until the Company successfully completes development and obtains regulatory approval for any of its product candidates, which will not be for at least the next several years, if ever. Accordingly, until such time as the Company can generate significant revenue from sales of its product candidates, if ever, the Company expects to finance its cash needs through equity offerings, debt financings, or other capital sources, including potential collaborations, licenses or other similar arrangements. However, the Company may not be able to secure additional financing or enter into such other arrangements in a timely manner or on favorable terms, if at all. The Company’s failure to raise capital or enter into such other arrangements when needed would have a negative impact on the Company’s financial condition and could force the Company to delay, limit, reduce or terminate its research and development programs or other operations, or grant rights to develop and market product candidates that the Company would otherwise prefer to develop and market itself. The Company believes its cash, cash equivalents, and marketable securities as of December 31, 2024 will be sufficient for the Company to fund operations for at least one year from the issuance date of these consolidated financial statements.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2024 ATM offering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2024, the Company sold 9,231,114 shares of common stock at a weighted-average price of $2.37 per share under the Open Market Sale Agreement effective August 2022 (the Sale Agreement) with Jefferies LLC (the Agent). Pursuant to the Sale Agreement, the Company may offer and sell shares of its common stock having an aggregate offering price of up to $200 million from time to time, in ATM Offerings through the Agent. Sales of the shares of common stock, if any, will be made at prevailing market prices at the time of sale, or as otherwise agreed with the Agent. Pursuant to the Sale Agreement, the Agent receives a commission from the Company of up to 3.0% of the gross proceeds of any shares of common stock sold under the Sale Agreement. Proceeds from the ATM Offering during the year ended December 31, 2024 were $21.0 million, net of commissions and expenses of $847,000.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underwritten offering</w:t>
      </w:r>
    </w:p>
    <w:p>
      <w:pPr>
        <w:spacing w:after="0" w:line="19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 May 2024, the Company completed the sale and issuance of 99,459,458 shares of its common stock, including the exercise in full by the underwriters of their option to purchase 12,972,972 shares of its common stock, at a price to the public of $1.85 per share (the 2024 Offering). Proceeds from the 2024 Offering were $174.4 million, net of underwriting discounts and commissions and offering costs of $9.6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private placement</w:t>
      </w:r>
    </w:p>
    <w:p>
      <w:pPr>
        <w:spacing w:after="0" w:line="1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March 2024, the Company entered into a stock purchase agreement with the purchasers named therein for the private placement of 21,844,660 shares of its common stock at a price of $2.06 per share, which closed on April 2, 2024 (the 2024 Private Placement). Proceeds from the 2024 Private Placement were $43.6 million, after deducting placement agent fees and expenses of approximately $1.4 million.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9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Any reference in these notes to applicable guidance is meant to refer to US GAAP as found in the Accounting Standards Codification (ASC) and Accounting Standards Updates (ASU) promulgated by the Financial Accounting Standards Board (FASB).</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foreign currency transactions</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Company’s consolidated financial statements include the accounts of the Company and its wholly-owned subsidiaries, Erasca Australia, ASN, and Erasca Ventures. Erasca Australia was registered under the laws of Australia on September 1, 2020, ASN was incorporated under the laws of the State of Delaware on November 23, 2020, and Erasca Ventures was formed under the laws of the State of Delaware on March 30, 2021. All intercompany balances and transactions have been eliminated. The functional currency of the Company and its wholly-owned subsidiaries is the US dollar. Assets and liabilities that are not denominated in the functional currency are remeasured into US dollars at foreign currency exchange rates in effect at the balance sheet date except for nonmonetary assets, which are remeasured at historical foreign currency exchange rates in effect at the date of transaction. Net realized and unrealized gains and losses from foreign currency transactions and remeasurement are reported in other income (expense), in the consolidated statements of operations and comprehensive loss and were not material for all periods presented.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5" w:right="3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preparation of the Company’s consolidated financial statements in conformity with US GAAP requires the Company to make estimates and assumptions that impact the reported amounts of assets, liabilities, expenses, and the disclosure of contingent assets and liabilities in the consolidated financial statements and accompanying notes. Accounting estimates and management judgments reflected in the consolidated financial statements include, but are not limited to, the accrual of research and development expenses, stock-based compensation expense, the fair value of long-lived assets, the fair value of equity investments, and the incremental borrowing rate for determining the operating lease asset and liability. Management evaluates its estimates on an ongoing basis. Although estimates are based on the Company’s historical experience, knowledge of current events, and actions it may undertake in the future, actual results may ultimately materially differ from these estimates and assumptions.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off-balance sheet risk</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Financial instruments which potentially subject the Company to significant concentration of credit risk consist of cash and cash equivalents and marketable securities.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Company’s investment policy includes guidelines for the quality of the related institutions and financial instruments and defines allowable investments that the Company may invest in, which the Company believes minimizes the exposure to concentration of credit risk.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98"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Cash and cash equivalents include cash in readily available checking and savings accounts, and money market funds. The Company considers all highly liquid investments with an original maturity of three months or less from the date of purchase to be cash equivalents.</w:t>
      </w:r>
    </w:p>
    <w:p>
      <w:pPr>
        <w:spacing w:after="0" w:line="14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had deposited cash of $408,000 as of December 31, 2024 and 2023 to secure a letter of credit in connection with the lease of the Company’s facilities (see Note 11). The Company has classified the restricted cash as a noncurrent asset on its consolidated balance sheets.</w:t>
      </w:r>
    </w:p>
    <w:p>
      <w:pPr>
        <w:spacing w:after="0" w:line="15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amounts shown in the consolidated statements of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4"/>
              <w:spacing w:after="0" w:line="183" w:lineRule="exact"/>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2"/>
              <w:spacing w:after="0" w:line="183"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80" w:type="dxa"/>
            <w:vAlign w:val="bottom"/>
          </w:tcPr>
          <w:p>
            <w:pPr>
              <w:spacing w:after="0"/>
              <w:rPr>
                <w:sz w:val="17"/>
                <w:szCs w:val="17"/>
                <w:color w:val="auto"/>
              </w:rPr>
            </w:pPr>
          </w:p>
        </w:tc>
        <w:tc>
          <w:tcPr>
            <w:tcW w:w="4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35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67,739</w:t>
            </w:r>
          </w:p>
        </w:tc>
        <w:tc>
          <w:tcPr>
            <w:tcW w:w="720" w:type="dxa"/>
            <w:vAlign w:val="bottom"/>
            <w:gridSpan w:val="2"/>
            <w:shd w:val="clear" w:color="auto" w:fill="CFF0FC"/>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93,075</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3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408</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80" w:type="dxa"/>
            <w:vAlign w:val="bottom"/>
          </w:tcPr>
          <w:p>
            <w:pPr>
              <w:spacing w:after="0"/>
              <w:rPr>
                <w:sz w:val="20"/>
                <w:szCs w:val="20"/>
                <w:color w:val="auto"/>
              </w:rPr>
            </w:pPr>
          </w:p>
        </w:tc>
        <w:tc>
          <w:tcPr>
            <w:tcW w:w="4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35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68,147</w:t>
            </w:r>
          </w:p>
        </w:tc>
        <w:tc>
          <w:tcPr>
            <w:tcW w:w="720" w:type="dxa"/>
            <w:vAlign w:val="bottom"/>
            <w:gridSpan w:val="2"/>
            <w:shd w:val="clear" w:color="auto" w:fill="CFF0FC"/>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93,483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619"/>
        </w:trPr>
        <w:tc>
          <w:tcPr>
            <w:tcW w:w="80" w:type="dxa"/>
            <w:vAlign w:val="bottom"/>
          </w:tcPr>
          <w:p>
            <w:pPr>
              <w:spacing w:after="0"/>
              <w:rPr>
                <w:sz w:val="24"/>
                <w:szCs w:val="24"/>
                <w:color w:val="auto"/>
              </w:rPr>
            </w:pPr>
          </w:p>
        </w:tc>
        <w:tc>
          <w:tcPr>
            <w:tcW w:w="4620" w:type="dxa"/>
            <w:vAlign w:val="bottom"/>
            <w:tcBorders>
              <w:top w:val="single" w:sz="8" w:color="CFF0FC"/>
            </w:tcBorders>
          </w:tcPr>
          <w:p>
            <w:pPr>
              <w:spacing w:after="0"/>
              <w:rPr>
                <w:sz w:val="24"/>
                <w:szCs w:val="24"/>
                <w:color w:val="auto"/>
              </w:rPr>
            </w:pPr>
          </w:p>
        </w:tc>
        <w:tc>
          <w:tcPr>
            <w:tcW w:w="3240" w:type="dxa"/>
            <w:vAlign w:val="bottom"/>
            <w:tcBorders>
              <w:top w:val="single" w:sz="8" w:color="CFF0FC"/>
            </w:tcBorders>
          </w:tcPr>
          <w:p>
            <w:pPr>
              <w:ind w:left="780"/>
              <w:spacing w:after="0"/>
              <w:rPr>
                <w:sz w:val="20"/>
                <w:szCs w:val="20"/>
                <w:color w:val="auto"/>
              </w:rPr>
            </w:pPr>
            <w:r>
              <w:rPr>
                <w:rFonts w:ascii="Arial" w:cs="Arial" w:eastAsia="Arial" w:hAnsi="Arial"/>
                <w:sz w:val="18"/>
                <w:szCs w:val="18"/>
                <w:color w:val="auto"/>
              </w:rPr>
              <w:t>F-9</w:t>
            </w: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Pr>
          <w:p>
            <w:pPr>
              <w:spacing w:after="0"/>
              <w:rPr>
                <w:sz w:val="24"/>
                <w:szCs w:val="24"/>
                <w:color w:val="auto"/>
              </w:rPr>
            </w:pPr>
          </w:p>
        </w:tc>
      </w:tr>
      <w:tr>
        <w:trPr>
          <w:trHeight w:val="745"/>
        </w:trPr>
        <w:tc>
          <w:tcPr>
            <w:tcW w:w="8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-916305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-899795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-916305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-899795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Marketable securities and investments</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classifies all marketable securities as available-for-sale, as the sale of such securities may be required prior to maturity. Management determines the appropriate classification of its marketable securities at the time of purchase. Marketable securities with original maturities beyond three months at the date of purchase and which mature at, or less than 12 months from, the balance sheet date are classified as short-term marketable securities.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Company regularly reviews all of its marketable securities for declines in fair value. The review includes the consideration of the cause of the impairment, including the creditworthiness of the security issuers, the number of securities in an unrealized loss position, the severity of the unrealized loss(es), whether the Company has the intent to sell the securities and whether it is more likely than not that the Company will be required to sell the securities before the recovery of their amortized cost basis. If the decline in fair value is due to credit-related factors, a loss is recognized in net income; whereas, if the decline in fair value is not due to credit-related factors, the loss is recorded in other comprehensive income (loss). Realized gains and losses on available-for-sale securities are included in other income (expense). The cost of securities sold is based on the specific identification method. Interest and dividends on securities classified as available-for-sale are included in interest income.</w:t>
      </w:r>
    </w:p>
    <w:p>
      <w:pPr>
        <w:spacing w:after="0" w:line="176"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Accrued interest related to the Company's available-for-sale securities is presented within prepaid expenses and other current assets on the Company's consolidated balance sheets. For purposes of identifying and measuring credit-related impairments, the Company’s policy is to exclude applicable accrued interest from both the fair value and the amortized cost basis of available-for-sale securities and to not measure an allowance for credit loss for accrued interest. The Company has elected to write-off any uncollectible accrued interest as a reversal of interest income in a timely manner, which the Company considers to be in the period in which it determines the accrued interest will not be collected by the Company. To date, the Company has not written off any accrued interest associated with its available-for-sale securities.</w:t>
      </w:r>
    </w:p>
    <w:p>
      <w:pPr>
        <w:spacing w:after="0" w:line="16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Through its wholly-owned subsidiary, Erasca Ventures, the Company has also invested in equity securities of companies whose securities are not publicly traded and whose fair value is not readily available (see Notes 3 and 16). These investments are recorded using cost minus impairment, plus or minus changes in their estimated fair values resulting from observable price changes in orderly transactions for the identical or a similar investment of the same issuer. Investments in equity securities without readily determinable fair values are assessed for potential impairment on a quarterly basis based on qualitative factors. These investments are included in other assets in the Company's consolidated balance sheets.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98"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Financial assets and liabilities carried at fair value are classified and disclosed in one of the following three levels of the fair value hierarchy, of which the first two are considered observable and the last is considered unobservable:</w:t>
      </w:r>
    </w:p>
    <w:p>
      <w:pPr>
        <w:spacing w:after="0" w:line="163"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Level 1—Unadjusted quoted prices in active markets that are accessible at the measurement date for identical, unrestricted assets or liabilities.</w:t>
      </w:r>
    </w:p>
    <w:p>
      <w:pPr>
        <w:spacing w:after="0" w:line="14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40"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Level 3—Prices or valuation techniques that require inputs that are both significant to the fair value measurement and unobservable (i.e., supported by little or no market activity).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9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Property and equipment are stated at cost less accumulated depreciation. Depreciation and amortization are calculated using the straight-line method over the estimated useful lives of the respective assets, generally three to seven years.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Leasehold improvements are amortized over the shorter of the estimated useful lives of the assets or the remaining lease term.</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Company continually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recognized a $4.7 million impairment loss during the year ended December 31, 2024 related to its leased office space in San Diego, California (see Note 11). There were no impairment losses recognized during the year ended December 31, 2023.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Company leases real estate facilities and equipment under non-cancellable and cancellable operating leases with various expiration dates through fiscal year 2032. At the inception of an arrangement, the Company determines whether the arrangement is or contains a lease based on the unique facts and circumstances present, the existence of an identified asset(s), if any, and the Company’s control over the use of the identified asset(s), if applicable.</w:t>
      </w:r>
    </w:p>
    <w:p>
      <w:pPr>
        <w:spacing w:after="0" w:line="16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Operating leases are included in operating lease assets and in operating lease liabilities in the accompanying consolidated balance sheets. Operating lease assets represent the Company’s right to use an underlying asset for the lease term, and lease liabilities represent the Company’s obligation to make lease payments arising from the lease. Operating lease liabilities are recognized at the lease commencement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1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Company’s operating lease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obligations for those payments are incurred. In addition, the Company elected the practical expedient such that it does not recognize lease assets or lease liabilities for leases with a term of 12 months or less for all asset classes. Operating lease expense is recognized on a straight-line basis over the lease term. Certain of the Company's real estate leases include tenant improvement allowances, which are recognized as lease incentives and amortized on a straight-line basis over the lease term as an offset to rent expense.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Research and development expenses consist of external and internal costs associated with the Company’s research and development activities, including its discovery and research efforts and the preclinical and clinical development of its product candidates. Research and development costs are expensed as incurred. The Company’s research and development expenses include external costs, consisting of expenses incurred under arrangements with third parties, such as contract research organizations (CROs), contract manufacturing organizations (CMOs), consultants and its scientific advisors; and internal costs, consisting of employee-related expenses, including salaries, benefits, and stock-based compensation for those individuals involved in research and development efforts, the costs of laboratory supplies and acquiring, developing and manufacturing preclinical study materials, and facilities and depreciation, which include direct and allocated expenses for rent of facilities and depreciation.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139" w:name="page140"/>
    <w:bookmarkEnd w:id="139"/>
    <w:p>
      <w:pPr>
        <w:spacing w:after="0" w:line="244" w:lineRule="auto"/>
        <w:rPr>
          <w:sz w:val="20"/>
          <w:szCs w:val="20"/>
          <w:color w:val="auto"/>
        </w:rPr>
      </w:pPr>
      <w:r>
        <w:rPr>
          <w:rFonts w:ascii="Arial" w:cs="Arial" w:eastAsia="Arial" w:hAnsi="Arial"/>
          <w:sz w:val="18"/>
          <w:szCs w:val="18"/>
          <w:color w:val="auto"/>
        </w:rPr>
        <w:t>The Company records accruals for estimated research and development costs, comprising payments for work performed by third party contractors, laboratories, and others. Some of these contractors bill monthly based on actual services performed, while others bill periodically based upon achieving certain contractual milestones. For the latter, the Company accrues the expenses as goods or services are used or rendered. Non-refundable advance payments for goods or services that will be used or rendered for future research and development activities are deferred and capitalized as prepaid expenses until the related goods are delivered or services are performed.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 expense</w:t>
      </w:r>
    </w:p>
    <w:p>
      <w:pPr>
        <w:spacing w:after="0" w:line="198"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Company has acquired rights as part of asset acquisitions or in-licenses to develop and commercialize product candidates. Upfront payments that relate to the acquisition of a new product candidate, as well as pre-commercial milestone payments, are immediately expensed as in-process research and development (IPR&amp;D) in the period in which they are incurred, provided that the new product candidate did not also include processes or activities that would constitute a “business” as defined under US GAAP, the product candidate has not achieved regulatory approval for marketing and, absent obtaining such approval, has no established alternative future use. The Company accounts for contingent consideration payable upon achievement of certain regulatory, development or sales milestones in such asset acquisitions when the underlying contingency is probable and estimable. Milestone payments made to third parties subsequent to regulatory approval will be capitalized as intangible assets and amortized over the estimated remaining useful life of the related product.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98"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The Company expenses all costs as incurred in connection with patent applications (including direct application fees, and the legal and consulting expenses related to making such applications) and such costs are included in general and administrative expenses in the consolidated statements of operations and comprehensive loss.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98"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The Company measures employee and nonemployee stock-based awards based on the fair value on the date of grant and records compensation expense on a straight-line basis over the requisite service period of the award. All stock-based compensation costs are recorded in the consolidated statements of operations and comprehensive loss based upon the underlying employees' or nonemployees' roles within the Company. Forfeitures are accounted for as they occur.</w:t>
      </w:r>
    </w:p>
    <w:p>
      <w:pPr>
        <w:spacing w:after="0" w:line="160" w:lineRule="exact"/>
        <w:rPr>
          <w:sz w:val="20"/>
          <w:szCs w:val="20"/>
          <w:color w:val="auto"/>
        </w:rPr>
      </w:pPr>
    </w:p>
    <w:p>
      <w:pPr>
        <w:ind w:right="780"/>
        <w:spacing w:after="0" w:line="253" w:lineRule="auto"/>
        <w:rPr>
          <w:sz w:val="20"/>
          <w:szCs w:val="20"/>
          <w:color w:val="auto"/>
        </w:rPr>
      </w:pPr>
      <w:r>
        <w:rPr>
          <w:rFonts w:ascii="Arial" w:cs="Arial" w:eastAsia="Arial" w:hAnsi="Arial"/>
          <w:sz w:val="18"/>
          <w:szCs w:val="18"/>
          <w:color w:val="auto"/>
        </w:rPr>
        <w:t>The fair value of stock option grants and shares purchasable under the Company's 2021 Employee Stock Purchase Plan (ESPP) is estimated on the date of grant using the Black-Scholes options-pricing model, which requires inputs based on certain subjective assumptions, including the:</w:t>
      </w:r>
    </w:p>
    <w:p>
      <w:pPr>
        <w:spacing w:after="0" w:line="155" w:lineRule="exact"/>
        <w:rPr>
          <w:sz w:val="20"/>
          <w:szCs w:val="20"/>
          <w:color w:val="auto"/>
        </w:rPr>
      </w:pPr>
    </w:p>
    <w:p>
      <w:pPr>
        <w:ind w:right="560" w:firstLine="8"/>
        <w:spacing w:after="0" w:line="271" w:lineRule="auto"/>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Risk-free interest rate. The risk-free interest rate is based on the US Treasury zero-coupon issues in effect at the time of grant for periods corresponding with the expected term of the stock-based awards.</w:t>
      </w:r>
    </w:p>
    <w:p>
      <w:pPr>
        <w:spacing w:after="0" w:line="140" w:lineRule="exact"/>
        <w:rPr>
          <w:rFonts w:ascii="Arial" w:cs="Arial" w:eastAsia="Arial" w:hAnsi="Arial"/>
          <w:sz w:val="18"/>
          <w:szCs w:val="18"/>
          <w:color w:val="auto"/>
        </w:rPr>
      </w:pPr>
    </w:p>
    <w:p>
      <w:pPr>
        <w:ind w:right="400" w:firstLine="8"/>
        <w:spacing w:after="0" w:line="247" w:lineRule="auto"/>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Expected volatility. Given that the Company does not have sufficient trading history for its common stock, the expected volatility is estimated based on the average volatility of the Company and comparable publicly traded companies within its peer group over a period approximately equal to the expected term of the stock-based awards. The Company will continue to apply this process until a sufficient amount of historical information regarding the volatility of its own stock price becomes available.</w:t>
      </w:r>
    </w:p>
    <w:p>
      <w:pPr>
        <w:spacing w:after="0" w:line="160" w:lineRule="exact"/>
        <w:rPr>
          <w:rFonts w:ascii="Arial" w:cs="Arial" w:eastAsia="Arial" w:hAnsi="Arial"/>
          <w:sz w:val="18"/>
          <w:szCs w:val="18"/>
          <w:color w:val="auto"/>
        </w:rPr>
      </w:pPr>
    </w:p>
    <w:p>
      <w:pPr>
        <w:ind w:right="160" w:firstLine="8"/>
        <w:spacing w:after="0" w:line="247" w:lineRule="auto"/>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Expected term. The expected term represents the period that the stock-based awards are expected to be outstanding. The expected term of stock options issued is generally determined using the simplified method (based on the mid-point between the vesting date and the end of the contractual term) as the Company has concluded that its stock option exercise history does not provide a reasonable basis upon which to estimate expected term.</w:t>
      </w:r>
    </w:p>
    <w:p>
      <w:pPr>
        <w:spacing w:after="0" w:line="160" w:lineRule="exact"/>
        <w:rPr>
          <w:rFonts w:ascii="Arial" w:cs="Arial" w:eastAsia="Arial" w:hAnsi="Arial"/>
          <w:sz w:val="18"/>
          <w:szCs w:val="18"/>
          <w:color w:val="auto"/>
        </w:rPr>
      </w:pPr>
    </w:p>
    <w:p>
      <w:pPr>
        <w:ind w:right="120" w:firstLine="8"/>
        <w:spacing w:after="0" w:line="271" w:lineRule="auto"/>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Expected dividend yield. The Company has never paid dividends on its common stock and does not anticipate paying any dividends in the foreseeable future. Therefore, the Company used an expected dividend yield of zero.</w:t>
      </w:r>
    </w:p>
    <w:p>
      <w:pPr>
        <w:spacing w:after="0" w:line="140"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fair value of each restricted common stock award is estimated on the date of grant based on the fair value of the Company’s common stock on that same date.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Income taxes</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recognized in the Company’s consolidated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As of December 31, 2024, the Company’s tax years since inception are subject to examination by taxing authorities due to the Company’s unutilized net operating losses and tax credits.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9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Company reports all components of comprehensive income (loss), including net loss, in the consolidated financial statements in the period in which they are recognized. Comprehensive income (loss) is defined as the change in equity during a period from transactions and other events and circumstances from non-owner sources, including unrealized gains and losses on marketable securities. Other comprehensive income (loss) includes unrealized gains and losses on marketable securities, which was the only difference between net loss and comprehensive loss for the applicable periods.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9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Company’s net loss is equivalent to net loss attributable to common stockholders for all periods presented. Basic net loss per share is calculated by dividing the net loss by the weighted-average number of common shares outstanding during the period, without consideration of potentially dilutive securities. Diluted net loss per share is computed by dividing the net loss by the weighted-average number of common shares and potentially dilutive securities outstanding for the period. For purposes of the diluted net loss per share calculation, options to purchase common stock, shares purchasable under the ESPP and common stock subject to repurchase related to options early exercised are considered to be potentially dilutive securities. Basic and diluted net loss per share is presented in conformity with the two-class method required for participating securities as the shares issued upon the early exercise of stock options subject to repurchase are considered to be participating securities because holders of such shares have non-forfeitable dividend rights in the event a dividend is paid on common stock.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 since dilutive common shares are not assumed to have been issued if their effect is anti-dilutive.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98"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Operating segments are defined as components of an entity in which it engages in business activities, and where separate discrete information is available for evaluation by the chief operating decision maker (CODM) in deciding how to allocate resources in assessing performance. The Company operates and manages its business as a single operating and reportable segment focused on the discovery and development of precision medicines for the benefit of patients with cancer. The Company’s CODM is its chief executive officer and the CODM reviews financial information on a consolidated basis for purposes of allocating resources and evaluating financial performance. All of the Company’s assets are located in the United States. See Note 17 for additional information.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9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(ASU 2023-07), which is intended to provide enhancements to segment disclosures, even for entities with only one reportable segment. In particular, the standard requires disclosures of significant segment expenses regularly provided to the CODM and included within each reported measure of segment profit and loss. The standard also requires disclosure of all other segment items by reportable segment and a description of its composition. Finally, the standard requires disclosure of the title and position of the chief operating decision maker and an explanation of how the CODM uses the reported measure(s) of segment profit or loss in assessing segment performance and deciding how to allocate resources. The standard is effective for annual periods beginning after December 15, 2023, and interim periods within annual periods beginning after December 15, 2024. Early adoption is permitted. Retrospective application to all prior periods presented in the financial statements is required. The Company adopted ASU 2023-07 for the annual period ended December 31, 2024 on a retrospective basis, and the adoption did not have a material impact on its consolidated financial statements and related disclosures. See Note 17 for additional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(JOBS Act)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1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which is intended to provide enhancements to annual income tax disclosures. In particular, the standard will require more detailed information in the income tax rate reconciliation, as well as the disclosure of income taxes paid disaggregated by jurisdiction, among other enhancements. The standard is effective for the Company in its annual period beginning after December 15, 2025 and early adoption is permitted. The standard allows for adoption on a prospective basis, with a retrospective option. The Company is currently evaluating the impact of the standard on the presentation of its consolidated financial statements and related disclosures.</w:t>
      </w:r>
    </w:p>
    <w:p>
      <w:pPr>
        <w:spacing w:after="0" w:line="16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November 2024, the FASB issued ASU No. 2024-03, Income Statement - Reporting Comprehensive Income - Expense Disaggregation Disclosures (Subtopic 220-40): Disaggregation of Income Statement Expenses, which is intended to improve the disclosures of expenses by providing more detailed information about the types of expenses in commonly presented expense captions. The standard is effective for annual reporting periods beginning after December 15, 2026, and interim reporting periods beginning after December 15, 2027. Early adoption is permitted. The standard can be applied either prospectively or retrospectively. The Company is currently evaluating the impact of the standard on the presentation of its consolidated financial statements and related disclosures.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and their respective input levels based on the fair value hierarchy (in thousands):</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gridSpan w:val="8"/>
          </w:tcPr>
          <w:p>
            <w:pPr>
              <w:ind w:left="60"/>
              <w:spacing w:after="0"/>
              <w:rPr>
                <w:sz w:val="20"/>
                <w:szCs w:val="20"/>
                <w:color w:val="auto"/>
              </w:rPr>
            </w:pPr>
            <w:r>
              <w:rPr>
                <w:rFonts w:ascii="Arial" w:cs="Arial" w:eastAsia="Arial" w:hAnsi="Arial"/>
                <w:sz w:val="16"/>
                <w:szCs w:val="16"/>
                <w:b w:val="1"/>
                <w:bCs w:val="1"/>
                <w:color w:val="auto"/>
              </w:rPr>
              <w:t>Fair value measurements as of December 31, 2024 using</w:t>
            </w:r>
          </w:p>
        </w:tc>
      </w:tr>
      <w:tr>
        <w:trPr>
          <w:trHeight w:val="168"/>
        </w:trPr>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top w:val="single" w:sz="8" w:color="auto"/>
            </w:tcBorders>
            <w:gridSpan w:val="2"/>
          </w:tcPr>
          <w:p>
            <w:pPr>
              <w:jc w:val="center"/>
              <w:spacing w:after="0" w:line="168" w:lineRule="exact"/>
              <w:rPr>
                <w:sz w:val="20"/>
                <w:szCs w:val="20"/>
                <w:color w:val="auto"/>
              </w:rPr>
            </w:pPr>
            <w:r>
              <w:rPr>
                <w:rFonts w:ascii="Arial" w:cs="Arial" w:eastAsia="Arial" w:hAnsi="Arial"/>
                <w:sz w:val="16"/>
                <w:szCs w:val="16"/>
                <w:b w:val="1"/>
                <w:bCs w:val="1"/>
                <w:color w:val="auto"/>
              </w:rPr>
              <w:t>Quoted prices in</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center"/>
              <w:ind w:right="73"/>
              <w:spacing w:after="0" w:line="168" w:lineRule="exact"/>
              <w:rPr>
                <w:sz w:val="20"/>
                <w:szCs w:val="20"/>
                <w:color w:val="auto"/>
              </w:rPr>
            </w:pPr>
            <w:r>
              <w:rPr>
                <w:rFonts w:ascii="Arial" w:cs="Arial" w:eastAsia="Arial" w:hAnsi="Arial"/>
                <w:sz w:val="16"/>
                <w:szCs w:val="16"/>
                <w:b w:val="1"/>
                <w:bCs w:val="1"/>
                <w:color w:val="auto"/>
              </w:rPr>
              <w:t>Significant</w:t>
            </w: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33"/>
              <w:spacing w:after="0" w:line="168" w:lineRule="exact"/>
              <w:rPr>
                <w:sz w:val="20"/>
                <w:szCs w:val="20"/>
                <w:color w:val="auto"/>
              </w:rPr>
            </w:pPr>
            <w:r>
              <w:rPr>
                <w:rFonts w:ascii="Arial" w:cs="Arial" w:eastAsia="Arial" w:hAnsi="Arial"/>
                <w:sz w:val="16"/>
                <w:szCs w:val="16"/>
                <w:b w:val="1"/>
                <w:bCs w:val="1"/>
                <w:color w:val="auto"/>
              </w:rPr>
              <w:t>Significant</w:t>
            </w:r>
          </w:p>
        </w:tc>
        <w:tc>
          <w:tcPr>
            <w:tcW w:w="100" w:type="dxa"/>
            <w:vAlign w:val="bottom"/>
          </w:tcPr>
          <w:p>
            <w:pPr>
              <w:spacing w:after="0"/>
              <w:rPr>
                <w:sz w:val="14"/>
                <w:szCs w:val="14"/>
                <w:color w:val="auto"/>
              </w:rPr>
            </w:pPr>
          </w:p>
        </w:tc>
      </w:tr>
      <w:tr>
        <w:trPr>
          <w:trHeight w:val="189"/>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3"/>
              <w:spacing w:after="0"/>
              <w:rPr>
                <w:sz w:val="20"/>
                <w:szCs w:val="20"/>
                <w:color w:val="auto"/>
              </w:rPr>
            </w:pPr>
            <w:r>
              <w:rPr>
                <w:rFonts w:ascii="Arial" w:cs="Arial" w:eastAsia="Arial" w:hAnsi="Arial"/>
                <w:sz w:val="16"/>
                <w:szCs w:val="16"/>
                <w:b w:val="1"/>
                <w:bCs w:val="1"/>
                <w:color w:val="auto"/>
              </w:rPr>
              <w:t>active markets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73"/>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unobservable</w:t>
            </w:r>
          </w:p>
        </w:tc>
      </w:tr>
      <w:tr>
        <w:trPr>
          <w:trHeight w:val="189"/>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40" w:type="dxa"/>
            <w:vAlign w:val="bottom"/>
          </w:tcPr>
          <w:p>
            <w:pPr>
              <w:jc w:val="center"/>
              <w:ind w:right="53"/>
              <w:spacing w:after="0"/>
              <w:rPr>
                <w:sz w:val="20"/>
                <w:szCs w:val="20"/>
                <w:color w:val="auto"/>
              </w:rPr>
            </w:pPr>
            <w:r>
              <w:rPr>
                <w:rFonts w:ascii="Arial" w:cs="Arial" w:eastAsia="Arial" w:hAnsi="Arial"/>
                <w:sz w:val="16"/>
                <w:szCs w:val="16"/>
                <w:b w:val="1"/>
                <w:bCs w:val="1"/>
                <w:color w:val="auto"/>
              </w:rPr>
              <w:t>for identical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73"/>
              <w:spacing w:after="0"/>
              <w:rPr>
                <w:sz w:val="20"/>
                <w:szCs w:val="20"/>
                <w:color w:val="auto"/>
              </w:rPr>
            </w:pPr>
            <w:r>
              <w:rPr>
                <w:rFonts w:ascii="Arial" w:cs="Arial" w:eastAsia="Arial" w:hAnsi="Arial"/>
                <w:sz w:val="16"/>
                <w:szCs w:val="16"/>
                <w:b w:val="1"/>
                <w:bCs w:val="1"/>
                <w:color w:val="auto"/>
              </w:rPr>
              <w:t>observable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inputs</w:t>
            </w:r>
          </w:p>
        </w:tc>
      </w:tr>
      <w:tr>
        <w:trPr>
          <w:trHeight w:val="203"/>
        </w:trPr>
        <w:tc>
          <w:tcPr>
            <w:tcW w:w="4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3"/>
              <w:spacing w:after="0"/>
              <w:rPr>
                <w:sz w:val="20"/>
                <w:szCs w:val="20"/>
                <w:color w:val="auto"/>
              </w:rPr>
            </w:pPr>
            <w:r>
              <w:rPr>
                <w:rFonts w:ascii="Arial" w:cs="Arial" w:eastAsia="Arial" w:hAnsi="Arial"/>
                <w:sz w:val="16"/>
                <w:szCs w:val="16"/>
                <w:b w:val="1"/>
                <w:bCs w:val="1"/>
                <w:color w:val="auto"/>
              </w:rPr>
              <w:t>assets (level 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ind w:right="73"/>
              <w:spacing w:after="0"/>
              <w:rPr>
                <w:sz w:val="20"/>
                <w:szCs w:val="20"/>
                <w:color w:val="auto"/>
              </w:rPr>
            </w:pPr>
            <w:r>
              <w:rPr>
                <w:rFonts w:ascii="Arial" w:cs="Arial" w:eastAsia="Arial" w:hAnsi="Arial"/>
                <w:sz w:val="16"/>
                <w:szCs w:val="16"/>
                <w:b w:val="1"/>
                <w:bCs w:val="1"/>
                <w:color w:val="auto"/>
              </w:rPr>
              <w:t>inputs (level 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3)</w:t>
            </w:r>
          </w:p>
        </w:tc>
      </w:tr>
      <w:tr>
        <w:trPr>
          <w:trHeight w:val="196"/>
        </w:trPr>
        <w:tc>
          <w:tcPr>
            <w:tcW w:w="45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560" w:type="dxa"/>
            <w:vAlign w:val="bottom"/>
          </w:tcPr>
          <w:p>
            <w:pPr>
              <w:ind w:left="260"/>
              <w:spacing w:after="0" w:line="202" w:lineRule="exact"/>
              <w:rPr>
                <w:sz w:val="20"/>
                <w:szCs w:val="20"/>
                <w:color w:val="auto"/>
              </w:rPr>
            </w:pPr>
            <w:r>
              <w:rPr>
                <w:rFonts w:ascii="Arial" w:cs="Arial" w:eastAsia="Arial" w:hAnsi="Arial"/>
                <w:sz w:val="17"/>
                <w:szCs w:val="17"/>
                <w:color w:val="auto"/>
              </w:rPr>
              <w:t>Money market funds</w:t>
            </w:r>
            <w:r>
              <w:rPr>
                <w:rFonts w:ascii="Arial" w:cs="Arial" w:eastAsia="Arial" w:hAnsi="Arial"/>
                <w:sz w:val="23"/>
                <w:szCs w:val="23"/>
                <w:color w:val="auto"/>
                <w:vertAlign w:val="superscript"/>
              </w:rPr>
              <w:t>(1)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63,101</w:t>
            </w:r>
          </w:p>
        </w:tc>
        <w:tc>
          <w:tcPr>
            <w:tcW w:w="2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63,101</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r>
      <w:tr>
        <w:trPr>
          <w:trHeight w:val="203"/>
        </w:trPr>
        <w:tc>
          <w:tcPr>
            <w:tcW w:w="4560" w:type="dxa"/>
            <w:vAlign w:val="bottom"/>
            <w:shd w:val="clear" w:color="auto" w:fill="CFF0FC"/>
          </w:tcPr>
          <w:p>
            <w:pPr>
              <w:ind w:left="26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(2)</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42,849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42,849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980"/>
              <w:spacing w:after="0" w:line="202" w:lineRule="exact"/>
              <w:rPr>
                <w:sz w:val="20"/>
                <w:szCs w:val="20"/>
                <w:color w:val="auto"/>
              </w:rPr>
            </w:pPr>
            <w:r>
              <w:rPr>
                <w:rFonts w:ascii="Arial" w:cs="Arial" w:eastAsia="Arial" w:hAnsi="Arial"/>
                <w:sz w:val="18"/>
                <w:szCs w:val="18"/>
                <w:color w:val="auto"/>
              </w:rPr>
              <w:t>—</w:t>
            </w:r>
          </w:p>
        </w:tc>
      </w:tr>
      <w:tr>
        <w:trPr>
          <w:trHeight w:val="203"/>
        </w:trPr>
        <w:tc>
          <w:tcPr>
            <w:tcW w:w="4560" w:type="dxa"/>
            <w:vAlign w:val="bottom"/>
          </w:tcPr>
          <w:p>
            <w:pPr>
              <w:ind w:left="260"/>
              <w:spacing w:after="0" w:line="202" w:lineRule="exact"/>
              <w:rPr>
                <w:sz w:val="20"/>
                <w:szCs w:val="20"/>
                <w:color w:val="auto"/>
              </w:rPr>
            </w:pPr>
            <w:r>
              <w:rPr>
                <w:rFonts w:ascii="Arial" w:cs="Arial" w:eastAsia="Arial" w:hAnsi="Arial"/>
                <w:sz w:val="17"/>
                <w:szCs w:val="17"/>
                <w:color w:val="auto"/>
              </w:rPr>
              <w:t>US government agency securities</w:t>
            </w:r>
            <w:r>
              <w:rPr>
                <w:rFonts w:ascii="Arial" w:cs="Arial" w:eastAsia="Arial" w:hAnsi="Arial"/>
                <w:sz w:val="23"/>
                <w:szCs w:val="23"/>
                <w:color w:val="auto"/>
                <w:vertAlign w:val="superscript"/>
              </w:rPr>
              <w:t>(2)</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22,420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22,420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r>
      <w:tr>
        <w:trPr>
          <w:trHeight w:val="203"/>
        </w:trPr>
        <w:tc>
          <w:tcPr>
            <w:tcW w:w="4560" w:type="dxa"/>
            <w:vAlign w:val="bottom"/>
            <w:shd w:val="clear" w:color="auto" w:fill="CFF0FC"/>
          </w:tcPr>
          <w:p>
            <w:pPr>
              <w:ind w:left="260"/>
              <w:spacing w:after="0" w:line="202" w:lineRule="exact"/>
              <w:rPr>
                <w:sz w:val="20"/>
                <w:szCs w:val="20"/>
                <w:color w:val="auto"/>
              </w:rPr>
            </w:pPr>
            <w:r>
              <w:rPr>
                <w:rFonts w:ascii="Arial" w:cs="Arial" w:eastAsia="Arial" w:hAnsi="Arial"/>
                <w:sz w:val="17"/>
                <w:szCs w:val="17"/>
                <w:color w:val="auto"/>
              </w:rPr>
              <w:t>Corporate debt securities</w:t>
            </w:r>
            <w:r>
              <w:rPr>
                <w:rFonts w:ascii="Arial" w:cs="Arial" w:eastAsia="Arial" w:hAnsi="Arial"/>
                <w:sz w:val="23"/>
                <w:szCs w:val="23"/>
                <w:color w:val="auto"/>
                <w:vertAlign w:val="superscript"/>
              </w:rPr>
              <w:t>(2)</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30,701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30,701</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980"/>
              <w:spacing w:after="0" w:line="202" w:lineRule="exact"/>
              <w:rPr>
                <w:sz w:val="20"/>
                <w:szCs w:val="20"/>
                <w:color w:val="auto"/>
              </w:rPr>
            </w:pPr>
            <w:r>
              <w:rPr>
                <w:rFonts w:ascii="Arial" w:cs="Arial" w:eastAsia="Arial" w:hAnsi="Arial"/>
                <w:sz w:val="18"/>
                <w:szCs w:val="18"/>
                <w:color w:val="auto"/>
              </w:rPr>
              <w:t>—</w:t>
            </w:r>
          </w:p>
        </w:tc>
      </w:tr>
      <w:tr>
        <w:trPr>
          <w:trHeight w:val="203"/>
        </w:trPr>
        <w:tc>
          <w:tcPr>
            <w:tcW w:w="4560" w:type="dxa"/>
            <w:vAlign w:val="bottom"/>
          </w:tcPr>
          <w:p>
            <w:pPr>
              <w:ind w:left="260"/>
              <w:spacing w:after="0" w:line="202" w:lineRule="exact"/>
              <w:rPr>
                <w:sz w:val="20"/>
                <w:szCs w:val="20"/>
                <w:color w:val="auto"/>
              </w:rPr>
            </w:pPr>
            <w:r>
              <w:rPr>
                <w:rFonts w:ascii="Arial" w:cs="Arial" w:eastAsia="Arial" w:hAnsi="Arial"/>
                <w:sz w:val="17"/>
                <w:szCs w:val="17"/>
                <w:color w:val="auto"/>
              </w:rPr>
              <w:t>Commercial paper</w:t>
            </w:r>
            <w:r>
              <w:rPr>
                <w:rFonts w:ascii="Arial" w:cs="Arial" w:eastAsia="Arial" w:hAnsi="Arial"/>
                <w:sz w:val="23"/>
                <w:szCs w:val="23"/>
                <w:color w:val="auto"/>
                <w:vertAlign w:val="superscript"/>
              </w:rPr>
              <w:t>(2)</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129,561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129,561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r>
      <w:tr>
        <w:trPr>
          <w:trHeight w:val="203"/>
        </w:trPr>
        <w:tc>
          <w:tcPr>
            <w:tcW w:w="4560" w:type="dxa"/>
            <w:vAlign w:val="bottom"/>
            <w:shd w:val="clear" w:color="auto" w:fill="CFF0FC"/>
          </w:tcPr>
          <w:p>
            <w:pPr>
              <w:ind w:left="260"/>
              <w:spacing w:after="0" w:line="202" w:lineRule="exact"/>
              <w:rPr>
                <w:sz w:val="20"/>
                <w:szCs w:val="20"/>
                <w:color w:val="auto"/>
              </w:rPr>
            </w:pPr>
            <w:r>
              <w:rPr>
                <w:rFonts w:ascii="Arial" w:cs="Arial" w:eastAsia="Arial" w:hAnsi="Arial"/>
                <w:sz w:val="17"/>
                <w:szCs w:val="17"/>
                <w:color w:val="auto"/>
              </w:rPr>
              <w:t>Yankee debt securities</w:t>
            </w:r>
            <w:r>
              <w:rPr>
                <w:rFonts w:ascii="Arial" w:cs="Arial" w:eastAsia="Arial" w:hAnsi="Arial"/>
                <w:sz w:val="23"/>
                <w:szCs w:val="23"/>
                <w:color w:val="auto"/>
                <w:vertAlign w:val="superscript"/>
              </w:rPr>
              <w:t>(2)</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980"/>
              <w:spacing w:after="0" w:line="202" w:lineRule="exact"/>
              <w:rPr>
                <w:sz w:val="20"/>
                <w:szCs w:val="20"/>
                <w:color w:val="auto"/>
              </w:rPr>
            </w:pPr>
            <w:r>
              <w:rPr>
                <w:rFonts w:ascii="Arial" w:cs="Arial" w:eastAsia="Arial" w:hAnsi="Arial"/>
                <w:sz w:val="18"/>
                <w:szCs w:val="18"/>
                <w:color w:val="auto"/>
              </w:rPr>
              <w:t>—</w:t>
            </w:r>
          </w:p>
        </w:tc>
      </w:tr>
      <w:tr>
        <w:trPr>
          <w:trHeight w:val="203"/>
        </w:trPr>
        <w:tc>
          <w:tcPr>
            <w:tcW w:w="4560" w:type="dxa"/>
            <w:vAlign w:val="bottom"/>
          </w:tcPr>
          <w:p>
            <w:pPr>
              <w:ind w:left="26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(3)</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71,784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71,784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r>
      <w:tr>
        <w:trPr>
          <w:trHeight w:val="203"/>
        </w:trPr>
        <w:tc>
          <w:tcPr>
            <w:tcW w:w="456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7"/>
                <w:szCs w:val="17"/>
                <w:color w:val="auto"/>
              </w:rPr>
              <w:t>US government agency securities</w:t>
            </w:r>
            <w:r>
              <w:rPr>
                <w:rFonts w:ascii="Arial" w:cs="Arial" w:eastAsia="Arial" w:hAnsi="Arial"/>
                <w:sz w:val="23"/>
                <w:szCs w:val="23"/>
                <w:color w:val="auto"/>
                <w:vertAlign w:val="superscript"/>
              </w:rPr>
              <w:t>(3)</w:t>
            </w:r>
          </w:p>
        </w:tc>
        <w:tc>
          <w:tcPr>
            <w:tcW w:w="1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70,380</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70,380</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ind w:left="98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560" w:type="dxa"/>
            <w:vAlign w:val="bottom"/>
          </w:tcPr>
          <w:p>
            <w:pPr>
              <w:spacing w:after="0" w:line="196" w:lineRule="exact"/>
              <w:rPr>
                <w:sz w:val="20"/>
                <w:szCs w:val="20"/>
                <w:color w:val="auto"/>
              </w:rPr>
            </w:pPr>
            <w:r>
              <w:rPr>
                <w:rFonts w:ascii="Arial" w:cs="Arial" w:eastAsia="Arial" w:hAnsi="Arial"/>
                <w:sz w:val="18"/>
                <w:szCs w:val="18"/>
                <w:color w:val="auto"/>
              </w:rPr>
              <w:t>Total fair value of assets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435,835</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177,734</w:t>
            </w: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258,101</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ind w:left="980"/>
              <w:spacing w:after="0" w:line="196" w:lineRule="exact"/>
              <w:rPr>
                <w:sz w:val="20"/>
                <w:szCs w:val="20"/>
                <w:color w:val="auto"/>
              </w:rPr>
            </w:pPr>
            <w:r>
              <w:rPr>
                <w:rFonts w:ascii="Arial" w:cs="Arial" w:eastAsia="Arial" w:hAnsi="Arial"/>
                <w:sz w:val="18"/>
                <w:szCs w:val="18"/>
                <w:color w:val="auto"/>
              </w:rPr>
              <w:t>—</w:t>
            </w:r>
          </w:p>
        </w:tc>
      </w:tr>
      <w:tr>
        <w:trPr>
          <w:trHeight w:val="20"/>
        </w:trPr>
        <w:tc>
          <w:tcPr>
            <w:tcW w:w="4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-162560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-162560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-162560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-162560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460" w:hanging="332"/>
        <w:spacing w:after="0"/>
        <w:tabs>
          <w:tab w:leader="none" w:pos="4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Included as cash and cash equivalents on the consolidated balance sheets.</w:t>
      </w:r>
    </w:p>
    <w:p>
      <w:pPr>
        <w:spacing w:after="0" w:line="15" w:lineRule="exact"/>
        <w:rPr>
          <w:rFonts w:ascii="Arial" w:cs="Arial" w:eastAsia="Arial" w:hAnsi="Arial"/>
          <w:sz w:val="14"/>
          <w:szCs w:val="14"/>
          <w:color w:val="auto"/>
        </w:rPr>
      </w:pPr>
    </w:p>
    <w:p>
      <w:pPr>
        <w:ind w:left="460" w:hanging="332"/>
        <w:spacing w:after="0"/>
        <w:tabs>
          <w:tab w:leader="none" w:pos="4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Included as short-term marketable securities on the consolidated balance sheets.</w:t>
      </w:r>
    </w:p>
    <w:p>
      <w:pPr>
        <w:spacing w:after="0" w:line="1" w:lineRule="exact"/>
        <w:rPr>
          <w:rFonts w:ascii="Arial" w:cs="Arial" w:eastAsia="Arial" w:hAnsi="Arial"/>
          <w:sz w:val="14"/>
          <w:szCs w:val="14"/>
          <w:color w:val="auto"/>
        </w:rPr>
      </w:pPr>
    </w:p>
    <w:p>
      <w:pPr>
        <w:ind w:left="460" w:hanging="332"/>
        <w:spacing w:after="0"/>
        <w:tabs>
          <w:tab w:leader="none" w:pos="4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Included as long-term marketable securities on the consolidated balance sheets.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rPr>
              <w:t>Fair value measurements as of December 31, 2023 using</w:t>
            </w:r>
          </w:p>
        </w:tc>
      </w:tr>
      <w:tr>
        <w:trPr>
          <w:trHeight w:val="168"/>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top w:val="single" w:sz="8" w:color="auto"/>
            </w:tcBorders>
            <w:gridSpan w:val="2"/>
          </w:tcPr>
          <w:p>
            <w:pPr>
              <w:jc w:val="center"/>
              <w:spacing w:after="0" w:line="168" w:lineRule="exact"/>
              <w:rPr>
                <w:sz w:val="20"/>
                <w:szCs w:val="20"/>
                <w:color w:val="auto"/>
              </w:rPr>
            </w:pPr>
            <w:r>
              <w:rPr>
                <w:rFonts w:ascii="Arial" w:cs="Arial" w:eastAsia="Arial" w:hAnsi="Arial"/>
                <w:sz w:val="16"/>
                <w:szCs w:val="16"/>
                <w:b w:val="1"/>
                <w:bCs w:val="1"/>
                <w:color w:val="auto"/>
              </w:rPr>
              <w:t>Quoted prices in</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53"/>
              <w:spacing w:after="0" w:line="168" w:lineRule="exact"/>
              <w:rPr>
                <w:sz w:val="20"/>
                <w:szCs w:val="20"/>
                <w:color w:val="auto"/>
              </w:rPr>
            </w:pPr>
            <w:r>
              <w:rPr>
                <w:rFonts w:ascii="Arial" w:cs="Arial" w:eastAsia="Arial" w:hAnsi="Arial"/>
                <w:sz w:val="16"/>
                <w:szCs w:val="16"/>
                <w:b w:val="1"/>
                <w:bCs w:val="1"/>
                <w:color w:val="auto"/>
              </w:rPr>
              <w:t>Significant</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73"/>
              <w:spacing w:after="0" w:line="168" w:lineRule="exact"/>
              <w:rPr>
                <w:sz w:val="20"/>
                <w:szCs w:val="20"/>
                <w:color w:val="auto"/>
              </w:rPr>
            </w:pPr>
            <w:r>
              <w:rPr>
                <w:rFonts w:ascii="Arial" w:cs="Arial" w:eastAsia="Arial" w:hAnsi="Arial"/>
                <w:sz w:val="16"/>
                <w:szCs w:val="16"/>
                <w:b w:val="1"/>
                <w:bCs w:val="1"/>
                <w:color w:val="auto"/>
              </w:rPr>
              <w:t>Significant</w:t>
            </w:r>
          </w:p>
        </w:tc>
        <w:tc>
          <w:tcPr>
            <w:tcW w:w="100" w:type="dxa"/>
            <w:vAlign w:val="bottom"/>
          </w:tcPr>
          <w:p>
            <w:pPr>
              <w:spacing w:after="0"/>
              <w:rPr>
                <w:sz w:val="14"/>
                <w:szCs w:val="14"/>
                <w:color w:val="auto"/>
              </w:rPr>
            </w:pPr>
          </w:p>
        </w:tc>
      </w:tr>
      <w:tr>
        <w:trPr>
          <w:trHeight w:val="189"/>
        </w:trPr>
        <w:tc>
          <w:tcPr>
            <w:tcW w:w="4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3"/>
              <w:spacing w:after="0"/>
              <w:rPr>
                <w:sz w:val="20"/>
                <w:szCs w:val="20"/>
                <w:color w:val="auto"/>
              </w:rPr>
            </w:pPr>
            <w:r>
              <w:rPr>
                <w:rFonts w:ascii="Arial" w:cs="Arial" w:eastAsia="Arial" w:hAnsi="Arial"/>
                <w:sz w:val="16"/>
                <w:szCs w:val="16"/>
                <w:b w:val="1"/>
                <w:bCs w:val="1"/>
                <w:color w:val="auto"/>
              </w:rPr>
              <w:t>active markets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3"/>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unobservable</w:t>
            </w:r>
          </w:p>
        </w:tc>
      </w:tr>
      <w:tr>
        <w:trPr>
          <w:trHeight w:val="189"/>
        </w:trPr>
        <w:tc>
          <w:tcPr>
            <w:tcW w:w="4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40" w:type="dxa"/>
            <w:vAlign w:val="bottom"/>
          </w:tcPr>
          <w:p>
            <w:pPr>
              <w:jc w:val="center"/>
              <w:ind w:right="53"/>
              <w:spacing w:after="0"/>
              <w:rPr>
                <w:sz w:val="20"/>
                <w:szCs w:val="20"/>
                <w:color w:val="auto"/>
              </w:rPr>
            </w:pPr>
            <w:r>
              <w:rPr>
                <w:rFonts w:ascii="Arial" w:cs="Arial" w:eastAsia="Arial" w:hAnsi="Arial"/>
                <w:sz w:val="16"/>
                <w:szCs w:val="16"/>
                <w:b w:val="1"/>
                <w:bCs w:val="1"/>
                <w:color w:val="auto"/>
              </w:rPr>
              <w:t>for identical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3"/>
              <w:spacing w:after="0"/>
              <w:rPr>
                <w:sz w:val="20"/>
                <w:szCs w:val="20"/>
                <w:color w:val="auto"/>
              </w:rPr>
            </w:pPr>
            <w:r>
              <w:rPr>
                <w:rFonts w:ascii="Arial" w:cs="Arial" w:eastAsia="Arial" w:hAnsi="Arial"/>
                <w:sz w:val="16"/>
                <w:szCs w:val="16"/>
                <w:b w:val="1"/>
                <w:bCs w:val="1"/>
                <w:color w:val="auto"/>
              </w:rPr>
              <w:t>observable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inputs</w:t>
            </w:r>
          </w:p>
        </w:tc>
      </w:tr>
      <w:tr>
        <w:trPr>
          <w:trHeight w:val="203"/>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452"/>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3"/>
              <w:spacing w:after="0"/>
              <w:rPr>
                <w:sz w:val="20"/>
                <w:szCs w:val="20"/>
                <w:color w:val="auto"/>
              </w:rPr>
            </w:pPr>
            <w:r>
              <w:rPr>
                <w:rFonts w:ascii="Arial" w:cs="Arial" w:eastAsia="Arial" w:hAnsi="Arial"/>
                <w:sz w:val="16"/>
                <w:szCs w:val="16"/>
                <w:b w:val="1"/>
                <w:bCs w:val="1"/>
                <w:color w:val="auto"/>
              </w:rPr>
              <w:t>assets (level 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3"/>
              <w:spacing w:after="0"/>
              <w:rPr>
                <w:sz w:val="20"/>
                <w:szCs w:val="20"/>
                <w:color w:val="auto"/>
              </w:rPr>
            </w:pPr>
            <w:r>
              <w:rPr>
                <w:rFonts w:ascii="Arial" w:cs="Arial" w:eastAsia="Arial" w:hAnsi="Arial"/>
                <w:sz w:val="16"/>
                <w:szCs w:val="16"/>
                <w:b w:val="1"/>
                <w:bCs w:val="1"/>
                <w:color w:val="auto"/>
              </w:rPr>
              <w:t>inputs (level 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(level 3)</w:t>
            </w:r>
          </w:p>
        </w:tc>
      </w:tr>
      <w:tr>
        <w:trPr>
          <w:trHeight w:val="196"/>
        </w:trPr>
        <w:tc>
          <w:tcPr>
            <w:tcW w:w="4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600" w:type="dxa"/>
            <w:vAlign w:val="bottom"/>
          </w:tcPr>
          <w:p>
            <w:pPr>
              <w:ind w:left="280"/>
              <w:spacing w:after="0" w:line="202" w:lineRule="exact"/>
              <w:rPr>
                <w:sz w:val="20"/>
                <w:szCs w:val="20"/>
                <w:color w:val="auto"/>
              </w:rPr>
            </w:pPr>
            <w:r>
              <w:rPr>
                <w:rFonts w:ascii="Arial" w:cs="Arial" w:eastAsia="Arial" w:hAnsi="Arial"/>
                <w:sz w:val="17"/>
                <w:szCs w:val="17"/>
                <w:color w:val="auto"/>
              </w:rPr>
              <w:t>Money market funds</w:t>
            </w:r>
            <w:r>
              <w:rPr>
                <w:rFonts w:ascii="Arial" w:cs="Arial" w:eastAsia="Arial" w:hAnsi="Arial"/>
                <w:sz w:val="23"/>
                <w:szCs w:val="23"/>
                <w:color w:val="auto"/>
                <w:vertAlign w:val="superscript"/>
              </w:rPr>
              <w:t>(1)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83,101</w:t>
            </w:r>
          </w:p>
        </w:tc>
        <w:tc>
          <w:tcPr>
            <w:tcW w:w="2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83,101</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600" w:type="dxa"/>
            <w:vAlign w:val="bottom"/>
            <w:shd w:val="clear" w:color="auto" w:fill="CFF0FC"/>
          </w:tcPr>
          <w:p>
            <w:pPr>
              <w:ind w:left="28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(2)</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93,303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93,303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ind w:left="1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600" w:type="dxa"/>
            <w:vAlign w:val="bottom"/>
          </w:tcPr>
          <w:p>
            <w:pPr>
              <w:ind w:left="280"/>
              <w:spacing w:after="0" w:line="202" w:lineRule="exact"/>
              <w:rPr>
                <w:sz w:val="20"/>
                <w:szCs w:val="20"/>
                <w:color w:val="auto"/>
              </w:rPr>
            </w:pPr>
            <w:r>
              <w:rPr>
                <w:rFonts w:ascii="Arial" w:cs="Arial" w:eastAsia="Arial" w:hAnsi="Arial"/>
                <w:sz w:val="17"/>
                <w:szCs w:val="17"/>
                <w:color w:val="auto"/>
              </w:rPr>
              <w:t>US government agency securities</w:t>
            </w:r>
            <w:r>
              <w:rPr>
                <w:rFonts w:ascii="Arial" w:cs="Arial" w:eastAsia="Arial" w:hAnsi="Arial"/>
                <w:sz w:val="23"/>
                <w:szCs w:val="23"/>
                <w:color w:val="auto"/>
                <w:vertAlign w:val="superscript"/>
              </w:rPr>
              <w:t>(2)</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26,824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26,824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600" w:type="dxa"/>
            <w:vAlign w:val="bottom"/>
            <w:shd w:val="clear" w:color="auto" w:fill="CFF0FC"/>
          </w:tcPr>
          <w:p>
            <w:pPr>
              <w:ind w:left="280"/>
              <w:spacing w:after="0" w:line="202" w:lineRule="exact"/>
              <w:rPr>
                <w:sz w:val="20"/>
                <w:szCs w:val="20"/>
                <w:color w:val="auto"/>
              </w:rPr>
            </w:pPr>
            <w:r>
              <w:rPr>
                <w:rFonts w:ascii="Arial" w:cs="Arial" w:eastAsia="Arial" w:hAnsi="Arial"/>
                <w:sz w:val="17"/>
                <w:szCs w:val="17"/>
                <w:color w:val="auto"/>
              </w:rPr>
              <w:t>Corporate debt securities</w:t>
            </w:r>
            <w:r>
              <w:rPr>
                <w:rFonts w:ascii="Arial" w:cs="Arial" w:eastAsia="Arial" w:hAnsi="Arial"/>
                <w:sz w:val="23"/>
                <w:szCs w:val="23"/>
                <w:color w:val="auto"/>
                <w:vertAlign w:val="superscript"/>
              </w:rPr>
              <w:t>(2)</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10,734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10,734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ind w:left="1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600" w:type="dxa"/>
            <w:vAlign w:val="bottom"/>
          </w:tcPr>
          <w:p>
            <w:pPr>
              <w:ind w:left="280"/>
              <w:spacing w:after="0" w:line="202" w:lineRule="exact"/>
              <w:rPr>
                <w:sz w:val="20"/>
                <w:szCs w:val="20"/>
                <w:color w:val="auto"/>
              </w:rPr>
            </w:pPr>
            <w:r>
              <w:rPr>
                <w:rFonts w:ascii="Arial" w:cs="Arial" w:eastAsia="Arial" w:hAnsi="Arial"/>
                <w:sz w:val="17"/>
                <w:szCs w:val="17"/>
                <w:color w:val="auto"/>
              </w:rPr>
              <w:t>Commercial paper</w:t>
            </w:r>
            <w:r>
              <w:rPr>
                <w:rFonts w:ascii="Arial" w:cs="Arial" w:eastAsia="Arial" w:hAnsi="Arial"/>
                <w:sz w:val="23"/>
                <w:szCs w:val="23"/>
                <w:color w:val="auto"/>
                <w:vertAlign w:val="superscript"/>
              </w:rPr>
              <w:t>(2)</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88,414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88,414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6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(3)</w:t>
            </w:r>
          </w:p>
        </w:tc>
        <w:tc>
          <w:tcPr>
            <w:tcW w:w="1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9,642</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9,642</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ind w:left="11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600" w:type="dxa"/>
            <w:vAlign w:val="bottom"/>
          </w:tcPr>
          <w:p>
            <w:pPr>
              <w:ind w:left="20"/>
              <w:spacing w:after="0" w:line="196" w:lineRule="exact"/>
              <w:rPr>
                <w:sz w:val="20"/>
                <w:szCs w:val="20"/>
                <w:color w:val="auto"/>
              </w:rPr>
            </w:pPr>
            <w:r>
              <w:rPr>
                <w:rFonts w:ascii="Arial" w:cs="Arial" w:eastAsia="Arial" w:hAnsi="Arial"/>
                <w:sz w:val="18"/>
                <w:szCs w:val="18"/>
                <w:color w:val="auto"/>
              </w:rPr>
              <w:t>Total fair value of assets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312,018</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186,046</w:t>
            </w: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125,972</w:t>
            </w:r>
          </w:p>
        </w:tc>
        <w:tc>
          <w:tcPr>
            <w:tcW w:w="3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tcPr>
          <w:p>
            <w:pPr>
              <w:ind w:left="1120"/>
              <w:spacing w:after="0" w:line="196" w:lineRule="exact"/>
              <w:rPr>
                <w:sz w:val="20"/>
                <w:szCs w:val="20"/>
                <w:color w:val="auto"/>
              </w:rPr>
            </w:pPr>
            <w:r>
              <w:rPr>
                <w:rFonts w:ascii="Arial" w:cs="Arial" w:eastAsia="Arial" w:hAnsi="Arial"/>
                <w:sz w:val="18"/>
                <w:szCs w:val="18"/>
                <w:color w:val="auto"/>
              </w:rPr>
              <w:t>—</w:t>
            </w:r>
          </w:p>
        </w:tc>
      </w:tr>
      <w:tr>
        <w:trPr>
          <w:trHeight w:val="20"/>
        </w:trPr>
        <w:tc>
          <w:tcPr>
            <w:tcW w:w="4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-161925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-161925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-161925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460" w:hanging="332"/>
        <w:spacing w:after="0"/>
        <w:tabs>
          <w:tab w:leader="none" w:pos="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Included as cash and cash equivalents on the consolidated balance sheets.</w:t>
      </w:r>
    </w:p>
    <w:p>
      <w:pPr>
        <w:spacing w:after="0" w:line="15" w:lineRule="exact"/>
        <w:rPr>
          <w:rFonts w:ascii="Arial" w:cs="Arial" w:eastAsia="Arial" w:hAnsi="Arial"/>
          <w:sz w:val="14"/>
          <w:szCs w:val="14"/>
          <w:color w:val="auto"/>
        </w:rPr>
      </w:pPr>
    </w:p>
    <w:p>
      <w:pPr>
        <w:ind w:left="460" w:hanging="332"/>
        <w:spacing w:after="0"/>
        <w:tabs>
          <w:tab w:leader="none" w:pos="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Included as short-term marketable securities on the consolidated balance sheets.</w:t>
      </w:r>
    </w:p>
    <w:p>
      <w:pPr>
        <w:spacing w:after="0" w:line="1" w:lineRule="exact"/>
        <w:rPr>
          <w:rFonts w:ascii="Arial" w:cs="Arial" w:eastAsia="Arial" w:hAnsi="Arial"/>
          <w:sz w:val="14"/>
          <w:szCs w:val="14"/>
          <w:color w:val="auto"/>
        </w:rPr>
      </w:pPr>
    </w:p>
    <w:p>
      <w:pPr>
        <w:ind w:left="460" w:hanging="332"/>
        <w:spacing w:after="0"/>
        <w:tabs>
          <w:tab w:leader="none" w:pos="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Included as long-term marketable securities on the consolidated balance sheets.</w:t>
      </w:r>
    </w:p>
    <w:p>
      <w:pPr>
        <w:spacing w:after="0" w:line="18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carrying amounts of the Company’s financial instruments, including cash, prepaid expenses and other current assets, accounts payable, and accrued expenses and other current liabilities, approximate fair value due to their short maturities. As of December 31, 2024 and 2023, the Company held $0 and $2.0 million in equity investments in Affini-T Therapeutics, Inc. (Affini-T) at cost, less impairment, respectively. Two impairment adjustments totaling $2.2 million were made to the value of the Company’s equity investment in Affini-T during the year ended December 31, 2024. The Company was notified by Affini-T of an extension financing in June 2024 and the terms of such financing. Accordingly, the Company reassessed the value of its equity investment in Affini-T using a market approach as of June 30, 2024 and recorded an impairment adjustment of $402,000 to other expense, net in the consolidated statements of operations and comprehensive loss. The impairment was offset by a new investment obligation of approximately $235,000 recorded as of June 30, 2024. In July 2024, the Company paid approximately $157,000 of the new investment obligation related to the extension financing. Subsequently, the Company decided to opt out of paying the remaining $78,000 of the new investment obligation. Accordingly, the Company reassessed the value of its equity investment in Affini-T using a market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43" w:name="page144"/>
    <w:bookmarkEnd w:id="143"/>
    <w:p>
      <w:pPr>
        <w:ind w:right="60"/>
        <w:spacing w:after="0"/>
        <w:rPr>
          <w:sz w:val="20"/>
          <w:szCs w:val="20"/>
          <w:color w:val="auto"/>
        </w:rPr>
      </w:pPr>
      <w:r>
        <w:rPr>
          <w:rFonts w:ascii="Arial" w:cs="Arial" w:eastAsia="Arial" w:hAnsi="Arial"/>
          <w:sz w:val="18"/>
          <w:szCs w:val="18"/>
          <w:color w:val="auto"/>
        </w:rPr>
        <w:t>approach as of December 31, 2024 and recorded an impairment adjustment of $1.8 million to other expense, net in the consolidated statements of operations and comprehensive loss. These impairment adjustments were determined based on fair value which represented Level 3 nonrecurring fair value measurements. Calculating the fair value of the equity investment involved unobservable inputs, including the terms and preferences of Affini-T's financings, cash flow projections and significant estimates and assumptions. Changes in the estimates and assumptions used could materially affect the amount of impairment losses recognized in the periods the equity investment is considered impaired. No adjustment was made to the value of the Company’s equity investment in Affini-T during the year ended December 31, 2023. No transfers between levels have occurred during the periods presented.</w:t>
      </w:r>
    </w:p>
    <w:p>
      <w:pPr>
        <w:spacing w:after="0" w:line="17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Cash equivalents consist of money market funds, short-term marketable securities consist of US treasury securities, US government agency securities, corporate debt securities, commercial paper, and Yankee debt securities, and long-term marketable securities consist of US treasury securities and US government agency securities. The Company obtains pricing information from its investment manager and generally determines the fair value of marketable securities using standard observable inputs, including benchmark yields, reported trades, broker/dealer quotes, issuer spreads, two-sided markets, and bid and/or offers.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198" w:lineRule="exact"/>
        <w:rPr>
          <w:sz w:val="20"/>
          <w:szCs w:val="20"/>
          <w:color w:val="auto"/>
        </w:rPr>
      </w:pPr>
    </w:p>
    <w:p>
      <w:pPr>
        <w:jc w:val="both"/>
        <w:ind w:right="340"/>
        <w:spacing w:after="0" w:line="271" w:lineRule="auto"/>
        <w:rPr>
          <w:sz w:val="20"/>
          <w:szCs w:val="20"/>
          <w:color w:val="auto"/>
        </w:rPr>
      </w:pPr>
      <w:r>
        <w:rPr>
          <w:rFonts w:ascii="Arial" w:cs="Arial" w:eastAsia="Arial" w:hAnsi="Arial"/>
          <w:sz w:val="18"/>
          <w:szCs w:val="18"/>
          <w:color w:val="auto"/>
        </w:rPr>
        <w:t>The following tables summarize the Company’s marketable securities accounted for as available-for-sale securities (in thousands, except years):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December 31, 2024</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2"/>
        </w:trPr>
        <w:tc>
          <w:tcPr>
            <w:tcW w:w="5160" w:type="dxa"/>
            <w:vAlign w:val="bottom"/>
          </w:tcPr>
          <w:p>
            <w:pPr>
              <w:spacing w:after="0"/>
              <w:rPr>
                <w:sz w:val="15"/>
                <w:szCs w:val="15"/>
                <w:color w:val="auto"/>
              </w:rPr>
            </w:pPr>
          </w:p>
        </w:tc>
        <w:tc>
          <w:tcPr>
            <w:tcW w:w="1220" w:type="dxa"/>
            <w:vAlign w:val="bottom"/>
          </w:tcPr>
          <w:p>
            <w:pPr>
              <w:jc w:val="center"/>
              <w:ind w:right="12"/>
              <w:spacing w:after="0" w:line="182" w:lineRule="exact"/>
              <w:rPr>
                <w:sz w:val="20"/>
                <w:szCs w:val="20"/>
                <w:color w:val="auto"/>
              </w:rPr>
            </w:pPr>
            <w:r>
              <w:rPr>
                <w:rFonts w:ascii="Arial" w:cs="Arial" w:eastAsia="Arial" w:hAnsi="Arial"/>
                <w:sz w:val="16"/>
                <w:szCs w:val="16"/>
                <w:b w:val="1"/>
                <w:bCs w:val="1"/>
                <w:color w:val="auto"/>
              </w:rPr>
              <w:t>Maturity</w:t>
            </w:r>
          </w:p>
        </w:tc>
        <w:tc>
          <w:tcPr>
            <w:tcW w:w="120" w:type="dxa"/>
            <w:vAlign w:val="bottom"/>
          </w:tcPr>
          <w:p>
            <w:pPr>
              <w:spacing w:after="0"/>
              <w:rPr>
                <w:sz w:val="15"/>
                <w:szCs w:val="15"/>
                <w:color w:val="auto"/>
              </w:rPr>
            </w:pPr>
          </w:p>
        </w:tc>
        <w:tc>
          <w:tcPr>
            <w:tcW w:w="900" w:type="dxa"/>
            <w:vAlign w:val="bottom"/>
          </w:tcPr>
          <w:p>
            <w:pPr>
              <w:jc w:val="center"/>
              <w:ind w:right="32"/>
              <w:spacing w:after="0" w:line="182" w:lineRule="exact"/>
              <w:rPr>
                <w:sz w:val="20"/>
                <w:szCs w:val="20"/>
                <w:color w:val="auto"/>
              </w:rPr>
            </w:pPr>
            <w:r>
              <w:rPr>
                <w:rFonts w:ascii="Arial" w:cs="Arial" w:eastAsia="Arial" w:hAnsi="Arial"/>
                <w:sz w:val="16"/>
                <w:szCs w:val="16"/>
                <w:b w:val="1"/>
                <w:bCs w:val="1"/>
                <w:color w:val="auto"/>
                <w:w w:val="99"/>
              </w:rPr>
              <w:t>Amortized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4"/>
          </w:tcPr>
          <w:p>
            <w:pPr>
              <w:jc w:val="center"/>
              <w:ind w:right="240"/>
              <w:spacing w:after="0" w:line="182" w:lineRule="exact"/>
              <w:rPr>
                <w:sz w:val="20"/>
                <w:szCs w:val="20"/>
                <w:color w:val="auto"/>
              </w:rPr>
            </w:pPr>
            <w:r>
              <w:rPr>
                <w:rFonts w:ascii="Arial" w:cs="Arial" w:eastAsia="Arial" w:hAnsi="Arial"/>
                <w:sz w:val="16"/>
                <w:szCs w:val="16"/>
                <w:b w:val="1"/>
                <w:bCs w:val="1"/>
                <w:color w:val="auto"/>
              </w:rPr>
              <w:t>Unrealized</w:t>
            </w:r>
          </w:p>
        </w:tc>
        <w:tc>
          <w:tcPr>
            <w:tcW w:w="1120" w:type="dxa"/>
            <w:vAlign w:val="bottom"/>
            <w:gridSpan w:val="3"/>
          </w:tcPr>
          <w:p>
            <w:pPr>
              <w:jc w:val="center"/>
              <w:ind w:right="140"/>
              <w:spacing w:after="0" w:line="182"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32"/>
              <w:spacing w:after="0" w:line="182" w:lineRule="exact"/>
              <w:rPr>
                <w:sz w:val="20"/>
                <w:szCs w:val="20"/>
                <w:color w:val="auto"/>
              </w:rPr>
            </w:pPr>
            <w:r>
              <w:rPr>
                <w:rFonts w:ascii="Arial" w:cs="Arial" w:eastAsia="Arial" w:hAnsi="Arial"/>
                <w:sz w:val="16"/>
                <w:szCs w:val="16"/>
                <w:b w:val="1"/>
                <w:bCs w:val="1"/>
                <w:color w:val="auto"/>
                <w:w w:val="99"/>
              </w:rPr>
              <w:t>Estimated</w:t>
            </w:r>
          </w:p>
        </w:tc>
        <w:tc>
          <w:tcPr>
            <w:tcW w:w="100" w:type="dxa"/>
            <w:vAlign w:val="bottom"/>
          </w:tcPr>
          <w:p>
            <w:pPr>
              <w:spacing w:after="0"/>
              <w:rPr>
                <w:sz w:val="15"/>
                <w:szCs w:val="15"/>
                <w:color w:val="auto"/>
              </w:rPr>
            </w:pPr>
          </w:p>
        </w:tc>
      </w:tr>
      <w:tr>
        <w:trPr>
          <w:trHeight w:val="203"/>
        </w:trPr>
        <w:tc>
          <w:tcPr>
            <w:tcW w:w="5160" w:type="dxa"/>
            <w:vAlign w:val="bottom"/>
          </w:tcPr>
          <w:p>
            <w:pPr>
              <w:spacing w:after="0"/>
              <w:rPr>
                <w:sz w:val="17"/>
                <w:szCs w:val="17"/>
                <w:color w:val="auto"/>
              </w:rPr>
            </w:pPr>
          </w:p>
        </w:tc>
        <w:tc>
          <w:tcPr>
            <w:tcW w:w="122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rPr>
              <w:t>(in years)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7"/>
                <w:szCs w:val="17"/>
                <w:color w:val="auto"/>
              </w:rPr>
            </w:pPr>
          </w:p>
        </w:tc>
      </w:tr>
      <w:tr>
        <w:trPr>
          <w:trHeight w:val="196"/>
        </w:trPr>
        <w:tc>
          <w:tcPr>
            <w:tcW w:w="5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treasury securities</w:t>
            </w:r>
          </w:p>
        </w:tc>
        <w:tc>
          <w:tcPr>
            <w:tcW w:w="1220" w:type="dxa"/>
            <w:vAlign w:val="bottom"/>
            <w:shd w:val="clear" w:color="auto" w:fill="CFF0FC"/>
          </w:tcPr>
          <w:p>
            <w:pPr>
              <w:jc w:val="center"/>
              <w:ind w:right="12"/>
              <w:spacing w:after="0" w:line="196"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42,694</w:t>
            </w:r>
          </w:p>
        </w:tc>
        <w:tc>
          <w:tcPr>
            <w:tcW w:w="4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42,849</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US government agency securities</w:t>
            </w:r>
          </w:p>
        </w:tc>
        <w:tc>
          <w:tcPr>
            <w:tcW w:w="122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22,350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22,420</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 debt securities</w:t>
            </w:r>
          </w:p>
        </w:tc>
        <w:tc>
          <w:tcPr>
            <w:tcW w:w="122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30,641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30,701</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122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129,500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129,561</w:t>
            </w:r>
          </w:p>
        </w:tc>
        <w:tc>
          <w:tcPr>
            <w:tcW w:w="100" w:type="dxa"/>
            <w:vAlign w:val="bottom"/>
          </w:tcPr>
          <w:p>
            <w:pPr>
              <w:spacing w:after="0"/>
              <w:rPr>
                <w:sz w:val="17"/>
                <w:szCs w:val="17"/>
                <w:color w:val="auto"/>
              </w:rPr>
            </w:pPr>
          </w:p>
        </w:tc>
      </w:tr>
      <w:tr>
        <w:trPr>
          <w:trHeight w:val="202"/>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Yankee debt securities</w:t>
            </w:r>
          </w:p>
        </w:tc>
        <w:tc>
          <w:tcPr>
            <w:tcW w:w="122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tcBorders>
              <w:right w:val="single" w:sz="8" w:color="CFF0FC"/>
            </w:tcBorders>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5,039</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US treasury securities</w:t>
            </w:r>
          </w:p>
        </w:tc>
        <w:tc>
          <w:tcPr>
            <w:tcW w:w="122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71,778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71,784</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government agency securities</w:t>
            </w:r>
          </w:p>
        </w:tc>
        <w:tc>
          <w:tcPr>
            <w:tcW w:w="122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1-2</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70,321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(129 )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70,380</w:t>
            </w:r>
          </w:p>
        </w:tc>
        <w:tc>
          <w:tcPr>
            <w:tcW w:w="100" w:type="dxa"/>
            <w:vAlign w:val="bottom"/>
            <w:shd w:val="clear" w:color="auto" w:fill="CFF0FC"/>
          </w:tcPr>
          <w:p>
            <w:pPr>
              <w:spacing w:after="0"/>
              <w:rPr>
                <w:sz w:val="17"/>
                <w:szCs w:val="17"/>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1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372,329</w:t>
            </w:r>
          </w:p>
        </w:tc>
        <w:tc>
          <w:tcPr>
            <w:tcW w:w="220" w:type="dxa"/>
            <w:vAlign w:val="bottom"/>
            <w:gridSpan w:val="2"/>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(271 )</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372,734</w:t>
            </w:r>
          </w:p>
        </w:tc>
        <w:tc>
          <w:tcPr>
            <w:tcW w:w="10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51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8"/>
        </w:trPr>
        <w:tc>
          <w:tcPr>
            <w:tcW w:w="5160" w:type="dxa"/>
            <w:vAlign w:val="bottom"/>
          </w:tcPr>
          <w:p>
            <w:pPr>
              <w:spacing w:after="0"/>
              <w:rPr>
                <w:sz w:val="14"/>
                <w:szCs w:val="14"/>
                <w:color w:val="auto"/>
              </w:rPr>
            </w:pPr>
          </w:p>
        </w:tc>
        <w:tc>
          <w:tcPr>
            <w:tcW w:w="1220" w:type="dxa"/>
            <w:vAlign w:val="bottom"/>
          </w:tcPr>
          <w:p>
            <w:pPr>
              <w:jc w:val="center"/>
              <w:ind w:right="12"/>
              <w:spacing w:after="0" w:line="168" w:lineRule="exact"/>
              <w:rPr>
                <w:sz w:val="20"/>
                <w:szCs w:val="20"/>
                <w:color w:val="auto"/>
              </w:rPr>
            </w:pPr>
            <w:r>
              <w:rPr>
                <w:rFonts w:ascii="Arial" w:cs="Arial" w:eastAsia="Arial" w:hAnsi="Arial"/>
                <w:sz w:val="16"/>
                <w:szCs w:val="16"/>
                <w:b w:val="1"/>
                <w:bCs w:val="1"/>
                <w:color w:val="auto"/>
              </w:rPr>
              <w:t>Maturity</w:t>
            </w:r>
          </w:p>
        </w:tc>
        <w:tc>
          <w:tcPr>
            <w:tcW w:w="120" w:type="dxa"/>
            <w:vAlign w:val="bottom"/>
          </w:tcPr>
          <w:p>
            <w:pPr>
              <w:spacing w:after="0"/>
              <w:rPr>
                <w:sz w:val="14"/>
                <w:szCs w:val="14"/>
                <w:color w:val="auto"/>
              </w:rPr>
            </w:pPr>
          </w:p>
        </w:tc>
        <w:tc>
          <w:tcPr>
            <w:tcW w:w="900" w:type="dxa"/>
            <w:vAlign w:val="bottom"/>
          </w:tcPr>
          <w:p>
            <w:pPr>
              <w:jc w:val="center"/>
              <w:ind w:right="32"/>
              <w:spacing w:after="0" w:line="168" w:lineRule="exact"/>
              <w:rPr>
                <w:sz w:val="20"/>
                <w:szCs w:val="20"/>
                <w:color w:val="auto"/>
              </w:rPr>
            </w:pPr>
            <w:r>
              <w:rPr>
                <w:rFonts w:ascii="Arial" w:cs="Arial" w:eastAsia="Arial" w:hAnsi="Arial"/>
                <w:sz w:val="16"/>
                <w:szCs w:val="16"/>
                <w:b w:val="1"/>
                <w:bCs w:val="1"/>
                <w:color w:val="auto"/>
                <w:w w:val="99"/>
              </w:rPr>
              <w:t>Amortized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center"/>
              <w:ind w:right="240"/>
              <w:spacing w:after="0" w:line="168" w:lineRule="exact"/>
              <w:rPr>
                <w:sz w:val="20"/>
                <w:szCs w:val="20"/>
                <w:color w:val="auto"/>
              </w:rPr>
            </w:pPr>
            <w:r>
              <w:rPr>
                <w:rFonts w:ascii="Arial" w:cs="Arial" w:eastAsia="Arial" w:hAnsi="Arial"/>
                <w:sz w:val="16"/>
                <w:szCs w:val="16"/>
                <w:b w:val="1"/>
                <w:bCs w:val="1"/>
                <w:color w:val="auto"/>
              </w:rPr>
              <w:t>Unrealized</w:t>
            </w:r>
          </w:p>
        </w:tc>
        <w:tc>
          <w:tcPr>
            <w:tcW w:w="1120" w:type="dxa"/>
            <w:vAlign w:val="bottom"/>
            <w:gridSpan w:val="3"/>
          </w:tcPr>
          <w:p>
            <w:pPr>
              <w:jc w:val="center"/>
              <w:ind w:right="14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8" w:lineRule="exact"/>
              <w:rPr>
                <w:sz w:val="20"/>
                <w:szCs w:val="20"/>
                <w:color w:val="auto"/>
              </w:rPr>
            </w:pPr>
            <w:r>
              <w:rPr>
                <w:rFonts w:ascii="Arial" w:cs="Arial" w:eastAsia="Arial" w:hAnsi="Arial"/>
                <w:sz w:val="16"/>
                <w:szCs w:val="16"/>
                <w:b w:val="1"/>
                <w:bCs w:val="1"/>
                <w:color w:val="auto"/>
                <w:w w:val="99"/>
              </w:rPr>
              <w:t>Estimated</w:t>
            </w:r>
          </w:p>
        </w:tc>
      </w:tr>
      <w:tr>
        <w:trPr>
          <w:trHeight w:val="203"/>
        </w:trPr>
        <w:tc>
          <w:tcPr>
            <w:tcW w:w="5160" w:type="dxa"/>
            <w:vAlign w:val="bottom"/>
          </w:tcPr>
          <w:p>
            <w:pPr>
              <w:spacing w:after="0"/>
              <w:rPr>
                <w:sz w:val="17"/>
                <w:szCs w:val="17"/>
                <w:color w:val="auto"/>
              </w:rPr>
            </w:pPr>
          </w:p>
        </w:tc>
        <w:tc>
          <w:tcPr>
            <w:tcW w:w="122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rPr>
              <w:t>(in years)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cost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6"/>
                <w:szCs w:val="16"/>
                <w:b w:val="1"/>
                <w:bCs w:val="1"/>
                <w:color w:val="auto"/>
              </w:rPr>
              <w:t>gains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5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treasury securities</w:t>
            </w:r>
          </w:p>
        </w:tc>
        <w:tc>
          <w:tcPr>
            <w:tcW w:w="1220" w:type="dxa"/>
            <w:vAlign w:val="bottom"/>
            <w:shd w:val="clear" w:color="auto" w:fill="CFF0FC"/>
          </w:tcPr>
          <w:p>
            <w:pPr>
              <w:jc w:val="center"/>
              <w:ind w:right="12"/>
              <w:spacing w:after="0" w:line="196"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93,377</w:t>
            </w:r>
          </w:p>
        </w:tc>
        <w:tc>
          <w:tcPr>
            <w:tcW w:w="4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(148 )</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93,303</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US government agency securities</w:t>
            </w:r>
          </w:p>
        </w:tc>
        <w:tc>
          <w:tcPr>
            <w:tcW w:w="122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26,783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26,824</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 debt securities</w:t>
            </w:r>
          </w:p>
        </w:tc>
        <w:tc>
          <w:tcPr>
            <w:tcW w:w="1220" w:type="dxa"/>
            <w:vAlign w:val="bottom"/>
            <w:shd w:val="clear" w:color="auto" w:fill="CFF0FC"/>
          </w:tcPr>
          <w:p>
            <w:pPr>
              <w:jc w:val="center"/>
              <w:ind w:right="1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10,719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10,734</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122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88,356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88,414</w:t>
            </w:r>
          </w:p>
        </w:tc>
        <w:tc>
          <w:tcPr>
            <w:tcW w:w="100" w:type="dxa"/>
            <w:vAlign w:val="bottom"/>
          </w:tcPr>
          <w:p>
            <w:pPr>
              <w:spacing w:after="0"/>
              <w:rPr>
                <w:sz w:val="17"/>
                <w:szCs w:val="17"/>
                <w:color w:val="auto"/>
              </w:rPr>
            </w:pPr>
          </w:p>
        </w:tc>
      </w:tr>
      <w:tr>
        <w:trPr>
          <w:trHeight w:val="203"/>
        </w:trPr>
        <w:tc>
          <w:tcPr>
            <w:tcW w:w="51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securities</w:t>
            </w:r>
          </w:p>
        </w:tc>
        <w:tc>
          <w:tcPr>
            <w:tcW w:w="1220" w:type="dxa"/>
            <w:vAlign w:val="bottom"/>
            <w:tcBorders>
              <w:bottom w:val="single" w:sz="8" w:color="CFF0FC"/>
            </w:tcBorders>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1-2</w:t>
            </w: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9,605</w:t>
            </w: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9,642</w:t>
            </w:r>
          </w:p>
        </w:tc>
        <w:tc>
          <w:tcPr>
            <w:tcW w:w="100" w:type="dxa"/>
            <w:vAlign w:val="bottom"/>
            <w:tcBorders>
              <w:bottom w:val="single" w:sz="8" w:color="auto"/>
            </w:tcBorders>
            <w:shd w:val="clear" w:color="auto" w:fill="CFF0FC"/>
          </w:tcPr>
          <w:p>
            <w:pPr>
              <w:spacing w:after="0"/>
              <w:rPr>
                <w:sz w:val="17"/>
                <w:szCs w:val="17"/>
                <w:color w:val="auto"/>
              </w:rPr>
            </w:pPr>
          </w:p>
        </w:tc>
      </w:tr>
      <w:tr>
        <w:trPr>
          <w:trHeight w:val="196"/>
        </w:trPr>
        <w:tc>
          <w:tcPr>
            <w:tcW w:w="51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228,840</w:t>
            </w:r>
          </w:p>
        </w:tc>
        <w:tc>
          <w:tcPr>
            <w:tcW w:w="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(162 )</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228,917</w:t>
            </w:r>
          </w:p>
        </w:tc>
        <w:tc>
          <w:tcPr>
            <w:tcW w:w="10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-1473835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-1473835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-1473835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-161925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-161925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-161925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color w:val="auto"/>
        </w:rPr>
        <w:t>The following tables present fair values and gross unrealized losses for those available-for-sale securities that were in an unrealized loss position as of December 31, 2024 and 2023, aggregated by category and the length of time that the securities have been in a continuous loss position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2024</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7"/>
          </w:tcPr>
          <w:p>
            <w:pPr>
              <w:jc w:val="center"/>
              <w:ind w:right="360"/>
              <w:spacing w:after="0" w:line="168" w:lineRule="exact"/>
              <w:rPr>
                <w:sz w:val="20"/>
                <w:szCs w:val="20"/>
                <w:color w:val="auto"/>
              </w:rPr>
            </w:pPr>
            <w:r>
              <w:rPr>
                <w:rFonts w:ascii="Arial" w:cs="Arial" w:eastAsia="Arial" w:hAnsi="Arial"/>
                <w:sz w:val="16"/>
                <w:szCs w:val="16"/>
                <w:b w:val="1"/>
                <w:bCs w:val="1"/>
                <w:color w:val="auto"/>
              </w:rPr>
              <w:t>Unrealized losses less</w:t>
            </w:r>
          </w:p>
        </w:tc>
        <w:tc>
          <w:tcPr>
            <w:tcW w:w="160" w:type="dxa"/>
            <w:vAlign w:val="bottom"/>
          </w:tcPr>
          <w:p>
            <w:pPr>
              <w:spacing w:after="0"/>
              <w:rPr>
                <w:sz w:val="14"/>
                <w:szCs w:val="14"/>
                <w:color w:val="auto"/>
              </w:rPr>
            </w:pPr>
          </w:p>
        </w:tc>
        <w:tc>
          <w:tcPr>
            <w:tcW w:w="1680" w:type="dxa"/>
            <w:vAlign w:val="bottom"/>
            <w:gridSpan w:val="4"/>
          </w:tcPr>
          <w:p>
            <w:pPr>
              <w:jc w:val="center"/>
              <w:spacing w:after="0" w:line="168" w:lineRule="exact"/>
              <w:rPr>
                <w:sz w:val="20"/>
                <w:szCs w:val="20"/>
                <w:color w:val="auto"/>
              </w:rPr>
            </w:pPr>
            <w:r>
              <w:rPr>
                <w:rFonts w:ascii="Arial" w:cs="Arial" w:eastAsia="Arial" w:hAnsi="Arial"/>
                <w:sz w:val="16"/>
                <w:szCs w:val="16"/>
                <w:b w:val="1"/>
                <w:bCs w:val="1"/>
                <w:color w:val="auto"/>
              </w:rPr>
              <w:t>Unrealized losses 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rPr>
              <w:t>than 12 months</w:t>
            </w:r>
          </w:p>
        </w:tc>
        <w:tc>
          <w:tcPr>
            <w:tcW w:w="160" w:type="dxa"/>
            <w:vAlign w:val="bottom"/>
          </w:tcPr>
          <w:p>
            <w:pPr>
              <w:spacing w:after="0"/>
              <w:rPr>
                <w:sz w:val="17"/>
                <w:szCs w:val="17"/>
                <w:color w:val="auto"/>
              </w:rPr>
            </w:pPr>
          </w:p>
        </w:tc>
        <w:tc>
          <w:tcPr>
            <w:tcW w:w="1680" w:type="dxa"/>
            <w:vAlign w:val="bottom"/>
            <w:gridSpan w:val="4"/>
          </w:tcPr>
          <w:p>
            <w:pPr>
              <w:jc w:val="center"/>
              <w:spacing w:after="0"/>
              <w:rPr>
                <w:sz w:val="20"/>
                <w:szCs w:val="20"/>
                <w:color w:val="auto"/>
              </w:rPr>
            </w:pPr>
            <w:r>
              <w:rPr>
                <w:rFonts w:ascii="Arial" w:cs="Arial" w:eastAsia="Arial" w:hAnsi="Arial"/>
                <w:sz w:val="16"/>
                <w:szCs w:val="16"/>
                <w:b w:val="1"/>
                <w:bCs w:val="1"/>
                <w:color w:val="auto"/>
              </w:rPr>
              <w:t>months or greater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4"/>
          </w:tcPr>
          <w:p>
            <w:pPr>
              <w:ind w:left="640"/>
              <w:spacing w:after="0"/>
              <w:rPr>
                <w:sz w:val="20"/>
                <w:szCs w:val="20"/>
                <w:color w:val="auto"/>
              </w:rPr>
            </w:pPr>
            <w:r>
              <w:rPr>
                <w:rFonts w:ascii="Arial" w:cs="Arial" w:eastAsia="Arial" w:hAnsi="Arial"/>
                <w:sz w:val="16"/>
                <w:szCs w:val="16"/>
                <w:b w:val="1"/>
                <w:bCs w:val="1"/>
                <w:color w:val="auto"/>
              </w:rPr>
              <w:t>Total</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46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ind w:left="20"/>
              <w:spacing w:after="0" w:line="168" w:lineRule="exact"/>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2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2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r>
      <w:tr>
        <w:trPr>
          <w:trHeight w:val="203"/>
        </w:trPr>
        <w:tc>
          <w:tcPr>
            <w:tcW w:w="46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Arial" w:cs="Arial" w:eastAsia="Arial" w:hAnsi="Arial"/>
                <w:sz w:val="16"/>
                <w:szCs w:val="16"/>
                <w:b w:val="1"/>
                <w:bCs w:val="1"/>
                <w:color w:val="auto"/>
              </w:rPr>
              <w:t>losses</w:t>
            </w: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ind w:left="200"/>
              <w:spacing w:after="0"/>
              <w:rPr>
                <w:sz w:val="20"/>
                <w:szCs w:val="20"/>
                <w:color w:val="auto"/>
              </w:rPr>
            </w:pPr>
            <w:r>
              <w:rPr>
                <w:rFonts w:ascii="Arial" w:cs="Arial" w:eastAsia="Arial" w:hAnsi="Arial"/>
                <w:sz w:val="16"/>
                <w:szCs w:val="16"/>
                <w:b w:val="1"/>
                <w:bCs w:val="1"/>
                <w:color w:val="auto"/>
              </w:rPr>
              <w:t>losses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6"/>
                <w:szCs w:val="16"/>
                <w:b w:val="1"/>
                <w:bCs w:val="1"/>
                <w:color w:val="auto"/>
              </w:rPr>
              <w:t>losses</w:t>
            </w:r>
          </w:p>
        </w:tc>
      </w:tr>
      <w:tr>
        <w:trPr>
          <w:trHeight w:val="196"/>
        </w:trPr>
        <w:tc>
          <w:tcPr>
            <w:tcW w:w="4620" w:type="dxa"/>
            <w:vAlign w:val="bottom"/>
          </w:tcPr>
          <w:p>
            <w:pPr>
              <w:ind w:left="20"/>
              <w:spacing w:after="0" w:line="196" w:lineRule="exact"/>
              <w:rPr>
                <w:sz w:val="20"/>
                <w:szCs w:val="20"/>
                <w:color w:val="auto"/>
              </w:rPr>
            </w:pPr>
            <w:r>
              <w:rPr>
                <w:rFonts w:ascii="Arial" w:cs="Arial" w:eastAsia="Arial" w:hAnsi="Arial"/>
                <w:sz w:val="18"/>
                <w:szCs w:val="18"/>
                <w:color w:val="auto"/>
              </w:rPr>
              <w:t>Commercial paper</w:t>
            </w: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41,041</w:t>
            </w:r>
          </w:p>
        </w:tc>
        <w:tc>
          <w:tcPr>
            <w:tcW w:w="120" w:type="dxa"/>
            <w:vAlign w:val="bottom"/>
          </w:tcPr>
          <w:p>
            <w:pPr>
              <w:spacing w:after="0"/>
              <w:rPr>
                <w:sz w:val="17"/>
                <w:szCs w:val="17"/>
                <w:color w:val="auto"/>
              </w:rPr>
            </w:pPr>
          </w:p>
        </w:tc>
        <w:tc>
          <w:tcPr>
            <w:tcW w:w="260" w:type="dxa"/>
            <w:vAlign w:val="bottom"/>
            <w:tcBorders>
              <w:top w:val="single" w:sz="8" w:color="auto"/>
            </w:tcBorders>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56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820" w:type="dxa"/>
            <w:vAlign w:val="bottom"/>
            <w:tcBorders>
              <w:top w:val="single" w:sz="8" w:color="auto"/>
            </w:tcBorders>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41,041</w:t>
            </w:r>
          </w:p>
        </w:tc>
        <w:tc>
          <w:tcPr>
            <w:tcW w:w="100" w:type="dxa"/>
            <w:vAlign w:val="bottom"/>
          </w:tcPr>
          <w:p>
            <w:pPr>
              <w:spacing w:after="0"/>
              <w:rPr>
                <w:sz w:val="17"/>
                <w:szCs w:val="17"/>
                <w:color w:val="auto"/>
              </w:rPr>
            </w:pPr>
          </w:p>
        </w:tc>
        <w:tc>
          <w:tcPr>
            <w:tcW w:w="260" w:type="dxa"/>
            <w:vAlign w:val="bottom"/>
            <w:tcBorders>
              <w:top w:val="single" w:sz="8" w:color="auto"/>
            </w:tcBorders>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Yankee debt securities</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(6 )</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5,039</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(6 )</w:t>
            </w: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US treasury securities</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54,836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ind w:left="56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54,836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(90 )</w:t>
            </w: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government agency securities</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34,101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(129 )</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34,101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(129 )</w:t>
            </w:r>
          </w:p>
        </w:tc>
      </w:tr>
      <w:tr>
        <w:trPr>
          <w:trHeight w:val="20"/>
        </w:trPr>
        <w:tc>
          <w:tcPr>
            <w:tcW w:w="46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6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135,017</w:t>
            </w:r>
          </w:p>
        </w:tc>
        <w:tc>
          <w:tcPr>
            <w:tcW w:w="220" w:type="dxa"/>
            <w:vAlign w:val="bottom"/>
            <w:gridSpan w:val="2"/>
          </w:tcPr>
          <w:p>
            <w:pPr>
              <w:spacing w:after="0"/>
              <w:rPr>
                <w:sz w:val="17"/>
                <w:szCs w:val="17"/>
                <w:color w:val="auto"/>
              </w:rPr>
            </w:pPr>
          </w:p>
        </w:tc>
        <w:tc>
          <w:tcPr>
            <w:tcW w:w="16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(271 )</w:t>
            </w:r>
          </w:p>
        </w:tc>
        <w:tc>
          <w:tcPr>
            <w:tcW w:w="1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Pr>
          <w:p>
            <w:pPr>
              <w:ind w:left="56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135,017</w:t>
            </w:r>
          </w:p>
        </w:tc>
        <w:tc>
          <w:tcPr>
            <w:tcW w:w="36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(271 )</w:t>
            </w: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9"/>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center"/>
              <w:ind w:left="512"/>
              <w:spacing w:after="0"/>
              <w:rPr>
                <w:sz w:val="20"/>
                <w:szCs w:val="20"/>
                <w:color w:val="auto"/>
              </w:rPr>
            </w:pPr>
            <w:r>
              <w:rPr>
                <w:rFonts w:ascii="Arial" w:cs="Arial" w:eastAsia="Arial" w:hAnsi="Arial"/>
                <w:sz w:val="18"/>
                <w:szCs w:val="18"/>
                <w:color w:val="auto"/>
                <w:w w:val="97"/>
              </w:rPr>
              <w:t>F-16</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4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-1053465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-1053465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-1053465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-1053465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-1053465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2023</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290"/>
              <w:spacing w:after="0" w:line="168" w:lineRule="exact"/>
              <w:rPr>
                <w:sz w:val="20"/>
                <w:szCs w:val="20"/>
                <w:color w:val="auto"/>
              </w:rPr>
            </w:pPr>
            <w:r>
              <w:rPr>
                <w:rFonts w:ascii="Arial" w:cs="Arial" w:eastAsia="Arial" w:hAnsi="Arial"/>
                <w:sz w:val="16"/>
                <w:szCs w:val="16"/>
                <w:b w:val="1"/>
                <w:bCs w:val="1"/>
                <w:color w:val="auto"/>
              </w:rPr>
              <w:t>Unrealized losses less</w:t>
            </w:r>
          </w:p>
        </w:tc>
        <w:tc>
          <w:tcPr>
            <w:tcW w:w="160" w:type="dxa"/>
            <w:vAlign w:val="bottom"/>
          </w:tcPr>
          <w:p>
            <w:pPr>
              <w:spacing w:after="0"/>
              <w:rPr>
                <w:sz w:val="14"/>
                <w:szCs w:val="14"/>
                <w:color w:val="auto"/>
              </w:rPr>
            </w:pPr>
          </w:p>
        </w:tc>
        <w:tc>
          <w:tcPr>
            <w:tcW w:w="1680" w:type="dxa"/>
            <w:vAlign w:val="bottom"/>
            <w:gridSpan w:val="4"/>
          </w:tcPr>
          <w:p>
            <w:pPr>
              <w:jc w:val="center"/>
              <w:spacing w:after="0" w:line="168" w:lineRule="exact"/>
              <w:rPr>
                <w:sz w:val="20"/>
                <w:szCs w:val="20"/>
                <w:color w:val="auto"/>
              </w:rPr>
            </w:pPr>
            <w:r>
              <w:rPr>
                <w:rFonts w:ascii="Arial" w:cs="Arial" w:eastAsia="Arial" w:hAnsi="Arial"/>
                <w:sz w:val="16"/>
                <w:szCs w:val="16"/>
                <w:b w:val="1"/>
                <w:bCs w:val="1"/>
                <w:color w:val="auto"/>
              </w:rPr>
              <w:t>Unrealized losses 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6"/>
          </w:tcPr>
          <w:p>
            <w:pPr>
              <w:jc w:val="right"/>
              <w:ind w:right="530"/>
              <w:spacing w:after="0"/>
              <w:rPr>
                <w:sz w:val="20"/>
                <w:szCs w:val="20"/>
                <w:color w:val="auto"/>
              </w:rPr>
            </w:pPr>
            <w:r>
              <w:rPr>
                <w:rFonts w:ascii="Arial" w:cs="Arial" w:eastAsia="Arial" w:hAnsi="Arial"/>
                <w:sz w:val="16"/>
                <w:szCs w:val="16"/>
                <w:b w:val="1"/>
                <w:bCs w:val="1"/>
                <w:color w:val="auto"/>
              </w:rPr>
              <w:t>than 12 months</w:t>
            </w:r>
          </w:p>
        </w:tc>
        <w:tc>
          <w:tcPr>
            <w:tcW w:w="160" w:type="dxa"/>
            <w:vAlign w:val="bottom"/>
          </w:tcPr>
          <w:p>
            <w:pPr>
              <w:spacing w:after="0"/>
              <w:rPr>
                <w:sz w:val="17"/>
                <w:szCs w:val="17"/>
                <w:color w:val="auto"/>
              </w:rPr>
            </w:pPr>
          </w:p>
        </w:tc>
        <w:tc>
          <w:tcPr>
            <w:tcW w:w="1680" w:type="dxa"/>
            <w:vAlign w:val="bottom"/>
            <w:gridSpan w:val="4"/>
          </w:tcPr>
          <w:p>
            <w:pPr>
              <w:jc w:val="center"/>
              <w:spacing w:after="0"/>
              <w:rPr>
                <w:sz w:val="20"/>
                <w:szCs w:val="20"/>
                <w:color w:val="auto"/>
              </w:rPr>
            </w:pPr>
            <w:r>
              <w:rPr>
                <w:rFonts w:ascii="Arial" w:cs="Arial" w:eastAsia="Arial" w:hAnsi="Arial"/>
                <w:sz w:val="16"/>
                <w:szCs w:val="16"/>
                <w:b w:val="1"/>
                <w:bCs w:val="1"/>
                <w:color w:val="auto"/>
              </w:rPr>
              <w:t>months or greater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ind w:left="640"/>
              <w:spacing w:after="0"/>
              <w:rPr>
                <w:sz w:val="20"/>
                <w:szCs w:val="20"/>
                <w:color w:val="auto"/>
              </w:rPr>
            </w:pPr>
            <w:r>
              <w:rPr>
                <w:rFonts w:ascii="Arial" w:cs="Arial" w:eastAsia="Arial" w:hAnsi="Arial"/>
                <w:sz w:val="16"/>
                <w:szCs w:val="16"/>
                <w:b w:val="1"/>
                <w:bCs w:val="1"/>
                <w:color w:val="auto"/>
              </w:rPr>
              <w:t>Total</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46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ind w:left="20"/>
              <w:spacing w:after="0" w:line="168" w:lineRule="exact"/>
              <w:rPr>
                <w:sz w:val="20"/>
                <w:szCs w:val="20"/>
                <w:color w:val="auto"/>
              </w:rPr>
            </w:pPr>
            <w:r>
              <w:rPr>
                <w:rFonts w:ascii="Arial" w:cs="Arial" w:eastAsia="Arial" w:hAnsi="Arial"/>
                <w:sz w:val="16"/>
                <w:szCs w:val="16"/>
                <w:b w:val="1"/>
                <w:bCs w:val="1"/>
                <w:color w:val="auto"/>
              </w:rPr>
              <w:t>Unrealized</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2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2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r>
      <w:tr>
        <w:trPr>
          <w:trHeight w:val="203"/>
        </w:trPr>
        <w:tc>
          <w:tcPr>
            <w:tcW w:w="4620" w:type="dxa"/>
            <w:vAlign w:val="bottom"/>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losses</w:t>
            </w:r>
          </w:p>
        </w:tc>
        <w:tc>
          <w:tcPr>
            <w:tcW w:w="220" w:type="dxa"/>
            <w:vAlign w:val="bottom"/>
          </w:tcPr>
          <w:p>
            <w:pPr>
              <w:spacing w:after="0"/>
              <w:rPr>
                <w:sz w:val="17"/>
                <w:szCs w:val="17"/>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losses</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7"/>
                <w:szCs w:val="17"/>
                <w:color w:val="auto"/>
              </w:rPr>
            </w:pPr>
          </w:p>
        </w:tc>
      </w:tr>
      <w:tr>
        <w:trPr>
          <w:trHeight w:val="196"/>
        </w:trPr>
        <w:tc>
          <w:tcPr>
            <w:tcW w:w="4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74,912</w:t>
            </w:r>
          </w:p>
        </w:tc>
        <w:tc>
          <w:tcPr>
            <w:tcW w:w="380" w:type="dxa"/>
            <w:vAlign w:val="bottom"/>
            <w:gridSpan w:val="3"/>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(148 )</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74,912</w:t>
            </w:r>
          </w:p>
        </w:tc>
        <w:tc>
          <w:tcPr>
            <w:tcW w:w="360" w:type="dxa"/>
            <w:vAlign w:val="bottom"/>
            <w:gridSpan w:val="2"/>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(148 )</w:t>
            </w: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US government agency securities</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6,950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(4 )</w:t>
            </w:r>
          </w:p>
        </w:tc>
        <w:tc>
          <w:tcPr>
            <w:tcW w:w="160" w:type="dxa"/>
            <w:vAlign w:val="bottom"/>
          </w:tcPr>
          <w:p>
            <w:pPr>
              <w:spacing w:after="0"/>
              <w:rPr>
                <w:sz w:val="17"/>
                <w:szCs w:val="17"/>
                <w:color w:val="auto"/>
              </w:rPr>
            </w:pPr>
          </w:p>
        </w:tc>
        <w:tc>
          <w:tcPr>
            <w:tcW w:w="760" w:type="dxa"/>
            <w:vAlign w:val="bottom"/>
          </w:tcPr>
          <w:p>
            <w:pPr>
              <w:ind w:left="56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6,950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(4 )</w:t>
            </w: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22,944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(10 )</w:t>
            </w:r>
          </w:p>
        </w:tc>
        <w:tc>
          <w:tcPr>
            <w:tcW w:w="160" w:type="dxa"/>
            <w:vAlign w:val="bottom"/>
          </w:tcPr>
          <w:p>
            <w:pPr>
              <w:spacing w:after="0"/>
              <w:rPr>
                <w:sz w:val="17"/>
                <w:szCs w:val="17"/>
                <w:color w:val="auto"/>
              </w:rPr>
            </w:pPr>
          </w:p>
        </w:tc>
        <w:tc>
          <w:tcPr>
            <w:tcW w:w="760" w:type="dxa"/>
            <w:vAlign w:val="bottom"/>
          </w:tcPr>
          <w:p>
            <w:pPr>
              <w:ind w:left="56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22,944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(10 )</w:t>
            </w:r>
          </w:p>
        </w:tc>
      </w:tr>
      <w:tr>
        <w:trPr>
          <w:trHeight w:val="236"/>
        </w:trPr>
        <w:tc>
          <w:tcPr>
            <w:tcW w:w="4620" w:type="dxa"/>
            <w:vAlign w:val="bottom"/>
            <w:tcBorders>
              <w:top w:val="single" w:sz="8" w:color="CFF0FC"/>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105,554</w:t>
            </w:r>
          </w:p>
        </w:tc>
        <w:tc>
          <w:tcPr>
            <w:tcW w:w="220" w:type="dxa"/>
            <w:vAlign w:val="bottom"/>
            <w:tcBorders>
              <w:top w:val="single" w:sz="8" w:color="CFF0FC"/>
              <w:bottom w:val="single" w:sz="8" w:color="CFF0FC"/>
            </w:tcBorders>
            <w:gridSpan w:val="2"/>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(162</w:t>
            </w:r>
          </w:p>
        </w:tc>
        <w:tc>
          <w:tcPr>
            <w:tcW w:w="220" w:type="dxa"/>
            <w:vAlign w:val="bottom"/>
            <w:tcBorders>
              <w:top w:val="single" w:sz="8" w:color="CFF0FC"/>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ind w:left="56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gridSpan w:val="2"/>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gridSpan w:val="2"/>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105,554</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-161925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-161925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-161925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-161925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-161925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As of December 31, 2024, there were 22 available-for-sale securities with an estimated fair value of $135.0 million in gross unrealized loss positions, none of which were in an unrealized loss position for more than 12 months. As of December 31, 2023, there were 22 available-for-sale securities with an estimated fair value of $105.6 million in gross unrealized loss positions, none of which were in an unrealized loss position for more than 12 months.</w:t>
      </w:r>
    </w:p>
    <w:p>
      <w:pPr>
        <w:spacing w:after="0" w:line="16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As of December 31, 2024 and 2023, unrealized losses on available-for-sale securities are not attributed to credit risk. The Company believes that an allowance for credit losses is unnecessary because the unrealized losses on certain of the Company’s available-for-sale securities are due to market factors and changes in interest rates. Additionally, the Company does not intend to sell the securities nor is it more likely than not that the Company will be required to sell the securities before recovery of their amortized cost basis.</w:t>
      </w:r>
    </w:p>
    <w:p>
      <w:pPr>
        <w:spacing w:after="0" w:line="160"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Accrued interest on the Company’s available-for-sale securities was $2.3 million and $1.1 million as of December 31, 2024 and 2023, respectively, and is included in prepaid expenses and other current assets on the consolidated balance sheets.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9"/>
                <w:szCs w:val="19"/>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Laboratory equipment</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4,741</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5,620</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3,712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4,099</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16,313</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18,173</w:t>
            </w:r>
          </w:p>
        </w:tc>
        <w:tc>
          <w:tcPr>
            <w:tcW w:w="100" w:type="dxa"/>
            <w:vAlign w:val="bottom"/>
            <w:shd w:val="clear" w:color="auto" w:fill="CFF0FC"/>
          </w:tcPr>
          <w:p>
            <w:pPr>
              <w:spacing w:after="0"/>
              <w:rPr>
                <w:sz w:val="17"/>
                <w:szCs w:val="17"/>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Property and equipment</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26,330</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(10,009 )</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(7,232 )</w:t>
            </w:r>
          </w:p>
        </w:tc>
      </w:tr>
      <w:tr>
        <w:trPr>
          <w:trHeight w:val="236"/>
        </w:trPr>
        <w:tc>
          <w:tcPr>
            <w:tcW w:w="7680" w:type="dxa"/>
            <w:vAlign w:val="bottom"/>
            <w:tcBorders>
              <w:bottom w:val="single" w:sz="8" w:color="CFF0FC"/>
            </w:tcBorders>
            <w:shd w:val="clear" w:color="auto" w:fill="CFF0FC"/>
          </w:tcPr>
          <w:p>
            <w:pPr>
              <w:ind w:left="320"/>
              <w:spacing w:after="0" w:line="196" w:lineRule="exact"/>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16,321</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22,327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97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16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Depreciation and amortization expense related to property and equipment was $3.8 million and $3.7 million for the years ended December 31, 2024 and 2023,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Note 6. Accrued expenses and other current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92"/>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research and development expenses</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14,872</w:t>
            </w:r>
          </w:p>
        </w:tc>
        <w:tc>
          <w:tcPr>
            <w:tcW w:w="5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8,803</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10,651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10,311</w:t>
            </w:r>
          </w:p>
        </w:tc>
        <w:tc>
          <w:tcPr>
            <w:tcW w:w="100" w:type="dxa"/>
            <w:vAlign w:val="bottom"/>
          </w:tcPr>
          <w:p>
            <w:pPr>
              <w:spacing w:after="0"/>
              <w:rPr>
                <w:sz w:val="17"/>
                <w:szCs w:val="17"/>
                <w:color w:val="auto"/>
              </w:rPr>
            </w:pPr>
          </w:p>
        </w:tc>
      </w:tr>
      <w:tr>
        <w:trPr>
          <w:trHeight w:val="203"/>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Unvested early exercised stock option liability</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464</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Accrued professional services</w:t>
            </w: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451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435</w:t>
            </w:r>
          </w:p>
        </w:tc>
        <w:tc>
          <w:tcPr>
            <w:tcW w:w="100" w:type="dxa"/>
            <w:vAlign w:val="bottom"/>
          </w:tcPr>
          <w:p>
            <w:pPr>
              <w:spacing w:after="0"/>
              <w:rPr>
                <w:sz w:val="17"/>
                <w:szCs w:val="17"/>
                <w:color w:val="auto"/>
              </w:rPr>
            </w:pPr>
          </w:p>
        </w:tc>
      </w:tr>
      <w:tr>
        <w:trPr>
          <w:trHeight w:val="203"/>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property and equipment</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Other accruals and current liabilities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334</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w:t>
            </w:r>
          </w:p>
        </w:tc>
        <w:tc>
          <w:tcPr>
            <w:tcW w:w="100" w:type="dxa"/>
            <w:vAlign w:val="bottom"/>
          </w:tcPr>
          <w:p>
            <w:pPr>
              <w:spacing w:after="0"/>
              <w:rPr>
                <w:sz w:val="17"/>
                <w:szCs w:val="17"/>
                <w:color w:val="auto"/>
              </w:rPr>
            </w:pPr>
          </w:p>
        </w:tc>
      </w:tr>
      <w:tr>
        <w:trPr>
          <w:trHeight w:val="236"/>
        </w:trPr>
        <w:tc>
          <w:tcPr>
            <w:tcW w:w="7620" w:type="dxa"/>
            <w:vAlign w:val="bottom"/>
            <w:tcBorders>
              <w:bottom w:val="single" w:sz="8" w:color="CFF0FC"/>
            </w:tcBorders>
            <w:shd w:val="clear" w:color="auto" w:fill="CFF0FC"/>
          </w:tcPr>
          <w:p>
            <w:pPr>
              <w:ind w:left="3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26,308</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20,186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Asset acquisitions</w:t>
      </w:r>
    </w:p>
    <w:p>
      <w:pPr>
        <w:spacing w:after="0" w:line="198"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following purchased assets were accounted for as asset acquisitions as substantially all of the fair value of the assets acquired were concentrated in a group of similar assets, and the acquired assets did not have outputs or employees. Because the assets had not yet received regulatory approval, the fair value attributable to these assets was recorded as in-process research and development expenses in the Company’s consolidated statements of operations and comprehensive loss.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Asana BioSciences, LLC</w:t>
      </w:r>
    </w:p>
    <w:p>
      <w:pPr>
        <w:spacing w:after="0" w:line="198"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In November 2020, the Company entered into the Asana Merger Agreement, pursuant to which ASN became its wholly-owned subsidiary. Asana and ASN had previously entered into a license agreement, which was amended and restated prior to the closing of the merger transaction (the Asana License Agreement, and collectively with the Asana Merger Agreement, the Asana Agreements), pursuant to which ASN acquired an exclusive, worldwide license to certain intellectual property rights relating to inhibitors of ERK1 and ERK2 owned or controlled by Asana to develop and commercialize ERAS-007 and certain other related compounds for all applications.</w:t>
      </w:r>
    </w:p>
    <w:p>
      <w:pPr>
        <w:spacing w:after="0" w:line="16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the Asana Merger Agreement, in 2020, the Company made an upfront payment of $20.0 million and issued 4,000,000 shares of its Series B-2 convertible preferred stock to Asana at a value of $7.50 per share or a total fair value of equity of $30.0 million. In connection with the Company’s IPO, these shares of Series B-2 convertible preferred stock were converted into 3,333,333 shares of the Company’s common stock. The Company is obligated to make future development and regulatory milestone cash payments for a licensed product in an amount of up to $90.0 million. Additionally, upon achieving a development milestone related to demonstration of successful proof-of-concept in a specified clinical trial, the Company will also be required to issue 3,888,889 shares of its common stock to Asana. The Company is not obligated to pay royalties on the net sales of licensed products. No IPR&amp;D expense was recorded during the years ended December 31,</w:t>
      </w:r>
    </w:p>
    <w:p>
      <w:pPr>
        <w:spacing w:after="0" w:line="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2024 and 2023. As of December 31, 2024 and 2023, no milestones had been accrued as the underlying contingencies were not probable or estimable.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License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Pharma AG</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December 2022, the Company entered into an exclusive license agreement (as amended, the Novartis Agreement) with Novartis Pharma AG (Novartis) under which the Company was granted an exclusive, worldwide, royalty-bearing license to certain patent and other intellectual property rights owned or controlled by Novartis to develop, manufacture, use, and commercialize naporafenib in all fields of use. The Company has the right to sublicense (through multiple tiers) its rights under the Novartis Agreement, subject to certain limitations and conditions, and is required to use commercially reasonable efforts to commercialize licensed products in certain geographical markets. The license granted under the Novartis Agreement is subject to Novartis’ reserved right to: (i) develop, manufacture, use, and commercialize compounds unrelated to naporafenib under the licensed patent rights and know-how, (ii) use the licensed patent rights and know-how for non-clinical research purposes, and (iii) use the licensed patent rights and know-how to the extent necessary to perform ongoing clinical trials and perform its obligations under existing contracts and under the Novartis Agreement.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46" w:name="page147"/>
    <w:bookmarkEnd w:id="146"/>
    <w:p>
      <w:pPr>
        <w:ind w:right="140"/>
        <w:spacing w:after="0" w:line="244" w:lineRule="auto"/>
        <w:rPr>
          <w:sz w:val="20"/>
          <w:szCs w:val="20"/>
          <w:color w:val="auto"/>
        </w:rPr>
      </w:pPr>
      <w:r>
        <w:rPr>
          <w:rFonts w:ascii="Arial" w:cs="Arial" w:eastAsia="Arial" w:hAnsi="Arial"/>
          <w:sz w:val="18"/>
          <w:szCs w:val="18"/>
          <w:color w:val="auto"/>
        </w:rPr>
        <w:t>Under the Novartis Agreement, the Company made an upfront cash payment to Novartis of $20.0 million and issued to Novartis 12,307,692 shares of common stock of the Company having an aggregate value of approximately $80.0 million. The Company is obligated to make future regulatory milestone payments of up to $80.0 million and sales milestone payments of up to $200.0 million. The Company is also obligated to pay royalties on net sales of all licensed products, in the low-single digit percentages, subject to certain reductions. During the years ended December 31, 2024 and 2023, no IPR&amp;D expense was recorded in connection with the Novartis Agreement.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Guangzhou Joyo Pharmatech Co., Ltd</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May 2024, the Company entered into an exclusive license agreement (the Joyo License Agreement) with Guangzhou Joyo Pharmatech Co., Ltd. (Joyo) under which the Company was granted an exclusive, worldwide (except mainland China, Hong Kong, and Macau), royalty-bearing license to certain patent and other intellectual property rights owned or controlled by Joyo to develop, manufacture, and commercialize certain pan-RAS inhibitors in all fields of use. The Company has an option to expand the territory of the license to include mainland China, Hong Kong and Macau by making a $50.0 million payment to Joyo on or prior to the first dosing of the first patient in a Phase 2 clinical trial by either the Company or Joyo, or a payment of $150.0 million after the first dosing of the first patient in a Phase 2 clinical trial by either the Company or Joyo and before filing a new drug application (or the foreign equivalent) by either the Company or Joyo. The Company has the right to sublicense (through multiple tiers) its rights under the Joyo License Agreement, subject to certain limitations and conditions, and is required to use commercially reasonable efforts to commercialize licensed products in the United States.</w:t>
      </w:r>
    </w:p>
    <w:p>
      <w:pPr>
        <w:spacing w:after="0" w:line="17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license granted under the Joyo License Agreement is subject to Joyo’ reserved right to develop, manufacture, use, and commercialize licensed products in mainland China, Hong Kong and Macau, unless the Company exercises its option to expand the license to include mainland China, Hong Kong and Macau.</w:t>
      </w:r>
    </w:p>
    <w:p>
      <w:pPr>
        <w:spacing w:after="0" w:line="15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Under the Joyo License Agreement, the Company made an upfront cash payment to Joyo of $12.5 million. The Company is obligated to make development and regulatory milestone payments of up to $51.5 million (or up to $57.5 million if the Company’s territory is expanded to include mainland China, Hong Kong, and Macau) and commercial milestone payments of up to $125.0 million upon the achievement of the corresponding milestones. The Company is also obligated to pay tiered royalties on net sales of all licensed products, in the low- to mid-single digit percentages, subject to certain reductions. The Company recorded IPR&amp;D expense of $12.5 million during the year ended December 31, 2024 in connection with the upfront cash payment made under the Joyo License Agreement.</w:t>
      </w:r>
    </w:p>
    <w:p>
      <w:pPr>
        <w:spacing w:after="0" w:line="165" w:lineRule="exact"/>
        <w:rPr>
          <w:sz w:val="20"/>
          <w:szCs w:val="20"/>
          <w:color w:val="auto"/>
        </w:rPr>
      </w:pPr>
    </w:p>
    <w:p>
      <w:pPr>
        <w:jc w:val="both"/>
        <w:ind w:right="140"/>
        <w:spacing w:after="0" w:line="245" w:lineRule="auto"/>
        <w:rPr>
          <w:sz w:val="20"/>
          <w:szCs w:val="20"/>
          <w:color w:val="auto"/>
        </w:rPr>
      </w:pPr>
      <w:r>
        <w:rPr>
          <w:rFonts w:ascii="Arial" w:cs="Arial" w:eastAsia="Arial" w:hAnsi="Arial"/>
          <w:sz w:val="18"/>
          <w:szCs w:val="18"/>
          <w:color w:val="auto"/>
        </w:rPr>
        <w:t>The Joyo License Agreement will expire upon the last to expire royalty term, which is determined on a licensed product-by-licensed product and country-by-country basis, and is the later of: (i) ten years from the date of first commercial sale for the licensed product in such country,</w:t>
      </w:r>
    </w:p>
    <w:p>
      <w:pPr>
        <w:ind w:right="60" w:firstLine="8"/>
        <w:spacing w:after="0"/>
        <w:tabs>
          <w:tab w:leader="none" w:pos="2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last to expire valid claim within the licensed patent rights covering such licensed product, or (iii) the expiration of all regulatory exclusivity for the licensed product in such country. Upon expiration of the Joyo License Agreement, on a licensed product-by-licensed product and country-by-country basis, the license granted to the Company with respect to such product in such countries shall be deemed to be fully paid-up, royalty-free, non-terminable, irrevocable and perpetual.</w:t>
      </w:r>
    </w:p>
    <w:p>
      <w:pPr>
        <w:spacing w:after="0" w:line="16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Joyo License Agreement may be terminated in its entirety by either party in the event of an uncured material breach by the other party or in the event the other party becomes subject to specified bankruptcy, insolvency, or similar circumstances. Joyo may terminate the Joyo License Agreement in the event that the Company or its affiliates or any of its or their sublicensees institutes, prosecutes or otherwise participates in any challenge to the licensed patents. The Company may terminate the Joyo License Agreement in its entirety at any time upon the provision of prior written notice to Joyo.</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Upon termination of the Joyo License Agreement for any reason, all rights and licenses granted to the Company will terminate. In addition, the licenses granted to Joyo under certain patent and other intellectual property rights owned or controlled by the Company to develop, manufacture, use, and commercialize the licensed products in mainland China, Hong Kong and Macau will survive the termination of the Joyo License Agreement for any reason, unless the Company exercises its option to expand the license to include mainland China, Hong Kong and Macau, in which case such licenses to Joyo will terminate automatically; and Joyo has an option to negotiate a license under any patent rights, know-how, or other intellectual property rights relating to the licensed products that are owned or controlled by the Company for the purpose of developing, manufacturing and commercializing the licensed products in the Company’s territory on terms to be negotiated between the parties.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Medshine Discovery Inc.</w:t>
      </w:r>
    </w:p>
    <w:p>
      <w:pPr>
        <w:spacing w:after="0" w:line="19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 May 2024, the Company entered into an exclusive license agreement (the Medshine License Agreement) with Medshine Discovery Inc. (Medshine) under which the Company was granted an exclusive, worldwide, royalty-bearing license to certain patent and other intellectual property rights owned or controlled by Medshine to develop, manufacture, and commercialize certain pan-KRAS inhibitors in all fields of use. The Company has the right to sublicense (through multiple tiers) its rights under the Medshine License Agreement, subject to certain limitations and conditions, and is required to use commercially reasonable efforts to commercialize licensed products in certain geographical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Under the Medshine License Agreement, the Company made an upfront cash payment to Medshine of $10.0 million. The Company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obligated to make development and regulatory milestone payments of up to $30.0 million and commercial milestone payments of up to</w:t>
      </w:r>
    </w:p>
    <w:p>
      <w:pPr>
        <w:spacing w:after="0" w:line="234" w:lineRule="auto"/>
        <w:rPr>
          <w:sz w:val="20"/>
          <w:szCs w:val="20"/>
          <w:color w:val="auto"/>
        </w:rPr>
      </w:pPr>
      <w:r>
        <w:rPr>
          <w:rFonts w:ascii="Arial" w:cs="Arial" w:eastAsia="Arial" w:hAnsi="Arial"/>
          <w:sz w:val="18"/>
          <w:szCs w:val="18"/>
          <w:color w:val="auto"/>
        </w:rPr>
        <w:t>$130.0 million upon the achievement of the corresponding milestones. The Company is also obligated to pay a low-single digit percentage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royalty on net sales of all licensed products, subject to certain reductions. The Company recorded IPR&amp;D expense of $10.0 million during 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2024 in connection with the upfront cash payment made under the Medshine License Agreement.</w:t>
      </w:r>
    </w:p>
    <w:p>
      <w:pPr>
        <w:spacing w:after="0" w:line="18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Medshine License Agreement will expire upon the last to expire royalty term, which is determined on a licensed product-by-licensed product and country-by-country basis, and is the later of: (i) ten years from the date of first commercial sale for the licensed product in such country, (ii) the last to expire valid claim within the licensed patent rights covering such licensed product, or (iii) the expiration of all regulatory exclusivity for the licensed product in such country. Upon expiration of the Medshine License Agreement, on a licensed product-by-licensed product and country-by-country basis, the license granted to the Company with respect to such product in such countries shall be deemed to be fully paid-up, royalty-free, non-terminable, irrevocable and perpetual.</w:t>
      </w:r>
    </w:p>
    <w:p>
      <w:pPr>
        <w:spacing w:after="0" w:line="16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Medshine License Agreement may be terminated in its entirety by either party in the event of an uncured material breach by the other party or in the event the other party becomes subject to specified bankruptcy, insolvency, or similar circumstances. Medshine may terminate the Medshine License Agreement in the event that the Company or its affiliates or any of its or their sublicensees commences or actively and voluntarily participates in any challenge to the licensed patents. The Company may terminate the Medshine License Agreement in its entirety at any time upon the provision of prior written notice to Medshine.</w:t>
      </w:r>
    </w:p>
    <w:p>
      <w:pPr>
        <w:spacing w:after="0" w:line="16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Upon termination of the Medshine License Agreement for any reason, all rights and licenses granted to the Company will terminate. In addition, upon termination of the Medshine License Agreement by Medshine for cause, Medshine has an option to negotiate a license under any patent rights, know-how, or other intellectual property rights relating to the licensed products that are owned or controlled by the Company for the purpose of developing, manufacturing and commercializing the licensed products on terms to be negotiated between the parties.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Katmai Pharmaceuticals, Inc.</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March 2020, the Company entered into a license agreement (the Katmai Agreement) with Katmai Pharmaceuticals, Inc. (Katmai) under which the Company was granted an exclusive, worldwide, royalty-bearing license to certain patent rights and know-how controlled by Katmai related to the development of small molecule therapeutic and diagnostic products that modulate EGFR and enable the identification, diagnosis, selection, treatment, and/or monitoring of patients for neuro-oncological applications to develop, manufacture, use, and commercialize ERAS-801 and certain other related compounds in all fields of use.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Under the Katmai Agreement, the Company made an upfront payment of $5.7 million and Katmai agreed to purchase shares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Series B-1 convertible preferred stock and Series B-2 convertible preferred stock having an aggregate value of $2.7 million. In</w:t>
      </w:r>
    </w:p>
    <w:p>
      <w:pPr>
        <w:spacing w:after="0" w:line="234" w:lineRule="auto"/>
        <w:rPr>
          <w:sz w:val="20"/>
          <w:szCs w:val="20"/>
          <w:color w:val="auto"/>
        </w:rPr>
      </w:pPr>
      <w:r>
        <w:rPr>
          <w:rFonts w:ascii="Arial" w:cs="Arial" w:eastAsia="Arial" w:hAnsi="Arial"/>
          <w:sz w:val="18"/>
          <w:szCs w:val="18"/>
          <w:color w:val="auto"/>
        </w:rPr>
        <w:t>April 2020, Katmai purchased 356,000 shares of the Company’s Series B-1 convertible preferred stock for $1.8 million, and in January 2021,</w:t>
      </w:r>
    </w:p>
    <w:p>
      <w:pPr>
        <w:spacing w:after="0" w:line="235" w:lineRule="auto"/>
        <w:rPr>
          <w:sz w:val="20"/>
          <w:szCs w:val="20"/>
          <w:color w:val="auto"/>
        </w:rPr>
      </w:pPr>
      <w:r>
        <w:rPr>
          <w:rFonts w:ascii="Arial" w:cs="Arial" w:eastAsia="Arial" w:hAnsi="Arial"/>
          <w:sz w:val="18"/>
          <w:szCs w:val="18"/>
          <w:color w:val="auto"/>
        </w:rPr>
        <w:t>Katmai purchased 118,666 shares of the Company’s Series B-2 convertible preferred stock for $0.9 million. In connection with the</w:t>
      </w:r>
    </w:p>
    <w:p>
      <w:pPr>
        <w:spacing w:after="0" w:line="235" w:lineRule="auto"/>
        <w:rPr>
          <w:sz w:val="20"/>
          <w:szCs w:val="20"/>
          <w:color w:val="auto"/>
        </w:rPr>
      </w:pPr>
      <w:r>
        <w:rPr>
          <w:rFonts w:ascii="Arial" w:cs="Arial" w:eastAsia="Arial" w:hAnsi="Arial"/>
          <w:sz w:val="18"/>
          <w:szCs w:val="18"/>
          <w:color w:val="auto"/>
        </w:rPr>
        <w:t>Company's IPO, these shares of Series B-1 convertible preferred stock and Series B-2 convertible preferred stock were converted into</w:t>
      </w:r>
    </w:p>
    <w:p>
      <w:pPr>
        <w:spacing w:after="0" w:line="235" w:lineRule="auto"/>
        <w:rPr>
          <w:sz w:val="20"/>
          <w:szCs w:val="20"/>
          <w:color w:val="auto"/>
        </w:rPr>
      </w:pPr>
      <w:r>
        <w:rPr>
          <w:rFonts w:ascii="Arial" w:cs="Arial" w:eastAsia="Arial" w:hAnsi="Arial"/>
          <w:sz w:val="18"/>
          <w:szCs w:val="18"/>
          <w:color w:val="auto"/>
        </w:rPr>
        <w:t>395,555 shares of the Company's common stock, in the aggregate. The Company is obligated to make future development and regulatory</w:t>
      </w:r>
    </w:p>
    <w:p>
      <w:pPr>
        <w:spacing w:after="0" w:line="235" w:lineRule="auto"/>
        <w:rPr>
          <w:sz w:val="20"/>
          <w:szCs w:val="20"/>
          <w:color w:val="auto"/>
        </w:rPr>
      </w:pPr>
      <w:r>
        <w:rPr>
          <w:rFonts w:ascii="Arial" w:cs="Arial" w:eastAsia="Arial" w:hAnsi="Arial"/>
          <w:sz w:val="18"/>
          <w:szCs w:val="18"/>
          <w:color w:val="auto"/>
        </w:rPr>
        <w:t>milestone payments of up to $26.0 million, of which $2.0 million was paid in March 2022, and commercial milestone payments of up to</w:t>
      </w:r>
    </w:p>
    <w:p>
      <w:pPr>
        <w:spacing w:after="0" w:line="234" w:lineRule="auto"/>
        <w:rPr>
          <w:sz w:val="20"/>
          <w:szCs w:val="20"/>
          <w:color w:val="auto"/>
        </w:rPr>
      </w:pPr>
      <w:r>
        <w:rPr>
          <w:rFonts w:ascii="Arial" w:cs="Arial" w:eastAsia="Arial" w:hAnsi="Arial"/>
          <w:sz w:val="18"/>
          <w:szCs w:val="18"/>
          <w:color w:val="auto"/>
        </w:rPr>
        <w:t>$101.0 million. The Company is also obligated to pay tiered royalties on net sales of each licensed product, at rates ranging from the mid- to</w:t>
      </w:r>
    </w:p>
    <w:p>
      <w:pPr>
        <w:spacing w:after="0" w:line="235" w:lineRule="auto"/>
        <w:rPr>
          <w:sz w:val="20"/>
          <w:szCs w:val="20"/>
          <w:color w:val="auto"/>
        </w:rPr>
      </w:pPr>
      <w:r>
        <w:rPr>
          <w:rFonts w:ascii="Arial" w:cs="Arial" w:eastAsia="Arial" w:hAnsi="Arial"/>
          <w:sz w:val="18"/>
          <w:szCs w:val="18"/>
          <w:color w:val="auto"/>
        </w:rPr>
        <w:t>high-single digit percentages, subject to a minimum annual royalty payment in the low six figures and certain permitted deductions. During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years ended December 31, 2024 and 2023, no IPR&amp;D expense was recorded in connection with the Katmai Agreement.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5" w:right="37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NiKang Therapeutics, Inc.</w:t>
      </w:r>
    </w:p>
    <w:p>
      <w:pPr>
        <w:spacing w:after="0" w:line="1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February 2020, the Company entered into a license agreement (the NiKang Agreement) with NiKang Therapeutics, Inc. (NiKang) under which the Company was granted an exclusive, worldwide license to certain intellectual property rights owned or controlled by NiKang related to certain SHP2 inhibitors to develop and commercialize ERAS-601 and certain other related compounds for all applications.</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the NiKang Agreement, in 2020, the Company made an upfront payment of $5.0 million to NiKang and reimbursed NiKang $0.4 million for certain initial manufacturing costs. In addition, the Company paid $7.0 million in 2020 related to the publication of a US patent application that covered the composition of matter of ERAS-601. The Company is also obligated to pay (i) development and regulatory milestone payments in an aggregate amount of up to $16.0 million for the first licensed product, of which $4.0 million was paid in January 2021, and $12.0 million for a second licensed product, and (ii) commercial milestone payments in an aggregate amount of up to $157.0 million for the first licensed product and $151.0 million for a second licensed product. The Company is also obligated to: (i) pay tiered royalties on net sales of all licensed products in the mid-single digit percentages, subject to certain reductions; and (ii) equally split all net sublicensing revenues earned under sublicense agreements that the Company enters into with any third party before commencement of the first Phase I clinical trial for a licensed product. During the years ended December 31, 2024 and 2023, no IPR&amp;D expense was recorded in connection with the NiKang Agreement.</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As of December 31, 2024 and 2023, no milestones are accrued for any license agreements as the underlying contingencies are not probable or estimable.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Holders of the Company's common stock are entitled to one vote for each share held on the applicable record date with respect to all matters submitted to a vote of stockholders, including the election of directors, and do not have cumulative voting rights. Common stockholders are entitled to receive dividends, as may be declared by the Company’s board of directors. As of December 31, 2024, no dividends had been declared.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reserved for future issuance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reserved for future issuance consisted of the following as of December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00" w:type="dxa"/>
            <w:vAlign w:val="bottom"/>
          </w:tcPr>
          <w:p>
            <w:pPr>
              <w:spacing w:after="0"/>
              <w:rPr>
                <w:sz w:val="21"/>
                <w:szCs w:val="21"/>
                <w:color w:val="auto"/>
              </w:rPr>
            </w:pPr>
          </w:p>
        </w:tc>
        <w:tc>
          <w:tcPr>
            <w:tcW w:w="2000" w:type="dxa"/>
            <w:vAlign w:val="bottom"/>
          </w:tcPr>
          <w:p>
            <w:pPr>
              <w:jc w:val="right"/>
              <w:ind w:right="393"/>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21"/>
                <w:szCs w:val="21"/>
                <w:color w:val="auto"/>
              </w:rPr>
            </w:pPr>
          </w:p>
        </w:tc>
        <w:tc>
          <w:tcPr>
            <w:tcW w:w="2120" w:type="dxa"/>
            <w:vAlign w:val="bottom"/>
            <w:gridSpan w:val="2"/>
          </w:tcPr>
          <w:p>
            <w:pPr>
              <w:ind w:left="48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6800" w:type="dxa"/>
            <w:vAlign w:val="bottom"/>
          </w:tcPr>
          <w:p>
            <w:pPr>
              <w:spacing w:after="0"/>
              <w:rPr>
                <w:sz w:val="17"/>
                <w:szCs w:val="17"/>
                <w:color w:val="auto"/>
              </w:rPr>
            </w:pPr>
          </w:p>
        </w:tc>
        <w:tc>
          <w:tcPr>
            <w:tcW w:w="200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7"/>
                <w:szCs w:val="17"/>
                <w:color w:val="auto"/>
              </w:rPr>
            </w:pPr>
          </w:p>
        </w:tc>
        <w:tc>
          <w:tcPr>
            <w:tcW w:w="2020" w:type="dxa"/>
            <w:vAlign w:val="bottom"/>
            <w:tcBorders>
              <w:bottom w:val="single" w:sz="8" w:color="auto"/>
            </w:tcBorders>
          </w:tcPr>
          <w:p>
            <w:pPr>
              <w:jc w:val="right"/>
              <w:ind w:right="756"/>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r>
      <w:tr>
        <w:trPr>
          <w:trHeight w:val="196"/>
        </w:trPr>
        <w:tc>
          <w:tcPr>
            <w:tcW w:w="6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 issued and outstanding</w:t>
            </w:r>
          </w:p>
        </w:tc>
        <w:tc>
          <w:tcPr>
            <w:tcW w:w="2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33,910,721</w:t>
            </w:r>
          </w:p>
        </w:tc>
        <w:tc>
          <w:tcPr>
            <w:tcW w:w="2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24,970,957</w:t>
            </w:r>
          </w:p>
        </w:tc>
        <w:tc>
          <w:tcPr>
            <w:tcW w:w="100" w:type="dxa"/>
            <w:vAlign w:val="bottom"/>
            <w:shd w:val="clear" w:color="auto" w:fill="CFF0FC"/>
          </w:tcPr>
          <w:p>
            <w:pPr>
              <w:spacing w:after="0"/>
              <w:rPr>
                <w:sz w:val="17"/>
                <w:szCs w:val="17"/>
                <w:color w:val="auto"/>
              </w:rPr>
            </w:pPr>
          </w:p>
        </w:tc>
      </w:tr>
      <w:tr>
        <w:trPr>
          <w:trHeight w:val="203"/>
        </w:trPr>
        <w:tc>
          <w:tcPr>
            <w:tcW w:w="6800" w:type="dxa"/>
            <w:vAlign w:val="bottom"/>
          </w:tcPr>
          <w:p>
            <w:pPr>
              <w:ind w:left="20"/>
              <w:spacing w:after="0" w:line="202" w:lineRule="exact"/>
              <w:rPr>
                <w:sz w:val="20"/>
                <w:szCs w:val="20"/>
                <w:color w:val="auto"/>
              </w:rPr>
            </w:pPr>
            <w:r>
              <w:rPr>
                <w:rFonts w:ascii="Arial" w:cs="Arial" w:eastAsia="Arial" w:hAnsi="Arial"/>
                <w:sz w:val="18"/>
                <w:szCs w:val="18"/>
                <w:color w:val="auto"/>
              </w:rPr>
              <w:t>Awards available for future grant</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13,265,858</w:t>
            </w:r>
          </w:p>
        </w:tc>
        <w:tc>
          <w:tcPr>
            <w:tcW w:w="2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15,342,797</w:t>
            </w:r>
          </w:p>
        </w:tc>
        <w:tc>
          <w:tcPr>
            <w:tcW w:w="100" w:type="dxa"/>
            <w:vAlign w:val="bottom"/>
          </w:tcPr>
          <w:p>
            <w:pPr>
              <w:spacing w:after="0"/>
              <w:rPr>
                <w:sz w:val="17"/>
                <w:szCs w:val="17"/>
                <w:color w:val="auto"/>
              </w:rPr>
            </w:pPr>
          </w:p>
        </w:tc>
      </w:tr>
      <w:tr>
        <w:trPr>
          <w:trHeight w:val="203"/>
        </w:trPr>
        <w:tc>
          <w:tcPr>
            <w:tcW w:w="68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Shares available for purchase under the ESPP</w:t>
            </w:r>
          </w:p>
        </w:tc>
        <w:tc>
          <w:tcPr>
            <w:tcW w:w="2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1,569,952</w:t>
            </w:r>
          </w:p>
        </w:tc>
        <w:tc>
          <w:tcPr>
            <w:tcW w:w="320" w:type="dxa"/>
            <w:vAlign w:val="bottom"/>
            <w:tcBorders>
              <w:bottom w:val="single" w:sz="8" w:color="CFF0FC"/>
            </w:tcBorders>
            <w:shd w:val="clear" w:color="auto" w:fill="CFF0FC"/>
          </w:tcPr>
          <w:p>
            <w:pPr>
              <w:spacing w:after="0"/>
              <w:rPr>
                <w:sz w:val="17"/>
                <w:szCs w:val="17"/>
                <w:color w:val="auto"/>
              </w:rPr>
            </w:pPr>
          </w:p>
        </w:tc>
        <w:tc>
          <w:tcPr>
            <w:tcW w:w="2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2,080,681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800" w:type="dxa"/>
            <w:vAlign w:val="bottom"/>
          </w:tcPr>
          <w:p>
            <w:pPr>
              <w:ind w:left="140"/>
              <w:spacing w:after="0" w:line="196" w:lineRule="exact"/>
              <w:rPr>
                <w:sz w:val="20"/>
                <w:szCs w:val="20"/>
                <w:color w:val="auto"/>
              </w:rPr>
            </w:pPr>
            <w:r>
              <w:rPr>
                <w:rFonts w:ascii="Arial" w:cs="Arial" w:eastAsia="Arial" w:hAnsi="Arial"/>
                <w:sz w:val="18"/>
                <w:szCs w:val="18"/>
                <w:color w:val="auto"/>
              </w:rPr>
              <w:t>Total</w:t>
            </w: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48,746,531</w:t>
            </w:r>
          </w:p>
        </w:tc>
        <w:tc>
          <w:tcPr>
            <w:tcW w:w="2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42,394,435</w:t>
            </w:r>
          </w:p>
        </w:tc>
        <w:tc>
          <w:tcPr>
            <w:tcW w:w="100" w:type="dxa"/>
            <w:vAlign w:val="bottom"/>
          </w:tcPr>
          <w:p>
            <w:pPr>
              <w:spacing w:after="0"/>
              <w:rPr>
                <w:sz w:val="17"/>
                <w:szCs w:val="17"/>
                <w:color w:val="auto"/>
              </w:rPr>
            </w:pPr>
          </w:p>
        </w:tc>
      </w:tr>
      <w:tr>
        <w:trPr>
          <w:trHeight w:val="20"/>
        </w:trPr>
        <w:tc>
          <w:tcPr>
            <w:tcW w:w="680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-162560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19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July 2021, the Company’s board of directors adopted and the Company’s stockholders approved the Company’s 2021 Incentive Award Plan (the 2021 Plan), which became effective in connection with the IPO. Upon the adoption of the 2021 Plan, the Company ceased making equity grants under its 2018 Equity Incentive Plan (the 2018 Plan). Under the 2021 Plan, the Company may grant stock options, restricted stock, restricted stock units, stock appreciation rights, and other stock or cash-based awards to individuals who are then employees, officers, directors or non-entity consultants of the Company. A total of 15,150,000 shares of common stock were initially reserved for issuance under the 2021 Plan. In addition, the number of shares of common stock available for issuance under the 2021 Plan may be increased annually on the first day of each calendar year during the term of the 2021 Plan, beginning in 2022, by an amount equal to the lesser of (i) 5% of the shares of common stock outstanding on the final day of the immediately preceding calendar year or (ii) such smaller number of shares as determined by the Company’s board of directors or an authorized committee of the board of directors. As of December 31, 2024, there were 13,265,858 stock-based awards available for future grant under the 2021 Plan.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49" w:name="page150"/>
    <w:bookmarkEnd w:id="149"/>
    <w:p>
      <w:pPr>
        <w:ind w:right="100"/>
        <w:spacing w:after="0" w:line="247" w:lineRule="auto"/>
        <w:rPr>
          <w:sz w:val="20"/>
          <w:szCs w:val="20"/>
          <w:color w:val="auto"/>
        </w:rPr>
      </w:pPr>
      <w:r>
        <w:rPr>
          <w:rFonts w:ascii="Arial" w:cs="Arial" w:eastAsia="Arial" w:hAnsi="Arial"/>
          <w:sz w:val="18"/>
          <w:szCs w:val="18"/>
          <w:color w:val="auto"/>
        </w:rPr>
        <w:t>Subsequent to July 2021, no further awards will be granted under the 2018 Plan and all future stock-based awards will be granted under the 2021 Plan. To the extent outstanding options or restricted stock granted under the 2018 Plan are cancelled, forfeited, repurchased, or otherwise terminated without being exercised or becoming vested, and would otherwise have been returned to the share reserve under the 2018 Plan, the number of shares underlying such awards will be available for future grant under the 2021 Plan.</w:t>
      </w:r>
    </w:p>
    <w:p>
      <w:pPr>
        <w:spacing w:after="0" w:line="16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Options granted are exercisable at various dates as determined upon grant and will expire no more than ten years from their date of grant. Stock options generally vest over a four-year term. The exercise price of each option shall be determined by the Company’s board of directors based on the estimated fair value of the Company’s stock on the date of the option grant. The exercise price shall not be less than 100% of the fair market value of the Company’s common stock at the time the option is granted. For holders of more than 10% of the Company’s total combined voting power of all classes of stock, incentive stock options may not be granted at less than 110% of the fair market value of the Company’s common stock on the date of grant and for a term that exceeds five years. Early exercise was permitted for certain grants under the 2018 Plan.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98"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A summary of the Company’s stock option activity under the 2021 Plan and 2018 Plan is as follows (in thousands, except share and per share data and years):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2"/>
              <w:spacing w:after="0"/>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average remaining</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Aggregate</w:t>
            </w:r>
          </w:p>
        </w:tc>
      </w:tr>
      <w:tr>
        <w:trPr>
          <w:trHeight w:val="216"/>
        </w:trPr>
        <w:tc>
          <w:tcPr>
            <w:tcW w:w="4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72"/>
              <w:spacing w:after="0"/>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intrinsic</w:t>
            </w:r>
          </w:p>
        </w:tc>
      </w:tr>
      <w:tr>
        <w:trPr>
          <w:trHeight w:val="226"/>
        </w:trPr>
        <w:tc>
          <w:tcPr>
            <w:tcW w:w="4560" w:type="dxa"/>
            <w:vAlign w:val="bottom"/>
          </w:tcPr>
          <w:p>
            <w:pPr>
              <w:spacing w:after="0"/>
              <w:rPr>
                <w:sz w:val="19"/>
                <w:szCs w:val="19"/>
                <w:color w:val="auto"/>
              </w:rPr>
            </w:pPr>
          </w:p>
        </w:tc>
        <w:tc>
          <w:tcPr>
            <w:tcW w:w="134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9"/>
                <w:szCs w:val="19"/>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22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term (years)</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215"/>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9"/>
                <w:szCs w:val="19"/>
                <w:color w:val="auto"/>
              </w:rPr>
            </w:pPr>
          </w:p>
        </w:tc>
      </w:tr>
      <w:tr>
        <w:trPr>
          <w:trHeight w:val="200"/>
        </w:trPr>
        <w:tc>
          <w:tcPr>
            <w:tcW w:w="4560" w:type="dxa"/>
            <w:vAlign w:val="bottom"/>
            <w:shd w:val="clear" w:color="auto" w:fill="CFF0FC"/>
          </w:tcPr>
          <w:p>
            <w:pPr>
              <w:ind w:left="20"/>
              <w:spacing w:after="0" w:line="200" w:lineRule="exact"/>
              <w:rPr>
                <w:sz w:val="20"/>
                <w:szCs w:val="20"/>
                <w:color w:val="auto"/>
              </w:rPr>
            </w:pPr>
            <w:r>
              <w:rPr>
                <w:rFonts w:ascii="Arial" w:cs="Arial" w:eastAsia="Arial" w:hAnsi="Arial"/>
                <w:sz w:val="18"/>
                <w:szCs w:val="18"/>
                <w:color w:val="auto"/>
              </w:rPr>
              <w:t>Outstanding at December 31, 2023</w:t>
            </w:r>
          </w:p>
        </w:tc>
        <w:tc>
          <w:tcPr>
            <w:tcW w:w="1340" w:type="dxa"/>
            <w:vAlign w:val="bottom"/>
            <w:shd w:val="clear" w:color="auto" w:fill="CFF0FC"/>
          </w:tcPr>
          <w:p>
            <w:pPr>
              <w:jc w:val="right"/>
              <w:spacing w:after="0" w:line="200" w:lineRule="exact"/>
              <w:rPr>
                <w:sz w:val="20"/>
                <w:szCs w:val="20"/>
                <w:color w:val="auto"/>
              </w:rPr>
            </w:pPr>
            <w:r>
              <w:rPr>
                <w:rFonts w:ascii="Arial" w:cs="Arial" w:eastAsia="Arial" w:hAnsi="Arial"/>
                <w:sz w:val="18"/>
                <w:szCs w:val="18"/>
                <w:color w:val="auto"/>
              </w:rPr>
              <w:t>24,970,957</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0"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0" w:lineRule="exact"/>
              <w:rPr>
                <w:sz w:val="20"/>
                <w:szCs w:val="20"/>
                <w:color w:val="auto"/>
              </w:rPr>
            </w:pPr>
            <w:r>
              <w:rPr>
                <w:rFonts w:ascii="Arial" w:cs="Arial" w:eastAsia="Arial" w:hAnsi="Arial"/>
                <w:sz w:val="18"/>
                <w:szCs w:val="18"/>
                <w:color w:val="auto"/>
              </w:rPr>
              <w:t>4.98</w:t>
            </w:r>
          </w:p>
        </w:tc>
        <w:tc>
          <w:tcPr>
            <w:tcW w:w="1700" w:type="dxa"/>
            <w:vAlign w:val="bottom"/>
            <w:gridSpan w:val="2"/>
            <w:shd w:val="clear" w:color="auto" w:fill="CFF0FC"/>
          </w:tcPr>
          <w:p>
            <w:pPr>
              <w:jc w:val="right"/>
              <w:spacing w:after="0" w:line="200" w:lineRule="exact"/>
              <w:rPr>
                <w:sz w:val="20"/>
                <w:szCs w:val="20"/>
                <w:color w:val="auto"/>
              </w:rPr>
            </w:pPr>
            <w:r>
              <w:rPr>
                <w:rFonts w:ascii="Arial" w:cs="Arial" w:eastAsia="Arial" w:hAnsi="Arial"/>
                <w:sz w:val="18"/>
                <w:szCs w:val="18"/>
                <w:color w:val="auto"/>
              </w:rPr>
              <w:t>8.12</w:t>
            </w:r>
          </w:p>
        </w:tc>
        <w:tc>
          <w:tcPr>
            <w:tcW w:w="560" w:type="dxa"/>
            <w:vAlign w:val="bottom"/>
            <w:gridSpan w:val="2"/>
            <w:shd w:val="clear" w:color="auto" w:fill="CFF0FC"/>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200" w:lineRule="exact"/>
              <w:rPr>
                <w:sz w:val="20"/>
                <w:szCs w:val="20"/>
                <w:color w:val="auto"/>
              </w:rPr>
            </w:pPr>
            <w:r>
              <w:rPr>
                <w:rFonts w:ascii="Arial" w:cs="Arial" w:eastAsia="Arial" w:hAnsi="Arial"/>
                <w:sz w:val="18"/>
                <w:szCs w:val="18"/>
                <w:color w:val="auto"/>
              </w:rPr>
              <w:t>4,412</w:t>
            </w:r>
          </w:p>
        </w:tc>
        <w:tc>
          <w:tcPr>
            <w:tcW w:w="100" w:type="dxa"/>
            <w:vAlign w:val="bottom"/>
            <w:shd w:val="clear" w:color="auto" w:fill="CFF0FC"/>
          </w:tcPr>
          <w:p>
            <w:pPr>
              <w:spacing w:after="0"/>
              <w:rPr>
                <w:sz w:val="17"/>
                <w:szCs w:val="17"/>
                <w:color w:val="auto"/>
              </w:rPr>
            </w:pP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12,255,945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(710,280 )</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Canceled</w:t>
            </w:r>
          </w:p>
        </w:tc>
        <w:tc>
          <w:tcPr>
            <w:tcW w:w="1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(2,605,901 )</w:t>
            </w: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4.80</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2024</w:t>
            </w: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33,910,721</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3.93</w:t>
            </w:r>
          </w:p>
        </w:tc>
        <w:tc>
          <w:tcPr>
            <w:tcW w:w="17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7.78</w:t>
            </w:r>
          </w:p>
        </w:tc>
        <w:tc>
          <w:tcPr>
            <w:tcW w:w="560" w:type="dxa"/>
            <w:vAlign w:val="bottom"/>
            <w:tcBorders>
              <w:bottom w:val="single" w:sz="8" w:color="CFF0FC"/>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4560" w:type="dxa"/>
            <w:vAlign w:val="bottom"/>
          </w:tcPr>
          <w:p>
            <w:pPr>
              <w:ind w:left="20"/>
              <w:spacing w:after="0" w:line="183" w:lineRule="exact"/>
              <w:rPr>
                <w:sz w:val="20"/>
                <w:szCs w:val="20"/>
                <w:color w:val="auto"/>
              </w:rPr>
            </w:pPr>
            <w:r>
              <w:rPr>
                <w:rFonts w:ascii="Arial" w:cs="Arial" w:eastAsia="Arial" w:hAnsi="Arial"/>
                <w:sz w:val="18"/>
                <w:szCs w:val="18"/>
                <w:color w:val="auto"/>
              </w:rPr>
              <w:t>Options exercisable at December 31, 2024</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17,883,912</w:t>
            </w:r>
          </w:p>
        </w:tc>
        <w:tc>
          <w:tcPr>
            <w:tcW w:w="28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4.58</w:t>
            </w:r>
          </w:p>
        </w:tc>
        <w:tc>
          <w:tcPr>
            <w:tcW w:w="17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7.00</w:t>
            </w:r>
          </w:p>
        </w:tc>
        <w:tc>
          <w:tcPr>
            <w:tcW w:w="560" w:type="dxa"/>
            <w:vAlign w:val="bottom"/>
            <w:gridSpan w:val="2"/>
          </w:tcPr>
          <w:p>
            <w:pPr>
              <w:jc w:val="right"/>
              <w:ind w:right="180"/>
              <w:spacing w:after="0" w:line="183"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83" w:lineRule="exact"/>
              <w:rPr>
                <w:sz w:val="20"/>
                <w:szCs w:val="20"/>
                <w:color w:val="auto"/>
              </w:rPr>
            </w:pPr>
            <w:r>
              <w:rPr>
                <w:rFonts w:ascii="Arial" w:cs="Arial" w:eastAsia="Arial" w:hAnsi="Arial"/>
                <w:sz w:val="18"/>
                <w:szCs w:val="18"/>
                <w:color w:val="auto"/>
              </w:rPr>
              <w:t>6,522</w:t>
            </w:r>
          </w:p>
        </w:tc>
        <w:tc>
          <w:tcPr>
            <w:tcW w:w="100" w:type="dxa"/>
            <w:vAlign w:val="bottom"/>
          </w:tcPr>
          <w:p>
            <w:pPr>
              <w:spacing w:after="0"/>
              <w:rPr>
                <w:sz w:val="15"/>
                <w:szCs w:val="15"/>
                <w:color w:val="auto"/>
              </w:rPr>
            </w:pPr>
          </w:p>
        </w:tc>
      </w:tr>
      <w:tr>
        <w:trPr>
          <w:trHeight w:val="20"/>
        </w:trPr>
        <w:tc>
          <w:tcPr>
            <w:tcW w:w="4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6026150" cy="179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26150" cy="179705"/>
                    </a:xfrm>
                    <a:prstGeom prst="rect">
                      <a:avLst/>
                    </a:prstGeom>
                    <a:noFill/>
                  </pic:spPr>
                </pic:pic>
              </a:graphicData>
            </a:graphic>
          </wp:anchor>
        </w:drawing>
      </w:r>
    </w:p>
    <w:p>
      <w:pPr>
        <w:spacing w:after="0" w:line="27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weighted-average grant date fair value of options granted for the years ended December 31, 2024 and 2023 was $1.31 and $2.70, respectively. As of December 31, 2024, the unrecognized compensation cost related to unvested stock option grants was $35.9 million and is expected to be recognized as expense over approximately 2.41 years. The intrinsic value of the options exercised for the years ended December 31, 2024 and 2023 was $1.1 million and $1.2 million, respectively.</w:t>
      </w:r>
    </w:p>
    <w:p>
      <w:pPr>
        <w:spacing w:after="0" w:line="16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Prior to the Company's IPO, certain individuals were granted the ability to early exercise their stock options. The shares of common stock issued from the early exercise of unvested stock options were restricted and continued to vest in accordance with the original vesting schedule. The Company had the option to repurchase any unvested shares at the original purchase price upon any voluntary or involuntary termination. The shares purchased by the employees and non-employees pursuant to the early exercise of stock options were not deemed, for accounting purposes, to be outstanding until those shares vested. The cash received in exchange for exercised and unvested shares related to stock options granted was recorded as a liability for the early exercise of stock options on the accompanying consolidated balance sheets and were transferred into common stock and additional paid-in capital as the shares vested. As of December 31, 2024 and 2023, there were zero shares and 371,876 shares subject to repurchase by the Company, respectively. As of December 31, 2024 and 2023, the Company recorded $0 and $464,000 of liabilities associated with shares issued with repurchase rights, respectively, which is recorded in accrued expenses and other current liabilities.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0" w:name="page151"/>
    <w:bookmarkEnd w:id="150"/>
    <w:p>
      <w:pPr>
        <w:ind w:right="120"/>
        <w:spacing w:after="0" w:line="271" w:lineRule="auto"/>
        <w:rPr>
          <w:sz w:val="20"/>
          <w:szCs w:val="20"/>
          <w:color w:val="auto"/>
        </w:rPr>
      </w:pPr>
      <w:r>
        <w:rPr>
          <w:rFonts w:ascii="Arial" w:cs="Arial" w:eastAsia="Arial" w:hAnsi="Arial"/>
          <w:sz w:val="18"/>
          <w:szCs w:val="18"/>
          <w:color w:val="auto"/>
        </w:rPr>
        <w:t>The assumptions used in the Black-Scholes option pricing model to determine the fair value of the employee and nonemployee stock option grants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4820" w:type="dxa"/>
            <w:vAlign w:val="bottom"/>
            <w:tcBorders>
              <w:bottom w:val="single" w:sz="8" w:color="auto"/>
            </w:tcBorders>
            <w:gridSpan w:val="3"/>
          </w:tcPr>
          <w:p>
            <w:pPr>
              <w:ind w:left="1420"/>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642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r>
      <w:tr>
        <w:trPr>
          <w:trHeight w:val="196"/>
        </w:trPr>
        <w:tc>
          <w:tcPr>
            <w:tcW w:w="6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23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3.56%-4.64%</w:t>
            </w:r>
          </w:p>
        </w:tc>
        <w:tc>
          <w:tcPr>
            <w:tcW w:w="2520" w:type="dxa"/>
            <w:vAlign w:val="bottom"/>
            <w:gridSpan w:val="2"/>
            <w:shd w:val="clear" w:color="auto" w:fill="CFF0FC"/>
          </w:tcPr>
          <w:p>
            <w:pPr>
              <w:jc w:val="center"/>
              <w:ind w:left="150"/>
              <w:spacing w:after="0" w:line="196" w:lineRule="exact"/>
              <w:rPr>
                <w:sz w:val="20"/>
                <w:szCs w:val="20"/>
                <w:color w:val="auto"/>
              </w:rPr>
            </w:pPr>
            <w:r>
              <w:rPr>
                <w:rFonts w:ascii="Arial" w:cs="Arial" w:eastAsia="Arial" w:hAnsi="Arial"/>
                <w:sz w:val="18"/>
                <w:szCs w:val="18"/>
                <w:color w:val="auto"/>
                <w:w w:val="99"/>
              </w:rPr>
              <w:t>3.46%-4.73%</w:t>
            </w:r>
          </w:p>
        </w:tc>
      </w:tr>
      <w:tr>
        <w:trPr>
          <w:trHeight w:val="203"/>
        </w:trPr>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2300" w:type="dxa"/>
            <w:vAlign w:val="bottom"/>
          </w:tcPr>
          <w:p>
            <w:pPr>
              <w:jc w:val="center"/>
              <w:spacing w:after="0" w:line="202" w:lineRule="exact"/>
              <w:rPr>
                <w:sz w:val="20"/>
                <w:szCs w:val="20"/>
                <w:color w:val="auto"/>
              </w:rPr>
            </w:pPr>
            <w:r>
              <w:rPr>
                <w:rFonts w:ascii="Arial" w:cs="Arial" w:eastAsia="Arial" w:hAnsi="Arial"/>
                <w:sz w:val="18"/>
                <w:szCs w:val="18"/>
                <w:color w:val="auto"/>
                <w:w w:val="99"/>
              </w:rPr>
              <w:t>81.36%-83.91%</w:t>
            </w:r>
          </w:p>
        </w:tc>
        <w:tc>
          <w:tcPr>
            <w:tcW w:w="252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99"/>
              </w:rPr>
              <w:t>82.01%-85.81%</w:t>
            </w:r>
          </w:p>
        </w:tc>
      </w:tr>
      <w:tr>
        <w:trPr>
          <w:trHeight w:val="203"/>
        </w:trPr>
        <w:tc>
          <w:tcPr>
            <w:tcW w:w="6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23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5.28-6.08</w:t>
            </w:r>
          </w:p>
        </w:tc>
        <w:tc>
          <w:tcPr>
            <w:tcW w:w="252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w w:val="99"/>
              </w:rPr>
              <w:t>5.50-6.08</w:t>
            </w:r>
          </w:p>
        </w:tc>
      </w:tr>
      <w:tr>
        <w:trPr>
          <w:trHeight w:val="239"/>
        </w:trPr>
        <w:tc>
          <w:tcPr>
            <w:tcW w:w="64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5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w:t>
            </w:r>
          </w:p>
        </w:tc>
      </w:tr>
    </w:tbl>
    <w:p>
      <w:pPr>
        <w:spacing w:after="0" w:line="26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Effective May 21, 2024, and in accordance with the terms of the 2021 Plan, the Company's board of directors approved a stock option repricing (the Option Repricing) whereby the exercise price of each Repriced Option (as defined below) was reduced to $2.35 per share, the closing stock price on May 21, 2024. For purposes of the Option Repricing, “Repriced Options” are 7,478,918 outstanding stock options as of May 21, 2024 (vested and unvested) granted under the 2021 Plan and held by those eligible employees of the Company identified by the Company's board of directors, excluding the Company’s Section 16 officers (the Chairman and Chief Executive Officer, the Chief Financial Officer and Chief Business Officer, the Chief Medical Officer, and the General Counsel) and the Company's board of directors.</w:t>
      </w:r>
    </w:p>
    <w:p>
      <w:pPr>
        <w:spacing w:after="0" w:line="16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To the extent a Repriced Option is exercised prior to the Premium End Date (as defined below), the eligible employee will be required to pay the original exercise price per share of the Repriced Options in connection with any exercise of the Repriced Option. The “Premium End Date” means the earliest of (i) May 21, 2026; (ii) the date of a change in control of the Company; (iii) the date of the eligible employee’s death or disability; or (iv) the date of the eligible employee’s termination without cause, provided that such termination without cause occurs after May 21, 2025. Except for the reduction in the exercise prices of the Repriced Options as described above, the Repriced Options will retain their existing terms and conditions as set forth in the 2021 Plan and the applicable award agreements. All repriced options will retain their original vesting schedule.</w:t>
      </w:r>
    </w:p>
    <w:p>
      <w:pPr>
        <w:spacing w:after="0" w:line="171"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The Option Repricing resulted in $1.1 million of incremental cost, which was calculated using the Black-Scholes option pricing model, of which $559,000 of the incremental cost will be recognized on a straight-line basis through the Premium End Date, and $558,000 of the incremental cost will be recognized on a straight-line basis over the greater of the period through the Premium End Date or the remaining service period. The incremental cost is included in general and administrative expense and research and development expense on the consolidated statements of operations and comprehensive loss.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9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July 2021, the Company’s board of directors adopted and the Company’s stockholders approved the ESPP, which became effective in connection with the IPO. The ESPP permits participants to contribute up to a specified percentage of their eligible compensation during a series of offering periods of 24 months, each comprised of four six-month purchase periods, to purchase the Company’s common stock. The purchase price of the shares will be 85% of the fair market value of the Company’s common stock on the first day of trading of the applicable offering period or on the applicable purchase date, whichever is lower. A total of 1,260,000 shares of common stock was initially reserved for issuance under the ESPP. In addition, the number of shares of common stock available for issuance under the ESPP may be increased annually on the first day of each calendar year during the term of the ESPP, beginning in 2022, by an amount equal to the lesser of (i) 1% of the shares of common stock outstanding on the final day of the immediately preceding calendar year or (ii) such smaller number of shares as determined by the Company’s board of directors or an authorized committee of the board of directors. The Company recognized stock-based compensation expense related to the ESPP of $839,000 and $1.5 million during the years ended December 31, 2024 and 2023, respectively. As of December 31, 2024, the unrecognized compensation cost related to the ESPP was $743,000 and is expected to be recognized as expense over approximately 1.05 years. As of December 31, 2024 and 2023, $50,000 and $46,000 has been withheld on behalf of employees for future purchase under the ESPP, respectively, and is included in accrued expenses and other current liabilities on the consolidated balance sheets. The Company issued and sold 510,729 and 388,933 shares under the ESPP during the years ended December 31, 2024 and 2023,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51" w:name="page152"/>
    <w:bookmarkEnd w:id="151"/>
    <w:p>
      <w:pPr>
        <w:ind w:right="300"/>
        <w:spacing w:after="0" w:line="271" w:lineRule="auto"/>
        <w:rPr>
          <w:sz w:val="20"/>
          <w:szCs w:val="20"/>
          <w:color w:val="auto"/>
        </w:rPr>
      </w:pPr>
      <w:r>
        <w:rPr>
          <w:rFonts w:ascii="Arial" w:cs="Arial" w:eastAsia="Arial" w:hAnsi="Arial"/>
          <w:sz w:val="18"/>
          <w:szCs w:val="18"/>
          <w:color w:val="auto"/>
        </w:rPr>
        <w:t>The assumptions used in the Black-Scholes option pricing model to determine the fair value of the stock to be purchased under the ESPP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4820" w:type="dxa"/>
            <w:vAlign w:val="bottom"/>
            <w:tcBorders>
              <w:bottom w:val="single" w:sz="8" w:color="auto"/>
            </w:tcBorders>
            <w:gridSpan w:val="3"/>
          </w:tcPr>
          <w:p>
            <w:pPr>
              <w:ind w:left="1420"/>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642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r>
      <w:tr>
        <w:trPr>
          <w:trHeight w:val="196"/>
        </w:trPr>
        <w:tc>
          <w:tcPr>
            <w:tcW w:w="6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23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4.24%-5.39%</w:t>
            </w:r>
          </w:p>
        </w:tc>
        <w:tc>
          <w:tcPr>
            <w:tcW w:w="2520" w:type="dxa"/>
            <w:vAlign w:val="bottom"/>
            <w:gridSpan w:val="2"/>
            <w:shd w:val="clear" w:color="auto" w:fill="CFF0FC"/>
          </w:tcPr>
          <w:p>
            <w:pPr>
              <w:jc w:val="center"/>
              <w:ind w:left="150"/>
              <w:spacing w:after="0" w:line="196" w:lineRule="exact"/>
              <w:rPr>
                <w:sz w:val="20"/>
                <w:szCs w:val="20"/>
                <w:color w:val="auto"/>
              </w:rPr>
            </w:pPr>
            <w:r>
              <w:rPr>
                <w:rFonts w:ascii="Arial" w:cs="Arial" w:eastAsia="Arial" w:hAnsi="Arial"/>
                <w:sz w:val="18"/>
                <w:szCs w:val="18"/>
                <w:color w:val="auto"/>
                <w:w w:val="99"/>
              </w:rPr>
              <w:t>4.43%-5.36%</w:t>
            </w:r>
          </w:p>
        </w:tc>
      </w:tr>
      <w:tr>
        <w:trPr>
          <w:trHeight w:val="203"/>
        </w:trPr>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2300" w:type="dxa"/>
            <w:vAlign w:val="bottom"/>
          </w:tcPr>
          <w:p>
            <w:pPr>
              <w:jc w:val="center"/>
              <w:spacing w:after="0" w:line="202" w:lineRule="exact"/>
              <w:rPr>
                <w:sz w:val="20"/>
                <w:szCs w:val="20"/>
                <w:color w:val="auto"/>
              </w:rPr>
            </w:pPr>
            <w:r>
              <w:rPr>
                <w:rFonts w:ascii="Arial" w:cs="Arial" w:eastAsia="Arial" w:hAnsi="Arial"/>
                <w:sz w:val="18"/>
                <w:szCs w:val="18"/>
                <w:color w:val="auto"/>
                <w:w w:val="99"/>
              </w:rPr>
              <w:t>68.73%-74.72%</w:t>
            </w:r>
          </w:p>
        </w:tc>
        <w:tc>
          <w:tcPr>
            <w:tcW w:w="252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99"/>
              </w:rPr>
              <w:t>70.00%-82.79%</w:t>
            </w:r>
          </w:p>
        </w:tc>
      </w:tr>
      <w:tr>
        <w:trPr>
          <w:trHeight w:val="203"/>
        </w:trPr>
        <w:tc>
          <w:tcPr>
            <w:tcW w:w="6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23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0.49-2.00</w:t>
            </w:r>
          </w:p>
        </w:tc>
        <w:tc>
          <w:tcPr>
            <w:tcW w:w="252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w w:val="99"/>
              </w:rPr>
              <w:t>0.49-1.99</w:t>
            </w:r>
          </w:p>
        </w:tc>
      </w:tr>
      <w:tr>
        <w:trPr>
          <w:trHeight w:val="239"/>
        </w:trPr>
        <w:tc>
          <w:tcPr>
            <w:tcW w:w="64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5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stock-based compensation for all stock awards was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6"/>
        </w:trPr>
        <w:tc>
          <w:tcPr>
            <w:tcW w:w="640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5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r>
      <w:tr>
        <w:trPr>
          <w:trHeight w:val="209"/>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320" w:type="dxa"/>
            <w:vAlign w:val="bottom"/>
            <w:shd w:val="clear" w:color="auto" w:fill="CFF0FC"/>
          </w:tcPr>
          <w:p>
            <w:pPr>
              <w:jc w:val="right"/>
              <w:ind w:right="1133"/>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13,286</w:t>
            </w:r>
          </w:p>
        </w:tc>
        <w:tc>
          <w:tcPr>
            <w:tcW w:w="120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13,972</w:t>
            </w:r>
          </w:p>
        </w:tc>
        <w:tc>
          <w:tcPr>
            <w:tcW w:w="100" w:type="dxa"/>
            <w:vAlign w:val="bottom"/>
            <w:shd w:val="clear" w:color="auto" w:fill="CFF0FC"/>
          </w:tcPr>
          <w:p>
            <w:pPr>
              <w:spacing w:after="0"/>
              <w:rPr>
                <w:sz w:val="18"/>
                <w:szCs w:val="18"/>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13,687</w:t>
            </w:r>
          </w:p>
        </w:tc>
        <w:tc>
          <w:tcPr>
            <w:tcW w:w="3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12,259</w:t>
            </w:r>
          </w:p>
        </w:tc>
        <w:tc>
          <w:tcPr>
            <w:tcW w:w="100" w:type="dxa"/>
            <w:vAlign w:val="bottom"/>
          </w:tcPr>
          <w:p>
            <w:pPr>
              <w:spacing w:after="0"/>
              <w:rPr>
                <w:sz w:val="19"/>
                <w:szCs w:val="19"/>
                <w:color w:val="auto"/>
              </w:rPr>
            </w:pPr>
          </w:p>
        </w:tc>
      </w:tr>
      <w:tr>
        <w:trPr>
          <w:trHeight w:val="236"/>
        </w:trPr>
        <w:tc>
          <w:tcPr>
            <w:tcW w:w="6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FF0FC"/>
          </w:tcPr>
          <w:p>
            <w:pPr>
              <w:jc w:val="right"/>
              <w:ind w:right="1133"/>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26,973</w:t>
            </w:r>
          </w:p>
        </w:tc>
        <w:tc>
          <w:tcPr>
            <w:tcW w:w="3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26,231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98"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 Company has facility leases for laboratory and office space under non-cancellable and cancellable operating leases with various expiration dates through 2032 and equipment under a non-cancellable operating lease with a term expiring in 2026.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Lease costs were comprised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764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cost</w:t>
            </w:r>
          </w:p>
        </w:tc>
        <w:tc>
          <w:tcPr>
            <w:tcW w:w="1000" w:type="dxa"/>
            <w:vAlign w:val="bottom"/>
            <w:shd w:val="clear" w:color="auto" w:fill="CFF0FC"/>
          </w:tcPr>
          <w:p>
            <w:pPr>
              <w:jc w:val="right"/>
              <w:ind w:right="815"/>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8,020</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3"/>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7,644</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Variable lease cost</w:t>
            </w:r>
          </w:p>
        </w:tc>
        <w:tc>
          <w:tcPr>
            <w:tcW w:w="10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3,704</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3,731</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10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(1,288 )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764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Total lease cost</w:t>
            </w:r>
          </w:p>
        </w:tc>
        <w:tc>
          <w:tcPr>
            <w:tcW w:w="1000" w:type="dxa"/>
            <w:vAlign w:val="bottom"/>
            <w:tcBorders>
              <w:top w:val="single" w:sz="8" w:color="auto"/>
              <w:bottom w:val="single" w:sz="8" w:color="auto"/>
            </w:tcBorders>
          </w:tcPr>
          <w:p>
            <w:pPr>
              <w:jc w:val="right"/>
              <w:ind w:right="815"/>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10,436</w:t>
            </w:r>
          </w:p>
        </w:tc>
        <w:tc>
          <w:tcPr>
            <w:tcW w:w="320" w:type="dxa"/>
            <w:vAlign w:val="bottom"/>
            <w:tcBorders>
              <w:top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793"/>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11,375</w:t>
            </w:r>
          </w:p>
        </w:tc>
        <w:tc>
          <w:tcPr>
            <w:tcW w:w="100" w:type="dxa"/>
            <w:vAlign w:val="bottom"/>
            <w:tcBorders>
              <w:top w:val="single" w:sz="8" w:color="CFF0FC"/>
            </w:tcBorders>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-161925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400"/>
        <w:spacing w:after="0" w:line="271" w:lineRule="auto"/>
        <w:rPr>
          <w:sz w:val="20"/>
          <w:szCs w:val="20"/>
          <w:color w:val="auto"/>
        </w:rPr>
      </w:pPr>
      <w:r>
        <w:rPr>
          <w:rFonts w:ascii="Arial" w:cs="Arial" w:eastAsia="Arial" w:hAnsi="Arial"/>
          <w:sz w:val="18"/>
          <w:szCs w:val="18"/>
          <w:color w:val="auto"/>
        </w:rPr>
        <w:t>The Company paid $7.8 million and $6.9 million in cash for operating leases, net of cash received from subleases, that is included in the operating activities section of the consolidated statements of cash flows for the years ended December 31, 2024 and 2023, respectively.</w:t>
      </w:r>
    </w:p>
    <w:p>
      <w:pPr>
        <w:spacing w:after="0" w:line="14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weighted-average remaining lease term and the weighted-average discount rate of the Company’s operating leases were 7.33 years and 8.97%, respectively, at December 31, 2024. The weighted-average remaining lease term and the weighted-average discount rate of the Company’s operating leases were 8.29 years and 8.95%, respectively, at December 31, 2023. The weighted-average remaining lease term does not include any renewal options at the election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agreements do not contain any material residual value guarantees or material restrictive covenants.</w:t>
      </w:r>
    </w:p>
    <w:p>
      <w:pPr>
        <w:spacing w:after="0" w:line="19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Facility leases</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September 2020, the Company entered into a lease agreement for 59,407 square feet of laboratory and office space in San Diego, California, which represented a portion of a new facility that was under construction and which was subsequently amended in March 2021 to expand the rented premises by 18,421 square feet (the 2020 Lease). The construction and design of the asset was the primary responsibility of the lessor. The Company was involved in certain aspects of construction and design for certain interior features and leasehold improvements that is beneficial to the Company to better suit its business needs and intended purpose of the space. The lease is accounted for as an operating lease and commenced in August 2021. In April 2022, the 2020 Lease was modified to amend the rent commencement date from February 2022 to May 2022. The 2020 Lease, as amended, has a term of 10.75 years and includes aggregate monthly payments to the lessor of approximately $51.6 million beginning in May 2023 with a rent escalation clause, and a tenant improvement allowance of approximately $16.8 million. The Company is responsible for its share of operating expenses based on actual operating expenses incurred by the landlord. The 2020 Lease is cancellable at the Company’s request after the 84th month with 12 months written notice and a lump-sum cancellation payment of $2.5 million. The termination option has not been included in the Company's operating lease assets and liabilities. As discussed in Note 2, the Company provided a letter of credit to the lessor for $408,000, which expires July 29, 2032.</w:t>
      </w:r>
    </w:p>
    <w:p>
      <w:pPr>
        <w:spacing w:after="0" w:line="16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December 2021, the Company entered into a lease agreement for 29,542 square feet of office and laboratory space in South San Francisco, California. The lease is accounted for as an operating lease with the associated operating lease assets and liabilities recorded upon commencement, which occurred in July 2022. The non-cancellable operating lease has an initial term of 124 months with an option to extend the lease term by 5 years at the then-current market rates and includes aggregate monthly payments to the lessor of approximately $34.4 million beginning in November 2022 with a rent escalation clause and a tenant improvement allowance of approximately $8.2 million. The renewal option has not been included in the Company's operating lease assets and liabilities. The Company is responsible for its share of operating expenses based on actual operating expenses incurred by the landlord. The construction and design of the tenant improvements was the primary responsibility of the lessor. While the Company was involved in certain aspects of construction and design for certain interior features and leasehold improvements that is beneficial to the Company to better suit its business needs and intended purpose of the space, all construction was handled directly by the landlord. The Company was not deemed to be the accounting owner of the tenant improvements prior to or after the construction period. All payments made by the Company for landlord-owned tenant improvements were recorded as prepaid rent on the consolidated balance sheets prior to lease commencement and included in the operating lease asset upon lease commencement. In February 2022, the expected project costs exceeded the tenant improvement allowances by $5.1 million, which was paid directly to the landlord by the Company and was recorded as prepaid rent in the consolidated balance sheets and as a cash outflow from operating activities in the consolidated statements of cash flows. Upon lease commencement, the $5.1 million of prepaid rent was included in the operating lease asset. The Company paid a security deposit of $874,000 in December 2021 that was recorded as other assets in the consolidated balance sheets.</w:t>
      </w:r>
    </w:p>
    <w:p>
      <w:pPr>
        <w:spacing w:after="0" w:line="17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January 2024, the Company entered into an agreement to sublease the second floor of its corporate headquarters in San Diego, California. Pursuant to the agreement, the subleased space is approximately 10,000 square feet of office space with a sublease term of three years which includes an option for the subtenant to renew for an additional year and an early termination clause. In November 2024, the Company received notice of the subtenant’s exercise of the early termination clause. As a result of the subtenant's exercise of the early termination clause, the term of this sublease will end on January 31, 2026. In July 2024, the Company executed an agreement to sublease the first floor of its corporate headquarters. Pursuant to the agreement, the subleased space is 18,421 square feet of office space with a sublease term of 61 months beginning in October 2024, and early access in August 2024. The agreement includes an option for the subtenant to renew for an additional year and an early termination clause. In September 2024, the Company entered into an agreement to sublease a portion of the third floor of its corporate headquarters in San Diego, California. Pursuant to the agreement, the subleased space is approximately 5,000 square feet of laboratory space with a sublease term of one year which includes an option for the subtenant to renew for an additional year.</w:t>
      </w:r>
    </w:p>
    <w:p>
      <w:pPr>
        <w:spacing w:after="0" w:line="17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Company determined the subleases to be operating leases. Therefore, the Company recognizes sublease income on a straight-line basis over the lease term in its consolidated statements of operations and comprehensive loss as a reduction to lease costs because the subleases are outside of the Company's normal business operations. The Company will continue to account for the operating lease assets and related liabilities of the original lease as it did prior to the commencement of the subleases. The Company recorded a reduction to lease costs of $1.3 million related to income from these subleases during the year ended December 31, 2024.</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53" w:name="page154"/>
    <w:bookmarkEnd w:id="153"/>
    <w:p>
      <w:pPr>
        <w:ind w:right="160"/>
        <w:spacing w:after="0" w:line="238" w:lineRule="auto"/>
        <w:rPr>
          <w:sz w:val="20"/>
          <w:szCs w:val="20"/>
          <w:color w:val="auto"/>
        </w:rPr>
      </w:pPr>
      <w:r>
        <w:rPr>
          <w:rFonts w:ascii="Arial" w:cs="Arial" w:eastAsia="Arial" w:hAnsi="Arial"/>
          <w:sz w:val="18"/>
          <w:szCs w:val="18"/>
          <w:color w:val="auto"/>
        </w:rPr>
        <w:t>In connection with committing to the plan to sublease the first floor in June 2024, the Company reassessed its asset groups for testing long-lived assets for impairment and determined the first floor operating lease assets and related property and equipment represented an asset group separate from the entity wide asset group. The Company concluded that the carrying value of the first floor asset group was not recoverable as it exceeded the future net undiscounted cash flows that are expected to be generated from the use and eventual disposition of the assets within the asset group. The Company determined the fair value of the first floor asset group based on the income approach using a discounted cash flow model. The cash flows used in the model were discounted using a rate of 13.5%. Based on this analysis, the Company recognized a noncash impairment charge of $4.7 million, including $2.4 million for the operating lease assets and $2.3 million for the leasehold improvements and furniture, of which $3.0 million was recorded to research and development expense and $1.7 million was recorded to general and administrative expense, during the year ended December 31, 2024. This represented a Level 3 nonrecurring fair value measurement. Calculating the fair value of the asset group involves significant estimates and assumptions, including projected future cash flows and a discount rate. Changes in the estimates and assumptions used could materially affect the amount of impairment loss recognized in the period the asset group is considered impaired.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and sublease receipts under operating leases as of December 31, 2024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Operating Lease</w:t>
            </w:r>
          </w:p>
        </w:tc>
        <w:tc>
          <w:tcPr>
            <w:tcW w:w="1700" w:type="dxa"/>
            <w:vAlign w:val="bottom"/>
            <w:gridSpan w:val="3"/>
          </w:tcPr>
          <w:p>
            <w:pPr>
              <w:ind w:left="20"/>
              <w:spacing w:after="0"/>
              <w:rPr>
                <w:sz w:val="20"/>
                <w:szCs w:val="20"/>
                <w:color w:val="auto"/>
              </w:rPr>
            </w:pPr>
            <w:r>
              <w:rPr>
                <w:rFonts w:ascii="Arial" w:cs="Arial" w:eastAsia="Arial" w:hAnsi="Arial"/>
                <w:sz w:val="16"/>
                <w:szCs w:val="16"/>
                <w:b w:val="1"/>
                <w:bCs w:val="1"/>
                <w:color w:val="auto"/>
              </w:rPr>
              <w:t>Operating Sublease</w:t>
            </w:r>
          </w:p>
        </w:tc>
      </w:tr>
      <w:tr>
        <w:trPr>
          <w:trHeight w:val="203"/>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Payments</w:t>
            </w:r>
          </w:p>
        </w:tc>
        <w:tc>
          <w:tcPr>
            <w:tcW w:w="280" w:type="dxa"/>
            <w:vAlign w:val="bottom"/>
          </w:tcPr>
          <w:p>
            <w:pPr>
              <w:spacing w:after="0"/>
              <w:rPr>
                <w:sz w:val="17"/>
                <w:szCs w:val="17"/>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Receipts</w:t>
            </w:r>
          </w:p>
        </w:tc>
      </w:tr>
      <w:tr>
        <w:trPr>
          <w:trHeight w:val="196"/>
        </w:trPr>
        <w:tc>
          <w:tcPr>
            <w:tcW w:w="7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Year ending December 31,</w:t>
            </w:r>
          </w:p>
        </w:tc>
        <w:tc>
          <w:tcPr>
            <w:tcW w:w="2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4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9,024</w:t>
            </w:r>
          </w:p>
        </w:tc>
        <w:tc>
          <w:tcPr>
            <w:tcW w:w="320" w:type="dxa"/>
            <w:vAlign w:val="bottom"/>
          </w:tcPr>
          <w:p>
            <w:pPr>
              <w:spacing w:after="0"/>
              <w:rPr>
                <w:sz w:val="17"/>
                <w:szCs w:val="17"/>
                <w:color w:val="auto"/>
              </w:rPr>
            </w:pPr>
          </w:p>
        </w:tc>
        <w:tc>
          <w:tcPr>
            <w:tcW w:w="2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2,582</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9,170</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1,409</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line="202" w:lineRule="exact"/>
              <w:rPr>
                <w:sz w:val="20"/>
                <w:szCs w:val="20"/>
                <w:color w:val="auto"/>
              </w:rPr>
            </w:pPr>
            <w:r>
              <w:rPr>
                <w:rFonts w:ascii="Arial" w:cs="Arial" w:eastAsia="Arial" w:hAnsi="Arial"/>
                <w:sz w:val="18"/>
                <w:szCs w:val="18"/>
                <w:color w:val="auto"/>
              </w:rPr>
              <w:t>2027</w:t>
            </w:r>
          </w:p>
        </w:tc>
        <w:tc>
          <w:tcPr>
            <w:tcW w:w="2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9,199</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1,406</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2028</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9,277</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line="202" w:lineRule="exact"/>
              <w:rPr>
                <w:sz w:val="20"/>
                <w:szCs w:val="20"/>
                <w:color w:val="auto"/>
              </w:rPr>
            </w:pPr>
            <w:r>
              <w:rPr>
                <w:rFonts w:ascii="Arial" w:cs="Arial" w:eastAsia="Arial" w:hAnsi="Arial"/>
                <w:sz w:val="18"/>
                <w:szCs w:val="18"/>
                <w:color w:val="auto"/>
              </w:rPr>
              <w:t>2029</w:t>
            </w:r>
          </w:p>
        </w:tc>
        <w:tc>
          <w:tcPr>
            <w:tcW w:w="2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9,572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1,237</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Thereafter</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25,526</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774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Total lease payments or sublease receipts</w:t>
            </w:r>
          </w:p>
        </w:tc>
        <w:tc>
          <w:tcPr>
            <w:tcW w:w="240" w:type="dxa"/>
            <w:vAlign w:val="bottom"/>
            <w:tcBorders>
              <w:top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71,768</w:t>
            </w:r>
          </w:p>
        </w:tc>
        <w:tc>
          <w:tcPr>
            <w:tcW w:w="3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8,082</w:t>
            </w:r>
          </w:p>
        </w:tc>
        <w:tc>
          <w:tcPr>
            <w:tcW w:w="100" w:type="dxa"/>
            <w:vAlign w:val="bottom"/>
            <w:tcBorders>
              <w:top w:val="single" w:sz="8" w:color="CFF0FC"/>
            </w:tcBorders>
          </w:tcPr>
          <w:p>
            <w:pPr>
              <w:spacing w:after="0"/>
              <w:rPr>
                <w:sz w:val="17"/>
                <w:szCs w:val="17"/>
                <w:color w:val="auto"/>
              </w:rPr>
            </w:pPr>
          </w:p>
        </w:tc>
      </w:tr>
      <w:tr>
        <w:trPr>
          <w:trHeight w:val="203"/>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Amount representing interest</w:t>
            </w:r>
          </w:p>
        </w:tc>
        <w:tc>
          <w:tcPr>
            <w:tcW w:w="2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(19,879 )</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7740" w:type="dxa"/>
            <w:vAlign w:val="bottom"/>
            <w:tcBorders>
              <w:top w:val="single" w:sz="8" w:color="CFF0FC"/>
            </w:tcBorders>
          </w:tcPr>
          <w:p>
            <w:pPr>
              <w:ind w:left="280"/>
              <w:spacing w:after="0" w:line="182" w:lineRule="exact"/>
              <w:rPr>
                <w:sz w:val="20"/>
                <w:szCs w:val="20"/>
                <w:color w:val="auto"/>
              </w:rPr>
            </w:pPr>
            <w:r>
              <w:rPr>
                <w:rFonts w:ascii="Arial" w:cs="Arial" w:eastAsia="Arial" w:hAnsi="Arial"/>
                <w:sz w:val="18"/>
                <w:szCs w:val="18"/>
                <w:color w:val="auto"/>
              </w:rPr>
              <w:t>Operating lease liabilities</w:t>
            </w:r>
          </w:p>
        </w:tc>
        <w:tc>
          <w:tcPr>
            <w:tcW w:w="240" w:type="dxa"/>
            <w:vAlign w:val="bottom"/>
            <w:tcBorders>
              <w:top w:val="single" w:sz="8" w:color="auto"/>
              <w:bottom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51,889</w:t>
            </w:r>
          </w:p>
        </w:tc>
        <w:tc>
          <w:tcPr>
            <w:tcW w:w="32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3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-427990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-162560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such liabilities have been accrued.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reprioritization</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May 2024, in connection with the execution of the Joyo License Agreement and the Medshine License Agreement, the Company approved a strategic reprioritization to focus a substantial portion of the Company’s resources on its naporafenib program, its ERAS-0015 product candidate, which is the lead candidate from the Joyo License Agreement, and its ERAS-4001 product candidate, which is the lead candidate from the Medshine License Agreement. The Company deprioritized its HERKULES-3 clinical trial evaluating ERAS-007 in combination with encorafenib and cetuximab (EC) in patients with EC-naïve BRAFm colorectal cancer, its THUNDERBBOLT-1 clinical trial evaluating ERAS-801 in patients with recurrent glioblastoma, and its ERAS-4 pan-KRAS program. The Company is exploring further advancement of the ERAS-801 program, including via partnerships and select investigator-sponsored trials, and certain of the existing ERAS-4 molecules may serve as backup compounds for ERAS-4001. In connection with this strategic reprioritization, the Company also approved a reduction in the Company’s workforce by approximately 18%, primarily affecting employees working in certain drug discovery functions or on the deprioritized programs and trials. As a result, the Company recognized $2.2 million in total charges during the year ended December 31, 2024 in the consolidated statements of operations and comprehensive loss based upon the underlying employees’ role within the Company in connection with the reduction in force. These charges consisted primarily of one-time cash charges for termination benefits which were substantially all paid in June 2024.</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Note 13.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 provision for federal, state or foreign income taxes has been recorded for the years ended December 31, 2024 and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and 2023 were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7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Net operating loss carryforwards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70,057</w:t>
            </w:r>
          </w:p>
        </w:tc>
        <w:tc>
          <w:tcPr>
            <w:tcW w:w="3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59,326</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Intangible assets</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27,915</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25,274</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Capitalized research and development costs</w:t>
            </w: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48,795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35,711</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10,935</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11,767</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Research and development credits</w:t>
            </w: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19,893</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14,956</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Contribution of common stock</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3,263</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3,262</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6,986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4,007</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net</w:t>
            </w:r>
          </w:p>
        </w:tc>
        <w:tc>
          <w:tcPr>
            <w:tcW w:w="2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2,417</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190,261</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156,319</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7"/>
                <w:szCs w:val="17"/>
                <w:color w:val="auto"/>
              </w:rPr>
            </w:pPr>
          </w:p>
        </w:tc>
        <w:tc>
          <w:tcPr>
            <w:tcW w:w="1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(3,366 )</w:t>
            </w:r>
          </w:p>
        </w:tc>
        <w:tc>
          <w:tcPr>
            <w:tcW w:w="180" w:type="dxa"/>
            <w:vAlign w:val="bottom"/>
          </w:tcPr>
          <w:p>
            <w:pPr>
              <w:spacing w:after="0"/>
              <w:rPr>
                <w:sz w:val="17"/>
                <w:szCs w:val="17"/>
                <w:color w:val="auto"/>
              </w:rPr>
            </w:pPr>
          </w:p>
        </w:tc>
        <w:tc>
          <w:tcPr>
            <w:tcW w:w="1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(4,511 )</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Operating lease assets</w:t>
            </w:r>
          </w:p>
        </w:tc>
        <w:tc>
          <w:tcPr>
            <w:tcW w:w="2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(6,789 )</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(7,975 )</w:t>
            </w:r>
          </w:p>
        </w:tc>
      </w:tr>
      <w:tr>
        <w:trPr>
          <w:trHeight w:val="20"/>
        </w:trPr>
        <w:tc>
          <w:tcPr>
            <w:tcW w:w="7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liabilities</w:t>
            </w:r>
          </w:p>
        </w:tc>
        <w:tc>
          <w:tcPr>
            <w:tcW w:w="200" w:type="dxa"/>
            <w:vAlign w:val="bottom"/>
          </w:tcPr>
          <w:p>
            <w:pPr>
              <w:spacing w:after="0"/>
              <w:rPr>
                <w:sz w:val="17"/>
                <w:szCs w:val="17"/>
                <w:color w:val="auto"/>
              </w:rPr>
            </w:pPr>
          </w:p>
        </w:tc>
        <w:tc>
          <w:tcPr>
            <w:tcW w:w="16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(10,155 )</w:t>
            </w:r>
          </w:p>
        </w:tc>
        <w:tc>
          <w:tcPr>
            <w:tcW w:w="180" w:type="dxa"/>
            <w:vAlign w:val="bottom"/>
          </w:tcPr>
          <w:p>
            <w:pPr>
              <w:spacing w:after="0"/>
              <w:rPr>
                <w:sz w:val="17"/>
                <w:szCs w:val="17"/>
                <w:color w:val="auto"/>
              </w:rPr>
            </w:pPr>
          </w:p>
        </w:tc>
        <w:tc>
          <w:tcPr>
            <w:tcW w:w="15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(12,486 )</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Valuation allowance</w:t>
            </w:r>
          </w:p>
        </w:tc>
        <w:tc>
          <w:tcPr>
            <w:tcW w:w="2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(180,106 )</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(143,833 )</w:t>
            </w:r>
          </w:p>
        </w:tc>
      </w:tr>
      <w:tr>
        <w:trPr>
          <w:trHeight w:val="196"/>
        </w:trPr>
        <w:tc>
          <w:tcPr>
            <w:tcW w:w="768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Net deferred tax assets</w:t>
            </w:r>
          </w:p>
        </w:tc>
        <w:tc>
          <w:tcPr>
            <w:tcW w:w="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-959485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-427990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-162560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 The Company has recorded a full valuation allowance of $180.1 million as of December 31, 2024, as it does not believe it is more likely than not that the deferred tax assets will be realized primarily due to the generation of pre-tax book losses, the lack of feasible tax-planning strategies, the limited existing taxable temporary differences, and the subjective nature of forecasting future taxable income into the future. The Company increased its valuation allowance by $36.3 million during the year ended December 31,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federal statutory income tax rate and the Company’s effective income tax rate is as follows:</w:t>
      </w:r>
    </w:p>
    <w:p>
      <w:pPr>
        <w:spacing w:after="0" w:line="216"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6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7"/>
                <w:szCs w:val="17"/>
                <w:color w:val="auto"/>
              </w:rPr>
            </w:pPr>
          </w:p>
        </w:tc>
      </w:tr>
      <w:tr>
        <w:trPr>
          <w:trHeight w:val="196"/>
        </w:trPr>
        <w:tc>
          <w:tcPr>
            <w:tcW w:w="86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statutory income tax rate</w:t>
            </w:r>
          </w:p>
        </w:tc>
        <w:tc>
          <w:tcPr>
            <w:tcW w:w="8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21.0 %</w:t>
            </w:r>
          </w:p>
        </w:tc>
        <w:tc>
          <w:tcPr>
            <w:tcW w:w="17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21.0 %</w:t>
            </w:r>
          </w:p>
        </w:tc>
      </w:tr>
      <w:tr>
        <w:trPr>
          <w:trHeight w:val="203"/>
        </w:trPr>
        <w:tc>
          <w:tcPr>
            <w:tcW w:w="8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340" w:type="dxa"/>
            <w:vAlign w:val="bottom"/>
          </w:tcPr>
          <w:p>
            <w:pPr>
              <w:spacing w:after="0"/>
              <w:rPr>
                <w:sz w:val="17"/>
                <w:szCs w:val="17"/>
                <w:color w:val="auto"/>
              </w:rPr>
            </w:pPr>
          </w:p>
        </w:tc>
        <w:tc>
          <w:tcPr>
            <w:tcW w:w="1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(9.8 )</w:t>
            </w:r>
          </w:p>
        </w:tc>
      </w:tr>
      <w:tr>
        <w:trPr>
          <w:trHeight w:val="203"/>
        </w:trPr>
        <w:tc>
          <w:tcPr>
            <w:tcW w:w="86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8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(22.5 )</w:t>
            </w:r>
          </w:p>
        </w:tc>
        <w:tc>
          <w:tcPr>
            <w:tcW w:w="17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(11.1 )</w:t>
            </w:r>
          </w:p>
        </w:tc>
      </w:tr>
      <w:tr>
        <w:trPr>
          <w:trHeight w:val="203"/>
        </w:trPr>
        <w:tc>
          <w:tcPr>
            <w:tcW w:w="8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permanent differences</w:t>
            </w: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(1.7 )</w:t>
            </w:r>
          </w:p>
        </w:tc>
        <w:tc>
          <w:tcPr>
            <w:tcW w:w="1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(1.6 )</w:t>
            </w:r>
          </w:p>
        </w:tc>
      </w:tr>
      <w:tr>
        <w:trPr>
          <w:trHeight w:val="203"/>
        </w:trPr>
        <w:tc>
          <w:tcPr>
            <w:tcW w:w="86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 credits</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w:t>
            </w:r>
          </w:p>
        </w:tc>
        <w:tc>
          <w:tcPr>
            <w:tcW w:w="3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7"/>
                <w:szCs w:val="17"/>
                <w:color w:val="auto"/>
              </w:rPr>
            </w:pPr>
          </w:p>
        </w:tc>
      </w:tr>
      <w:tr>
        <w:trPr>
          <w:trHeight w:val="203"/>
        </w:trPr>
        <w:tc>
          <w:tcPr>
            <w:tcW w:w="8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State net operating loss</w:t>
            </w: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(0.4 )</w:t>
            </w: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0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(0.6 )</w:t>
            </w:r>
          </w:p>
        </w:tc>
        <w:tc>
          <w:tcPr>
            <w:tcW w:w="17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(3.1 )</w:t>
            </w:r>
          </w:p>
        </w:tc>
      </w:tr>
      <w:tr>
        <w:trPr>
          <w:trHeight w:val="20"/>
        </w:trPr>
        <w:tc>
          <w:tcPr>
            <w:tcW w:w="75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7560" w:type="dxa"/>
            <w:vAlign w:val="bottom"/>
          </w:tcPr>
          <w:p>
            <w:pPr>
              <w:ind w:left="20"/>
              <w:spacing w:after="0" w:line="182" w:lineRule="exact"/>
              <w:rPr>
                <w:sz w:val="20"/>
                <w:szCs w:val="20"/>
                <w:color w:val="auto"/>
              </w:rPr>
            </w:pPr>
            <w:r>
              <w:rPr>
                <w:rFonts w:ascii="Arial" w:cs="Arial" w:eastAsia="Arial" w:hAnsi="Arial"/>
                <w:sz w:val="18"/>
                <w:szCs w:val="18"/>
                <w:color w:val="auto"/>
              </w:rPr>
              <w:t>Effective income tax rate</w:t>
            </w:r>
          </w:p>
        </w:tc>
        <w:tc>
          <w:tcPr>
            <w:tcW w:w="1080" w:type="dxa"/>
            <w:vAlign w:val="bottom"/>
          </w:tcPr>
          <w:p>
            <w:pPr>
              <w:spacing w:after="0"/>
              <w:rPr>
                <w:sz w:val="17"/>
                <w:szCs w:val="17"/>
                <w:color w:val="auto"/>
              </w:rPr>
            </w:pPr>
          </w:p>
        </w:tc>
        <w:tc>
          <w:tcPr>
            <w:tcW w:w="84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 %</w:t>
            </w:r>
          </w:p>
        </w:tc>
        <w:tc>
          <w:tcPr>
            <w:tcW w:w="17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 %</w:t>
            </w:r>
          </w:p>
        </w:tc>
      </w:tr>
      <w:tr>
        <w:trPr>
          <w:trHeight w:val="20"/>
        </w:trPr>
        <w:tc>
          <w:tcPr>
            <w:tcW w:w="7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-162560</wp:posOffset>
            </wp:positionV>
            <wp:extent cx="12001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-162560</wp:posOffset>
            </wp:positionV>
            <wp:extent cx="12001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6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At December 31, 2024, the Company had federal, California, and other state net operating loss (NOL) carryforwards of $251.8 million, $243.1 million, and $3.3 million, respectively. The federal NOL carryforwards will carryforward indefinitely and can offset 80% of future taxable income each year, the California NOL carryforwards begin to expire in 2038, and the other state NOL carryforwards begin to expire in 2036.</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55" w:name="page156"/>
    <w:bookmarkEnd w:id="155"/>
    <w:p>
      <w:pPr>
        <w:ind w:right="260"/>
        <w:spacing w:after="0" w:line="247" w:lineRule="auto"/>
        <w:rPr>
          <w:sz w:val="20"/>
          <w:szCs w:val="20"/>
          <w:color w:val="auto"/>
        </w:rPr>
      </w:pPr>
      <w:r>
        <w:rPr>
          <w:rFonts w:ascii="Arial" w:cs="Arial" w:eastAsia="Arial" w:hAnsi="Arial"/>
          <w:sz w:val="18"/>
          <w:szCs w:val="18"/>
          <w:color w:val="auto"/>
        </w:rPr>
        <w:t>At December 31, 2024, the Company also had federal, California, and Massachusetts research tax credit carryforwards of approximately $16.0 million, $9.0 million, and $717,000, respectively. The federal research tax credit carryforwards begin to expire in 2038, the California research tax credit carryforward does not expire and can be carried forward indefinitely until utilized, and the Massachusetts research tax credit carryforwards begin to expire in 2036.</w:t>
      </w:r>
    </w:p>
    <w:p>
      <w:pPr>
        <w:spacing w:after="0" w:line="160"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At December 31, 2024, the Company also had federal orphan drug credit carryforwards of approximately $1.3 million. The federal orphan drug credit carryforwards begin to expire in 2043.</w:t>
      </w:r>
    </w:p>
    <w:p>
      <w:pPr>
        <w:spacing w:after="0" w:line="14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At December 31, 2024, the Company also had federal and California charitable contribution carryforwards of $15.7 million. The charitable contribution carryforwards begin to expire in 2025.</w:t>
      </w:r>
    </w:p>
    <w:p>
      <w:pPr>
        <w:spacing w:after="0" w:line="14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above NOL carryforward and the research tax credit carryforwards are subject to an annual limitation under Section 382 and 383 of the Internal Revenue Code of 1986, as amended (IRC),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has not completed an IRC Section 382/383 analysis regarding the limitation of net operating loss and research and development credit carryforwards.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United States will not impact the Company’s effective tax rate.</w:t>
      </w:r>
    </w:p>
    <w:p>
      <w:pPr>
        <w:spacing w:after="0" w:line="16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w:t>
      </w:r>
    </w:p>
    <w:p>
      <w:pPr>
        <w:spacing w:after="0" w:line="15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 reconciliation of the beginning and ending amount of unrecognized tax benefits for 2024 and 2023, excluding interest and penalties,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2920" w:type="dxa"/>
            <w:vAlign w:val="bottom"/>
            <w:tcBorders>
              <w:bottom w:val="single" w:sz="8" w:color="auto"/>
            </w:tcBorders>
            <w:gridSpan w:val="5"/>
          </w:tcPr>
          <w:p>
            <w:pPr>
              <w:jc w:val="right"/>
              <w:ind w:right="113"/>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the beginning of the year</w:t>
            </w:r>
          </w:p>
        </w:tc>
        <w:tc>
          <w:tcPr>
            <w:tcW w:w="1060" w:type="dxa"/>
            <w:vAlign w:val="bottom"/>
            <w:shd w:val="clear" w:color="auto" w:fill="CCECFF"/>
          </w:tcPr>
          <w:p>
            <w:pPr>
              <w:jc w:val="right"/>
              <w:ind w:right="855"/>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4,096</w:t>
            </w:r>
          </w:p>
        </w:tc>
        <w:tc>
          <w:tcPr>
            <w:tcW w:w="120" w:type="dxa"/>
            <w:vAlign w:val="bottom"/>
            <w:shd w:val="clear" w:color="auto" w:fill="CCECFF"/>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53"/>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2,725</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(Decrease) increase related to prior year positions</w:t>
            </w:r>
          </w:p>
        </w:tc>
        <w:tc>
          <w:tcPr>
            <w:tcW w:w="106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(28 )</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 related to current year positions</w:t>
            </w:r>
          </w:p>
        </w:tc>
        <w:tc>
          <w:tcPr>
            <w:tcW w:w="1060" w:type="dxa"/>
            <w:vAlign w:val="bottom"/>
            <w:tcBorders>
              <w:bottom w:val="single" w:sz="8" w:color="auto"/>
            </w:tcBorders>
            <w:shd w:val="clear" w:color="auto" w:fill="CCECFF"/>
          </w:tcPr>
          <w:p>
            <w:pPr>
              <w:spacing w:after="0"/>
              <w:rPr>
                <w:sz w:val="17"/>
                <w:szCs w:val="17"/>
                <w:color w:val="auto"/>
              </w:rPr>
            </w:pPr>
          </w:p>
        </w:tc>
        <w:tc>
          <w:tcPr>
            <w:tcW w:w="5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1,343</w:t>
            </w:r>
          </w:p>
        </w:tc>
        <w:tc>
          <w:tcPr>
            <w:tcW w:w="120" w:type="dxa"/>
            <w:vAlign w:val="bottom"/>
            <w:tcBorders>
              <w:bottom w:val="single" w:sz="8" w:color="CCECFF"/>
            </w:tcBorders>
            <w:shd w:val="clear" w:color="auto" w:fill="CCECFF"/>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1,272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82" w:lineRule="exact"/>
              <w:rPr>
                <w:sz w:val="20"/>
                <w:szCs w:val="20"/>
                <w:color w:val="auto"/>
              </w:rPr>
            </w:pPr>
            <w:r>
              <w:rPr>
                <w:rFonts w:ascii="Arial" w:cs="Arial" w:eastAsia="Arial" w:hAnsi="Arial"/>
                <w:sz w:val="18"/>
                <w:szCs w:val="18"/>
                <w:color w:val="auto"/>
              </w:rPr>
              <w:t>Balance at the end of the year</w:t>
            </w:r>
          </w:p>
        </w:tc>
        <w:tc>
          <w:tcPr>
            <w:tcW w:w="1060" w:type="dxa"/>
            <w:vAlign w:val="bottom"/>
            <w:tcBorders>
              <w:bottom w:val="single" w:sz="8" w:color="auto"/>
            </w:tcBorders>
          </w:tcPr>
          <w:p>
            <w:pPr>
              <w:jc w:val="right"/>
              <w:ind w:right="855"/>
              <w:spacing w:after="0" w:line="182"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bottom w:val="single" w:sz="8" w:color="auto"/>
            </w:tcBorders>
          </w:tcPr>
          <w:p>
            <w:pPr>
              <w:jc w:val="right"/>
              <w:ind w:right="853"/>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4,096</w:t>
            </w:r>
          </w:p>
        </w:tc>
        <w:tc>
          <w:tcPr>
            <w:tcW w:w="10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-161925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920"/>
        <w:spacing w:after="0" w:line="253" w:lineRule="auto"/>
        <w:rPr>
          <w:sz w:val="20"/>
          <w:szCs w:val="20"/>
          <w:color w:val="auto"/>
        </w:rPr>
      </w:pPr>
      <w:r>
        <w:rPr>
          <w:rFonts w:ascii="Arial" w:cs="Arial" w:eastAsia="Arial" w:hAnsi="Arial"/>
          <w:sz w:val="18"/>
          <w:szCs w:val="18"/>
          <w:color w:val="auto"/>
        </w:rPr>
        <w:t>Included in the balance of unrecognized tax benefits as of December 31, 2024 is $5.0 million that, if recognized, would reduce the Company’s annual effective tax rate, subject to valuation allowance. The Company does not anticipate any significant changes to unrecognized tax benefits over the next 12 months.</w:t>
      </w:r>
    </w:p>
    <w:p>
      <w:pPr>
        <w:spacing w:after="0" w:line="15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Company has filed income tax returns in Australia, the United States, California, and various other state jurisdictions. The Company is not currently under examination in any of these jurisdictions, and all of the Company’s tax years remain effectively open in all jurisdictions to examination due to net operating loss carryforwards. The Company’s policy is to recognize interest expense and penalties related to income tax matters as tax expense. For the years ended December 31, 2024 and 2023, the Company has not recognized any interest or penalties related to income taxes.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Net loss per share</w:t>
      </w:r>
    </w:p>
    <w:p>
      <w:pPr>
        <w:spacing w:after="0" w:line="19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following table summarizes the computation of basic and diluted net loss per share of the Company (in thousands, except share and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83"/>
        </w:trPr>
        <w:tc>
          <w:tcPr>
            <w:tcW w:w="47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14"/>
              <w:spacing w:after="0" w:line="183" w:lineRule="exact"/>
              <w:rPr>
                <w:sz w:val="20"/>
                <w:szCs w:val="20"/>
                <w:color w:val="auto"/>
              </w:rPr>
            </w:pPr>
            <w:r>
              <w:rPr>
                <w:rFonts w:ascii="Arial" w:cs="Arial" w:eastAsia="Arial" w:hAnsi="Arial"/>
                <w:sz w:val="16"/>
                <w:szCs w:val="16"/>
                <w:b w:val="1"/>
                <w:bCs w:val="1"/>
                <w:color w:val="auto"/>
              </w:rPr>
              <w:t>2024</w:t>
            </w:r>
          </w:p>
        </w:tc>
        <w:tc>
          <w:tcPr>
            <w:tcW w:w="34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12"/>
              <w:spacing w:after="0" w:line="183"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240" w:type="dxa"/>
            <w:vAlign w:val="bottom"/>
            <w:gridSpan w:val="2"/>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(161,650 )</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(125,042 )</w:t>
            </w:r>
          </w:p>
        </w:tc>
        <w:tc>
          <w:tcPr>
            <w:tcW w:w="0" w:type="dxa"/>
            <w:vAlign w:val="bottom"/>
          </w:tcPr>
          <w:p>
            <w:pPr>
              <w:spacing w:after="0"/>
              <w:rPr>
                <w:sz w:val="1"/>
                <w:szCs w:val="1"/>
                <w:color w:val="auto"/>
              </w:rPr>
            </w:pPr>
          </w:p>
        </w:tc>
      </w:tr>
      <w:tr>
        <w:trPr>
          <w:trHeight w:val="177"/>
        </w:trPr>
        <w:tc>
          <w:tcPr>
            <w:tcW w:w="4780" w:type="dxa"/>
            <w:vAlign w:val="bottom"/>
            <w:tcBorders>
              <w:top w:val="single" w:sz="8" w:color="CFF0FC"/>
            </w:tcBorders>
          </w:tcPr>
          <w:p>
            <w:pPr>
              <w:ind w:left="20"/>
              <w:spacing w:after="0" w:line="177" w:lineRule="exact"/>
              <w:rPr>
                <w:sz w:val="20"/>
                <w:szCs w:val="20"/>
                <w:color w:val="auto"/>
              </w:rPr>
            </w:pPr>
            <w:r>
              <w:rPr>
                <w:rFonts w:ascii="Arial" w:cs="Arial" w:eastAsia="Arial" w:hAnsi="Arial"/>
                <w:sz w:val="18"/>
                <w:szCs w:val="18"/>
                <w:color w:val="auto"/>
              </w:rPr>
              <w:t>Weighted-average shares of common stock used in</w:t>
            </w:r>
          </w:p>
        </w:tc>
        <w:tc>
          <w:tcPr>
            <w:tcW w:w="290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233,817,916</w:t>
            </w:r>
          </w:p>
        </w:tc>
        <w:tc>
          <w:tcPr>
            <w:tcW w:w="3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150,184,994</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780" w:type="dxa"/>
            <w:vAlign w:val="bottom"/>
          </w:tcPr>
          <w:p>
            <w:pPr>
              <w:ind w:left="20"/>
              <w:spacing w:after="0"/>
              <w:rPr>
                <w:sz w:val="20"/>
                <w:szCs w:val="20"/>
                <w:color w:val="auto"/>
              </w:rPr>
            </w:pPr>
            <w:r>
              <w:rPr>
                <w:rFonts w:ascii="Arial" w:cs="Arial" w:eastAsia="Arial" w:hAnsi="Arial"/>
                <w:sz w:val="18"/>
                <w:szCs w:val="18"/>
                <w:color w:val="auto"/>
              </w:rPr>
              <w:t>computing net loss per share, basic and diluted</w:t>
            </w:r>
          </w:p>
        </w:tc>
        <w:tc>
          <w:tcPr>
            <w:tcW w:w="29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8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 per share, basic and diluted</w:t>
            </w:r>
          </w:p>
        </w:tc>
        <w:tc>
          <w:tcPr>
            <w:tcW w:w="29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260"/>
              <w:spacing w:after="0" w:line="182" w:lineRule="exact"/>
              <w:rPr>
                <w:sz w:val="20"/>
                <w:szCs w:val="20"/>
                <w:color w:val="auto"/>
              </w:rPr>
            </w:pPr>
            <w:r>
              <w:rPr>
                <w:rFonts w:ascii="Arial" w:cs="Arial" w:eastAsia="Arial" w:hAnsi="Arial"/>
                <w:sz w:val="18"/>
                <w:szCs w:val="18"/>
                <w:color w:val="auto"/>
              </w:rPr>
              <w:t>(0.69 )</w:t>
            </w:r>
          </w:p>
        </w:tc>
        <w:tc>
          <w:tcPr>
            <w:tcW w:w="32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(0.83 )</w:t>
            </w:r>
          </w:p>
        </w:tc>
        <w:tc>
          <w:tcPr>
            <w:tcW w:w="0" w:type="dxa"/>
            <w:vAlign w:val="bottom"/>
          </w:tcPr>
          <w:p>
            <w:pPr>
              <w:spacing w:after="0"/>
              <w:rPr>
                <w:sz w:val="1"/>
                <w:szCs w:val="1"/>
                <w:color w:val="auto"/>
              </w:rPr>
            </w:pPr>
          </w:p>
        </w:tc>
      </w:tr>
      <w:tr>
        <w:trPr>
          <w:trHeight w:val="619"/>
        </w:trPr>
        <w:tc>
          <w:tcPr>
            <w:tcW w:w="4780" w:type="dxa"/>
            <w:vAlign w:val="bottom"/>
            <w:tcBorders>
              <w:top w:val="single" w:sz="8" w:color="CFF0FC"/>
            </w:tcBorders>
          </w:tcPr>
          <w:p>
            <w:pPr>
              <w:spacing w:after="0"/>
              <w:rPr>
                <w:sz w:val="24"/>
                <w:szCs w:val="24"/>
                <w:color w:val="auto"/>
              </w:rPr>
            </w:pPr>
          </w:p>
        </w:tc>
        <w:tc>
          <w:tcPr>
            <w:tcW w:w="2900" w:type="dxa"/>
            <w:vAlign w:val="bottom"/>
            <w:tcBorders>
              <w:top w:val="single" w:sz="8" w:color="CFF0FC"/>
            </w:tcBorders>
          </w:tcPr>
          <w:p>
            <w:pPr>
              <w:ind w:left="660"/>
              <w:spacing w:after="0"/>
              <w:rPr>
                <w:sz w:val="20"/>
                <w:szCs w:val="20"/>
                <w:color w:val="auto"/>
              </w:rPr>
            </w:pPr>
            <w:r>
              <w:rPr>
                <w:rFonts w:ascii="Arial" w:cs="Arial" w:eastAsia="Arial" w:hAnsi="Arial"/>
                <w:sz w:val="18"/>
                <w:szCs w:val="18"/>
                <w:color w:val="auto"/>
              </w:rPr>
              <w:t>F-28</w:t>
            </w: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7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-1310640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-916305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-899795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6" w:name="page157"/>
    <w:bookmarkEnd w:id="156"/>
    <w:p>
      <w:pPr>
        <w:ind w:right="60"/>
        <w:spacing w:after="0" w:line="241" w:lineRule="auto"/>
        <w:rPr>
          <w:sz w:val="20"/>
          <w:szCs w:val="20"/>
          <w:color w:val="auto"/>
        </w:rPr>
      </w:pPr>
      <w:r>
        <w:rPr>
          <w:rFonts w:ascii="Arial" w:cs="Arial" w:eastAsia="Arial" w:hAnsi="Arial"/>
          <w:sz w:val="18"/>
          <w:szCs w:val="18"/>
          <w:color w:val="auto"/>
        </w:rPr>
        <w:t>The Company’s potentially dilutive securities, which include options to purchase common stock, shares purchasable under the ESPP and common stock subject to repurchase related to options early exercised, have been excluded from the computation of diluted net loss per share as the effect would be to reduce the net loss per share. Therefore, the weighted-average number of common shares outstanding used to calculate both basic and diluted net loss per share is the same. The Company excluded the following potential common shares, presented as amounts outstanding at each period end, from the computation of diluted net loss per share for the periods indicated because including them would have had an anti-dilutive effect:</w:t>
      </w:r>
    </w:p>
    <w:tbl>
      <w:tblPr>
        <w:tblLayout w:type="fixed"/>
        <w:tblInd w:w="0" w:type="dxa"/>
        <w:tblCellMar>
          <w:top w:w="0" w:type="dxa"/>
          <w:left w:w="0" w:type="dxa"/>
          <w:bottom w:w="0" w:type="dxa"/>
          <w:right w:w="0" w:type="dxa"/>
        </w:tblCellMar>
      </w:tblPr>
      <w:tr>
        <w:trPr>
          <w:trHeight w:val="175"/>
        </w:trPr>
        <w:tc>
          <w:tcPr>
            <w:tcW w:w="7000" w:type="dxa"/>
            <w:vAlign w:val="bottom"/>
          </w:tcPr>
          <w:p>
            <w:pPr>
              <w:spacing w:after="0"/>
              <w:rPr>
                <w:sz w:val="15"/>
                <w:szCs w:val="15"/>
                <w:color w:val="auto"/>
              </w:rPr>
            </w:pPr>
          </w:p>
        </w:tc>
        <w:tc>
          <w:tcPr>
            <w:tcW w:w="1900" w:type="dxa"/>
            <w:vAlign w:val="bottom"/>
          </w:tcPr>
          <w:p>
            <w:pPr>
              <w:jc w:val="right"/>
              <w:ind w:right="333"/>
              <w:spacing w:after="0" w:line="175" w:lineRule="exact"/>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5"/>
                <w:szCs w:val="15"/>
                <w:color w:val="auto"/>
              </w:rPr>
            </w:pPr>
          </w:p>
        </w:tc>
        <w:tc>
          <w:tcPr>
            <w:tcW w:w="2020" w:type="dxa"/>
            <w:vAlign w:val="bottom"/>
            <w:gridSpan w:val="2"/>
          </w:tcPr>
          <w:p>
            <w:pPr>
              <w:ind w:left="440"/>
              <w:spacing w:after="0" w:line="175" w:lineRule="exact"/>
              <w:rPr>
                <w:sz w:val="20"/>
                <w:szCs w:val="20"/>
                <w:color w:val="auto"/>
              </w:rPr>
            </w:pPr>
            <w:r>
              <w:rPr>
                <w:rFonts w:ascii="Arial" w:cs="Arial" w:eastAsia="Arial" w:hAnsi="Arial"/>
                <w:sz w:val="16"/>
                <w:szCs w:val="16"/>
                <w:b w:val="1"/>
                <w:bCs w:val="1"/>
                <w:color w:val="auto"/>
              </w:rPr>
              <w:t>December 31,</w:t>
            </w:r>
          </w:p>
        </w:tc>
      </w:tr>
      <w:tr>
        <w:trPr>
          <w:trHeight w:val="203"/>
        </w:trPr>
        <w:tc>
          <w:tcPr>
            <w:tcW w:w="7000" w:type="dxa"/>
            <w:vAlign w:val="bottom"/>
          </w:tcPr>
          <w:p>
            <w:pPr>
              <w:spacing w:after="0"/>
              <w:rPr>
                <w:sz w:val="17"/>
                <w:szCs w:val="17"/>
                <w:color w:val="auto"/>
              </w:rPr>
            </w:pPr>
          </w:p>
        </w:tc>
        <w:tc>
          <w:tcPr>
            <w:tcW w:w="190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7"/>
                <w:szCs w:val="17"/>
                <w:color w:val="auto"/>
              </w:rPr>
            </w:pPr>
          </w:p>
        </w:tc>
        <w:tc>
          <w:tcPr>
            <w:tcW w:w="1920" w:type="dxa"/>
            <w:vAlign w:val="bottom"/>
            <w:tcBorders>
              <w:bottom w:val="single" w:sz="8" w:color="auto"/>
            </w:tcBorders>
          </w:tcPr>
          <w:p>
            <w:pPr>
              <w:jc w:val="right"/>
              <w:ind w:right="696"/>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r>
      <w:tr>
        <w:trPr>
          <w:trHeight w:val="196"/>
        </w:trPr>
        <w:tc>
          <w:tcPr>
            <w:tcW w:w="7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Options to purchase common stock</w:t>
            </w:r>
          </w:p>
        </w:tc>
        <w:tc>
          <w:tcPr>
            <w:tcW w:w="1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33,910,721</w:t>
            </w:r>
          </w:p>
        </w:tc>
        <w:tc>
          <w:tcPr>
            <w:tcW w:w="2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24,970,957</w:t>
            </w: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ind w:left="20"/>
              <w:spacing w:after="0" w:line="202" w:lineRule="exact"/>
              <w:rPr>
                <w:sz w:val="20"/>
                <w:szCs w:val="20"/>
                <w:color w:val="auto"/>
              </w:rPr>
            </w:pPr>
            <w:r>
              <w:rPr>
                <w:rFonts w:ascii="Arial" w:cs="Arial" w:eastAsia="Arial" w:hAnsi="Arial"/>
                <w:sz w:val="18"/>
                <w:szCs w:val="18"/>
                <w:color w:val="auto"/>
              </w:rPr>
              <w:t>Options early exercised subject to future vesting</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371,876</w:t>
            </w:r>
          </w:p>
        </w:tc>
        <w:tc>
          <w:tcPr>
            <w:tcW w:w="100" w:type="dxa"/>
            <w:vAlign w:val="bottom"/>
          </w:tcPr>
          <w:p>
            <w:pPr>
              <w:spacing w:after="0"/>
              <w:rPr>
                <w:sz w:val="17"/>
                <w:szCs w:val="17"/>
                <w:color w:val="auto"/>
              </w:rPr>
            </w:pPr>
          </w:p>
        </w:tc>
      </w:tr>
      <w:tr>
        <w:trPr>
          <w:trHeight w:val="203"/>
        </w:trPr>
        <w:tc>
          <w:tcPr>
            <w:tcW w:w="70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Estimated shares purchasable under the ESPP</w:t>
            </w:r>
          </w:p>
        </w:tc>
        <w:tc>
          <w:tcPr>
            <w:tcW w:w="1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612,358</w:t>
            </w:r>
          </w:p>
        </w:tc>
        <w:tc>
          <w:tcPr>
            <w:tcW w:w="320" w:type="dxa"/>
            <w:vAlign w:val="bottom"/>
            <w:tcBorders>
              <w:bottom w:val="single" w:sz="8" w:color="CFF0FC"/>
            </w:tcBorders>
            <w:shd w:val="clear" w:color="auto" w:fill="CFF0FC"/>
          </w:tcPr>
          <w:p>
            <w:pPr>
              <w:spacing w:after="0"/>
              <w:rPr>
                <w:sz w:val="17"/>
                <w:szCs w:val="17"/>
                <w:color w:val="auto"/>
              </w:rPr>
            </w:pPr>
          </w:p>
        </w:tc>
        <w:tc>
          <w:tcPr>
            <w:tcW w:w="1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1,301,205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00" w:type="dxa"/>
            <w:vAlign w:val="bottom"/>
          </w:tcPr>
          <w:p>
            <w:pPr>
              <w:ind w:left="20"/>
              <w:spacing w:after="0" w:line="182" w:lineRule="exact"/>
              <w:rPr>
                <w:sz w:val="20"/>
                <w:szCs w:val="20"/>
                <w:color w:val="auto"/>
              </w:rPr>
            </w:pPr>
            <w:r>
              <w:rPr>
                <w:rFonts w:ascii="Arial" w:cs="Arial" w:eastAsia="Arial" w:hAnsi="Arial"/>
                <w:sz w:val="18"/>
                <w:szCs w:val="18"/>
                <w:color w:val="auto"/>
              </w:rPr>
              <w:t>Total potentially dilutive shares</w:t>
            </w:r>
          </w:p>
        </w:tc>
        <w:tc>
          <w:tcPr>
            <w:tcW w:w="1900" w:type="dxa"/>
            <w:vAlign w:val="bottom"/>
          </w:tcPr>
          <w:p>
            <w:pPr>
              <w:jc w:val="right"/>
              <w:spacing w:after="0" w:line="182" w:lineRule="exact"/>
              <w:rPr>
                <w:sz w:val="20"/>
                <w:szCs w:val="20"/>
                <w:color w:val="auto"/>
              </w:rPr>
            </w:pPr>
            <w:r>
              <w:rPr>
                <w:rFonts w:ascii="Arial" w:cs="Arial" w:eastAsia="Arial" w:hAnsi="Arial"/>
                <w:sz w:val="18"/>
                <w:szCs w:val="18"/>
                <w:color w:val="auto"/>
              </w:rPr>
              <w:t>34,523,079</w:t>
            </w:r>
          </w:p>
        </w:tc>
        <w:tc>
          <w:tcPr>
            <w:tcW w:w="22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26,644,038</w:t>
            </w:r>
          </w:p>
        </w:tc>
        <w:tc>
          <w:tcPr>
            <w:tcW w:w="100" w:type="dxa"/>
            <w:vAlign w:val="bottom"/>
          </w:tcPr>
          <w:p>
            <w:pPr>
              <w:spacing w:after="0"/>
              <w:rPr>
                <w:sz w:val="17"/>
                <w:szCs w:val="17"/>
                <w:color w:val="auto"/>
              </w:rPr>
            </w:pPr>
          </w:p>
        </w:tc>
      </w:tr>
      <w:tr>
        <w:trPr>
          <w:trHeight w:val="20"/>
        </w:trPr>
        <w:tc>
          <w:tcPr>
            <w:tcW w:w="70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-162560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Retirement plan</w:t>
      </w:r>
    </w:p>
    <w:p>
      <w:pPr>
        <w:spacing w:after="0" w:line="19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Company sponsors an employee savings plan that qualifies as a deferred salary arrangement under Section 401(k) of the US Internal Revenue Code. Participating employees may defer up to the Internal Revenue Service annual contribution limit. The Company provides a safe harbor contribution of 3.0% of the employee’s compensation, not to exceed eligible limits. For the years ended December 31, 2024 and 2023, the Company incurred $927,000 and $958,000 in expenses related to the safe harbor contribution,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Related party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Affini-T Therapeutics, Inc.</w:t>
      </w:r>
    </w:p>
    <w:p>
      <w:pPr>
        <w:spacing w:after="0" w:line="19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As of December 31, 2024 and 2023, the Company held a $0 and $2.0 million equity investment in Affini-T, respectively (see Note 3). One of the Company’s board members is also a member of the board of Affini-T.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Erasca Foundation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May 2021, the Company established the Erasca Foundation to provide support such as funding research, patient advocacy, patient support and education in underserved populations, and funding for other initiatives to positively impact society that align with the Company’s mission. The Company's chief executive officer and certain board members serve as directors of the Erasca Foundation and the Company's chief executive officer, chief financial officer and chief business officer, and general counsel are also officers of the Erasca Foundation. In April 2023, the Company loaned the Erasca Foundation $125,000 in exchange for a non-interest bearing promissory note that matures one year following the date of the note. In December 2023, the Erasca Foundation repaid the note. In April 2024, the Company donated $125,000 to the Erasca Foundation, which is recorded in general and administrative expense in the consolidated statements of operations and comprehensive loss for the year ended December 31, 2024. No such expense was recorded for the year ended December 31,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w:t>
      </w:r>
    </w:p>
    <w:p>
      <w:pPr>
        <w:spacing w:after="0" w:line="19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Company operates and manages its business as a single operating and reportable segment focused on the discovery and development of precision medicines for the benefit of patients with cancer. The Company's CODM is the chief executive officer and the CODM manages and allocates resources to the Company on a consolidated basis. Managing and allocating resources on a consolidated basis enables the CODM to assess the overall level of resources available, including cash, cash equivalents and marketable securities, and how to best deploy these resources based on unmet medical need, scientific data, probability of successful development, market potential and other considerations to best support the long-term growth of its business.</w:t>
      </w:r>
    </w:p>
    <w:p>
      <w:pPr>
        <w:spacing w:after="0" w:line="165" w:lineRule="exact"/>
        <w:rPr>
          <w:sz w:val="20"/>
          <w:szCs w:val="20"/>
          <w:color w:val="auto"/>
        </w:rPr>
      </w:pPr>
    </w:p>
    <w:p>
      <w:pPr>
        <w:ind w:right="540"/>
        <w:spacing w:after="0" w:line="247" w:lineRule="auto"/>
        <w:rPr>
          <w:sz w:val="20"/>
          <w:szCs w:val="20"/>
          <w:color w:val="auto"/>
        </w:rPr>
      </w:pPr>
      <w:r>
        <w:rPr>
          <w:rFonts w:ascii="Arial" w:cs="Arial" w:eastAsia="Arial" w:hAnsi="Arial"/>
          <w:sz w:val="18"/>
          <w:szCs w:val="18"/>
          <w:color w:val="auto"/>
        </w:rPr>
        <w:t>The accounting policies of the segment are the same as those described in the summary of significant accounting policies. The CODM assesses performance for the segment based on net loss, which is reported on the consolidated statements of operations and comprehensive loss as consolidated net loss. The measure of segment assets is reported on the consolidated balance sheets as total consolidated assets.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157" w:name="page158"/>
    <w:bookmarkEnd w:id="157"/>
    <w:p>
      <w:pPr>
        <w:ind w:right="540"/>
        <w:spacing w:after="0" w:line="253" w:lineRule="auto"/>
        <w:rPr>
          <w:sz w:val="20"/>
          <w:szCs w:val="20"/>
          <w:color w:val="auto"/>
        </w:rPr>
      </w:pPr>
      <w:r>
        <w:rPr>
          <w:rFonts w:ascii="Arial" w:cs="Arial" w:eastAsia="Arial" w:hAnsi="Arial"/>
          <w:sz w:val="18"/>
          <w:szCs w:val="18"/>
          <w:color w:val="auto"/>
        </w:rPr>
        <w:t>To date, the Company has not generated any product revenue. The Company expects to continue to incur significant expenses and operating losses for the foreseeable future as it advances product candidates through all stages of development and clinical trials and, ultimately, seek regulatory approval.</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CODM uses cash forecast models in deciding how to invest into the segment. Such cash forecast models are reviewed to assess the consolidated operating results and performance. Net loss is used to monitor budget versus actual results. Monitoring budgeted versus actual results is used in assessing performance of the segment and in establishing cash forecast models. Significant segment expenses provided to the CODM are the same as presented on the consolidated statements of operations and comprehensive loss as research and development expenses and general and administrative expenses.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198"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From January 1, 2025 through the date of the filing of this Annual Report on Form 10-K, the Company granted options to purchase an aggregate of 14,011,136 shares of its common stock to employees and board members at a weighted-average exercise price of $1.77 per share.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47"/>
        </w:trPr>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80" w:type="dxa"/>
            <w:vAlign w:val="bottom"/>
            <w:gridSpan w:val="36"/>
          </w:tcPr>
          <w:p>
            <w:pPr>
              <w:jc w:val="cente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30"/>
        </w:trPr>
        <w:tc>
          <w:tcPr>
            <w:tcW w:w="6560" w:type="dxa"/>
            <w:vAlign w:val="bottom"/>
            <w:gridSpan w:val="56"/>
          </w:tcPr>
          <w:p>
            <w:pPr>
              <w:jc w:val="center"/>
              <w:ind w:right="540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2"/>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344"/>
        </w:trPr>
        <w:tc>
          <w:tcPr>
            <w:tcW w:w="1160" w:type="dxa"/>
            <w:vAlign w:val="bottom"/>
          </w:tcPr>
          <w:p>
            <w:pPr>
              <w:jc w:val="cente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53"/>
          </w:tcPr>
          <w:p>
            <w:pPr>
              <w:spacing w:after="0"/>
              <w:rPr>
                <w:rFonts w:ascii="Arial" w:cs="Arial" w:eastAsia="Arial" w:hAnsi="Arial"/>
                <w:sz w:val="18"/>
                <w:szCs w:val="18"/>
                <w:color w:val="0000FF"/>
              </w:rPr>
            </w:pPr>
            <w:hyperlink r:id="rId345">
              <w:r>
                <w:rPr>
                  <w:rFonts w:ascii="Arial" w:cs="Arial" w:eastAsia="Arial" w:hAnsi="Arial"/>
                  <w:sz w:val="18"/>
                  <w:szCs w:val="18"/>
                  <w:color w:val="0000FF"/>
                </w:rPr>
                <w:t>Amended and Restated Certificate of Incorporation of Erasca,</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9"/>
              </w:rPr>
            </w:pPr>
            <w:hyperlink r:id="rId345">
              <w:r>
                <w:rPr>
                  <w:rFonts w:ascii="Arial" w:cs="Arial" w:eastAsia="Arial" w:hAnsi="Arial"/>
                  <w:sz w:val="18"/>
                  <w:szCs w:val="18"/>
                  <w:color w:val="0000FF"/>
                  <w:w w:val="89"/>
                </w:rPr>
                <w:t>Inc.</w:t>
              </w:r>
            </w:hyperlink>
          </w:p>
        </w:tc>
        <w:tc>
          <w:tcPr>
            <w:tcW w:w="20" w:type="dxa"/>
            <w:vAlign w:val="bottom"/>
            <w:tcBorders>
              <w:top w:val="single" w:sz="8" w:color="0000FF"/>
              <w:bottom w:val="single" w:sz="8" w:color="0000EE"/>
            </w:tcBorders>
          </w:tcPr>
          <w:p>
            <w:pPr>
              <w:spacing w:after="0"/>
              <w:rPr>
                <w:sz w:val="15"/>
                <w:szCs w:val="15"/>
                <w:color w:val="auto"/>
              </w:rPr>
            </w:pPr>
          </w:p>
        </w:tc>
        <w:tc>
          <w:tcPr>
            <w:tcW w:w="4680" w:type="dxa"/>
            <w:vAlign w:val="bottom"/>
            <w:tcBorders>
              <w:top w:val="single" w:sz="8" w:color="0000FF"/>
            </w:tcBorders>
            <w:gridSpan w:val="3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346">
              <w:r>
                <w:rPr>
                  <w:rFonts w:ascii="Arial" w:cs="Arial" w:eastAsia="Arial" w:hAnsi="Arial"/>
                  <w:sz w:val="18"/>
                  <w:szCs w:val="18"/>
                  <w:color w:val="0000FF"/>
                  <w:w w:val="99"/>
                </w:rPr>
                <w:t>Amended and Restated Bylaws of Erasca, Inc.</w:t>
              </w:r>
            </w:hyperlink>
          </w:p>
        </w:tc>
        <w:tc>
          <w:tcPr>
            <w:tcW w:w="20" w:type="dxa"/>
            <w:vAlign w:val="bottom"/>
            <w:tcBorders>
              <w:bottom w:val="single" w:sz="8" w:color="0000EE"/>
            </w:tcBorders>
          </w:tcPr>
          <w:p>
            <w:pPr>
              <w:spacing w:after="0"/>
              <w:rPr>
                <w:sz w:val="15"/>
                <w:szCs w:val="15"/>
                <w:color w:val="auto"/>
              </w:rPr>
            </w:pPr>
          </w:p>
        </w:tc>
        <w:tc>
          <w:tcPr>
            <w:tcW w:w="1520" w:type="dxa"/>
            <w:vAlign w:val="bottom"/>
            <w:gridSpan w:val="3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gridSpan w:val="53"/>
          </w:tcPr>
          <w:p>
            <w:pPr>
              <w:spacing w:after="0" w:line="182" w:lineRule="exact"/>
              <w:rPr>
                <w:rFonts w:ascii="Arial" w:cs="Arial" w:eastAsia="Arial" w:hAnsi="Arial"/>
                <w:sz w:val="18"/>
                <w:szCs w:val="18"/>
                <w:color w:val="0000FF"/>
              </w:rPr>
            </w:pPr>
            <w:hyperlink r:id="rId347">
              <w:r>
                <w:rPr>
                  <w:rFonts w:ascii="Arial" w:cs="Arial" w:eastAsia="Arial" w:hAnsi="Arial"/>
                  <w:sz w:val="18"/>
                  <w:szCs w:val="18"/>
                  <w:color w:val="0000FF"/>
                </w:rPr>
                <w:t>Specimen stock certificate evidencing the shares of common</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tcBorders>
              <w:top w:val="single" w:sz="8" w:color="0000FF"/>
            </w:tcBorders>
            <w:gridSpan w:val="37"/>
          </w:tcPr>
          <w:p>
            <w:pPr>
              <w:spacing w:after="0" w:line="182" w:lineRule="exact"/>
              <w:rPr>
                <w:rFonts w:ascii="Arial" w:cs="Arial" w:eastAsia="Arial" w:hAnsi="Arial"/>
                <w:sz w:val="18"/>
                <w:szCs w:val="18"/>
                <w:color w:val="0000FF"/>
              </w:rPr>
            </w:pPr>
            <w:hyperlink r:id="rId347">
              <w:r>
                <w:rPr>
                  <w:rFonts w:ascii="Arial" w:cs="Arial" w:eastAsia="Arial" w:hAnsi="Arial"/>
                  <w:sz w:val="18"/>
                  <w:szCs w:val="18"/>
                  <w:color w:val="0000FF"/>
                </w:rPr>
                <w:t>stock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gridSpan w:val="53"/>
          </w:tcPr>
          <w:p>
            <w:pPr>
              <w:spacing w:after="0" w:line="182" w:lineRule="exact"/>
              <w:rPr>
                <w:rFonts w:ascii="Arial" w:cs="Arial" w:eastAsia="Arial" w:hAnsi="Arial"/>
                <w:sz w:val="18"/>
                <w:szCs w:val="18"/>
                <w:color w:val="0000FF"/>
              </w:rPr>
            </w:pPr>
            <w:hyperlink r:id="rId348">
              <w:r>
                <w:rPr>
                  <w:rFonts w:ascii="Arial" w:cs="Arial" w:eastAsia="Arial" w:hAnsi="Arial"/>
                  <w:sz w:val="18"/>
                  <w:szCs w:val="18"/>
                  <w:color w:val="0000FF"/>
                </w:rPr>
                <w:t>Amended and Restated Stockholders Agreement, dated April 15,</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tcBorders>
              <w:top w:val="single" w:sz="8" w:color="0000FF"/>
            </w:tcBorders>
            <w:gridSpan w:val="51"/>
          </w:tcPr>
          <w:p>
            <w:pPr>
              <w:spacing w:after="0" w:line="182" w:lineRule="exact"/>
              <w:rPr>
                <w:rFonts w:ascii="Arial" w:cs="Arial" w:eastAsia="Arial" w:hAnsi="Arial"/>
                <w:sz w:val="18"/>
                <w:szCs w:val="18"/>
                <w:color w:val="0000FF"/>
              </w:rPr>
            </w:pPr>
            <w:hyperlink r:id="rId348">
              <w:r>
                <w:rPr>
                  <w:rFonts w:ascii="Arial" w:cs="Arial" w:eastAsia="Arial" w:hAnsi="Arial"/>
                  <w:sz w:val="18"/>
                  <w:szCs w:val="18"/>
                  <w:color w:val="0000FF"/>
                </w:rPr>
                <w:t>2020, by and among the Registrant and certain of its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6"/>
              </w:rPr>
            </w:pPr>
            <w:hyperlink r:id="rId348">
              <w:r>
                <w:rPr>
                  <w:rFonts w:ascii="Arial" w:cs="Arial" w:eastAsia="Arial" w:hAnsi="Arial"/>
                  <w:sz w:val="18"/>
                  <w:szCs w:val="18"/>
                  <w:color w:val="0000FF"/>
                  <w:w w:val="96"/>
                </w:rPr>
                <w:t>stockholders</w:t>
              </w:r>
            </w:hyperlink>
          </w:p>
        </w:tc>
        <w:tc>
          <w:tcPr>
            <w:tcW w:w="20" w:type="dxa"/>
            <w:vAlign w:val="bottom"/>
            <w:tcBorders>
              <w:top w:val="single" w:sz="8" w:color="0000FF"/>
              <w:bottom w:val="single" w:sz="8" w:color="0000EE"/>
            </w:tcBorders>
          </w:tcPr>
          <w:p>
            <w:pPr>
              <w:spacing w:after="0"/>
              <w:rPr>
                <w:sz w:val="15"/>
                <w:szCs w:val="15"/>
                <w:color w:val="auto"/>
              </w:rPr>
            </w:pPr>
          </w:p>
        </w:tc>
        <w:tc>
          <w:tcPr>
            <w:tcW w:w="3200" w:type="dxa"/>
            <w:vAlign w:val="bottom"/>
            <w:tcBorders>
              <w:top w:val="single" w:sz="8" w:color="0000FF"/>
            </w:tcBorders>
            <w:gridSpan w:val="17"/>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gridSpan w:val="53"/>
          </w:tcPr>
          <w:p>
            <w:pPr>
              <w:spacing w:after="0" w:line="182" w:lineRule="exact"/>
              <w:rPr>
                <w:rFonts w:ascii="Arial" w:cs="Arial" w:eastAsia="Arial" w:hAnsi="Arial"/>
                <w:sz w:val="18"/>
                <w:szCs w:val="18"/>
                <w:color w:val="0000FF"/>
              </w:rPr>
            </w:pPr>
            <w:hyperlink r:id="rId349">
              <w:r>
                <w:rPr>
                  <w:rFonts w:ascii="Arial" w:cs="Arial" w:eastAsia="Arial" w:hAnsi="Arial"/>
                  <w:sz w:val="18"/>
                  <w:szCs w:val="18"/>
                  <w:color w:val="0000FF"/>
                </w:rPr>
                <w:t>Description of Securities</w:t>
              </w:r>
            </w:hyperlink>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10.1#</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gridSpan w:val="53"/>
          </w:tcPr>
          <w:p>
            <w:pPr>
              <w:spacing w:after="0" w:line="182" w:lineRule="exact"/>
              <w:rPr>
                <w:rFonts w:ascii="Arial" w:cs="Arial" w:eastAsia="Arial" w:hAnsi="Arial"/>
                <w:sz w:val="18"/>
                <w:szCs w:val="18"/>
                <w:color w:val="0000FF"/>
              </w:rPr>
            </w:pPr>
            <w:hyperlink r:id="rId350">
              <w:r>
                <w:rPr>
                  <w:rFonts w:ascii="Arial" w:cs="Arial" w:eastAsia="Arial" w:hAnsi="Arial"/>
                  <w:sz w:val="18"/>
                  <w:szCs w:val="18"/>
                  <w:color w:val="0000FF"/>
                </w:rPr>
                <w:t>Erasca, Inc. 2021 Incentive Award Plan and form of stock option</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tcBorders>
              <w:top w:val="single" w:sz="8" w:color="0000FF"/>
            </w:tcBorders>
            <w:gridSpan w:val="48"/>
          </w:tcPr>
          <w:p>
            <w:pPr>
              <w:spacing w:after="0" w:line="182" w:lineRule="exact"/>
              <w:rPr>
                <w:rFonts w:ascii="Arial" w:cs="Arial" w:eastAsia="Arial" w:hAnsi="Arial"/>
                <w:sz w:val="18"/>
                <w:szCs w:val="18"/>
                <w:color w:val="0000FF"/>
              </w:rPr>
            </w:pPr>
            <w:hyperlink r:id="rId350">
              <w:r>
                <w:rPr>
                  <w:rFonts w:ascii="Arial" w:cs="Arial" w:eastAsia="Arial" w:hAnsi="Arial"/>
                  <w:sz w:val="18"/>
                  <w:szCs w:val="18"/>
                  <w:color w:val="0000FF"/>
                </w:rPr>
                <w:t>agreement and form of restricted stock unit agreement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6"/>
              </w:rPr>
            </w:pPr>
            <w:hyperlink r:id="rId350">
              <w:r>
                <w:rPr>
                  <w:rFonts w:ascii="Arial" w:cs="Arial" w:eastAsia="Arial" w:hAnsi="Arial"/>
                  <w:sz w:val="18"/>
                  <w:szCs w:val="18"/>
                  <w:color w:val="0000FF"/>
                  <w:w w:val="96"/>
                </w:rPr>
                <w:t>thereunder</w:t>
              </w:r>
            </w:hyperlink>
          </w:p>
        </w:tc>
        <w:tc>
          <w:tcPr>
            <w:tcW w:w="20" w:type="dxa"/>
            <w:vAlign w:val="bottom"/>
            <w:tcBorders>
              <w:top w:val="single" w:sz="8" w:color="0000FF"/>
              <w:bottom w:val="single" w:sz="8" w:color="0000EE"/>
            </w:tcBorders>
          </w:tcPr>
          <w:p>
            <w:pPr>
              <w:spacing w:after="0"/>
              <w:rPr>
                <w:sz w:val="15"/>
                <w:szCs w:val="15"/>
                <w:color w:val="auto"/>
              </w:rPr>
            </w:pPr>
          </w:p>
        </w:tc>
        <w:tc>
          <w:tcPr>
            <w:tcW w:w="3480" w:type="dxa"/>
            <w:vAlign w:val="bottom"/>
            <w:tcBorders>
              <w:top w:val="single" w:sz="8" w:color="0000FF"/>
            </w:tcBorders>
            <w:gridSpan w:val="22"/>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tcBorders>
              <w:bottom w:val="single" w:sz="8" w:color="0000FF"/>
            </w:tcBorders>
            <w:gridSpan w:val="22"/>
          </w:tcPr>
          <w:p>
            <w:pPr>
              <w:spacing w:after="0" w:line="182" w:lineRule="exact"/>
              <w:rPr>
                <w:rFonts w:ascii="Arial" w:cs="Arial" w:eastAsia="Arial" w:hAnsi="Arial"/>
                <w:sz w:val="18"/>
                <w:szCs w:val="18"/>
                <w:color w:val="0000FF"/>
                <w:w w:val="99"/>
              </w:rPr>
            </w:pPr>
            <w:hyperlink r:id="rId351">
              <w:r>
                <w:rPr>
                  <w:rFonts w:ascii="Arial" w:cs="Arial" w:eastAsia="Arial" w:hAnsi="Arial"/>
                  <w:sz w:val="18"/>
                  <w:szCs w:val="18"/>
                  <w:color w:val="0000FF"/>
                  <w:w w:val="99"/>
                </w:rPr>
                <w:t>Erasca, Inc. 2021 Employee Stock Purchase Plan</w:t>
              </w:r>
            </w:hyperlink>
          </w:p>
        </w:tc>
        <w:tc>
          <w:tcPr>
            <w:tcW w:w="20" w:type="dxa"/>
            <w:vAlign w:val="bottom"/>
            <w:tcBorders>
              <w:bottom w:val="single" w:sz="8" w:color="0000EE"/>
            </w:tcBorders>
          </w:tcPr>
          <w:p>
            <w:pPr>
              <w:spacing w:after="0"/>
              <w:rPr>
                <w:sz w:val="15"/>
                <w:szCs w:val="15"/>
                <w:color w:val="auto"/>
              </w:rPr>
            </w:pPr>
          </w:p>
        </w:tc>
        <w:tc>
          <w:tcPr>
            <w:tcW w:w="1260" w:type="dxa"/>
            <w:vAlign w:val="bottom"/>
            <w:gridSpan w:val="3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gridSpan w:val="23"/>
          </w:tcPr>
          <w:p>
            <w:pPr>
              <w:spacing w:after="0" w:line="182" w:lineRule="exact"/>
              <w:rPr>
                <w:rFonts w:ascii="Arial" w:cs="Arial" w:eastAsia="Arial" w:hAnsi="Arial"/>
                <w:sz w:val="18"/>
                <w:szCs w:val="18"/>
                <w:color w:val="0000FF"/>
              </w:rPr>
            </w:pPr>
            <w:hyperlink r:id="rId352">
              <w:r>
                <w:rPr>
                  <w:rFonts w:ascii="Arial" w:cs="Arial" w:eastAsia="Arial" w:hAnsi="Arial"/>
                  <w:sz w:val="18"/>
                  <w:szCs w:val="18"/>
                  <w:color w:val="0000FF"/>
                </w:rPr>
                <w:t>Erasca, Inc. Severance and Change in Control</w:t>
              </w:r>
            </w:hyperlink>
          </w:p>
        </w:tc>
        <w:tc>
          <w:tcPr>
            <w:tcW w:w="1260" w:type="dxa"/>
            <w:vAlign w:val="bottom"/>
            <w:gridSpan w:val="30"/>
          </w:tcPr>
          <w:p>
            <w:pPr>
              <w:spacing w:after="0" w:line="182" w:lineRule="exact"/>
              <w:rPr>
                <w:rFonts w:ascii="Arial" w:cs="Arial" w:eastAsia="Arial" w:hAnsi="Arial"/>
                <w:sz w:val="18"/>
                <w:szCs w:val="18"/>
                <w:color w:val="0000FF"/>
                <w:w w:val="97"/>
              </w:rPr>
            </w:pPr>
            <w:hyperlink r:id="rId352">
              <w:r>
                <w:rPr>
                  <w:rFonts w:ascii="Arial" w:cs="Arial" w:eastAsia="Arial" w:hAnsi="Arial"/>
                  <w:sz w:val="18"/>
                  <w:szCs w:val="18"/>
                  <w:color w:val="0000FF"/>
                  <w:w w:val="97"/>
                </w:rPr>
                <w:t>Severance Plan</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80" w:type="dxa"/>
            <w:vAlign w:val="bottom"/>
            <w:tcBorders>
              <w:top w:val="single" w:sz="8" w:color="0000FF"/>
            </w:tcBorders>
            <w:gridSpan w:val="46"/>
          </w:tcPr>
          <w:p>
            <w:pPr>
              <w:spacing w:after="0" w:line="182" w:lineRule="exact"/>
              <w:rPr>
                <w:rFonts w:ascii="Arial" w:cs="Arial" w:eastAsia="Arial" w:hAnsi="Arial"/>
                <w:sz w:val="18"/>
                <w:szCs w:val="18"/>
                <w:color w:val="0000FF"/>
              </w:rPr>
            </w:pPr>
            <w:hyperlink r:id="rId352">
              <w:r>
                <w:rPr>
                  <w:rFonts w:ascii="Arial" w:cs="Arial" w:eastAsia="Arial" w:hAnsi="Arial"/>
                  <w:sz w:val="18"/>
                  <w:szCs w:val="18"/>
                  <w:color w:val="0000FF"/>
                </w:rPr>
                <w:t>and Summary Plan Description</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tcBorders>
              <w:top w:val="single" w:sz="8" w:color="0000FF"/>
            </w:tcBorders>
            <w:gridSpan w:val="12"/>
          </w:tcPr>
          <w:p>
            <w:pPr>
              <w:spacing w:after="0" w:line="182" w:lineRule="exact"/>
              <w:rPr>
                <w:rFonts w:ascii="Arial" w:cs="Arial" w:eastAsia="Arial" w:hAnsi="Arial"/>
                <w:sz w:val="18"/>
                <w:szCs w:val="18"/>
                <w:color w:val="0000FF"/>
                <w:w w:val="97"/>
              </w:rPr>
            </w:pPr>
            <w:hyperlink r:id="rId353">
              <w:r>
                <w:rPr>
                  <w:rFonts w:ascii="Arial" w:cs="Arial" w:eastAsia="Arial" w:hAnsi="Arial"/>
                  <w:sz w:val="18"/>
                  <w:szCs w:val="18"/>
                  <w:color w:val="0000FF"/>
                  <w:w w:val="97"/>
                </w:rPr>
                <w:t>Employment Letter Agreement,</w:t>
              </w:r>
            </w:hyperlink>
          </w:p>
        </w:tc>
        <w:tc>
          <w:tcPr>
            <w:tcW w:w="20" w:type="dxa"/>
            <w:vAlign w:val="bottom"/>
            <w:tcBorders>
              <w:top w:val="single" w:sz="8" w:color="0000EE"/>
            </w:tcBorders>
          </w:tcPr>
          <w:p>
            <w:pPr>
              <w:spacing w:after="0"/>
              <w:rPr>
                <w:sz w:val="15"/>
                <w:szCs w:val="15"/>
                <w:color w:val="auto"/>
              </w:rPr>
            </w:pPr>
          </w:p>
        </w:tc>
        <w:tc>
          <w:tcPr>
            <w:tcW w:w="2760" w:type="dxa"/>
            <w:vAlign w:val="bottom"/>
            <w:gridSpan w:val="40"/>
          </w:tcPr>
          <w:p>
            <w:pPr>
              <w:ind w:left="40"/>
              <w:spacing w:after="0" w:line="182" w:lineRule="exact"/>
              <w:rPr>
                <w:rFonts w:ascii="Arial" w:cs="Arial" w:eastAsia="Arial" w:hAnsi="Arial"/>
                <w:sz w:val="18"/>
                <w:szCs w:val="18"/>
                <w:color w:val="0000FF"/>
              </w:rPr>
            </w:pPr>
            <w:hyperlink r:id="rId353">
              <w:r>
                <w:rPr>
                  <w:rFonts w:ascii="Arial" w:cs="Arial" w:eastAsia="Arial" w:hAnsi="Arial"/>
                  <w:sz w:val="18"/>
                  <w:szCs w:val="18"/>
                  <w:color w:val="0000FF"/>
                </w:rPr>
                <w:t>dated August 18, 2020, by and</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tcBorders>
              <w:top w:val="single" w:sz="8" w:color="0000FF"/>
              <w:bottom w:val="single" w:sz="8" w:color="0000FF"/>
            </w:tcBorders>
            <w:gridSpan w:val="26"/>
          </w:tcPr>
          <w:p>
            <w:pPr>
              <w:spacing w:after="0" w:line="182" w:lineRule="exact"/>
              <w:rPr>
                <w:rFonts w:ascii="Arial" w:cs="Arial" w:eastAsia="Arial" w:hAnsi="Arial"/>
                <w:sz w:val="18"/>
                <w:szCs w:val="18"/>
                <w:color w:val="0000FF"/>
                <w:w w:val="99"/>
              </w:rPr>
            </w:pPr>
            <w:hyperlink r:id="rId353">
              <w:r>
                <w:rPr>
                  <w:rFonts w:ascii="Arial" w:cs="Arial" w:eastAsia="Arial" w:hAnsi="Arial"/>
                  <w:sz w:val="18"/>
                  <w:szCs w:val="18"/>
                  <w:color w:val="0000FF"/>
                  <w:w w:val="99"/>
                </w:rPr>
                <w:t>between Michael D. Varney, Ph.D. and the Registrant</w:t>
              </w:r>
            </w:hyperlink>
          </w:p>
        </w:tc>
        <w:tc>
          <w:tcPr>
            <w:tcW w:w="20" w:type="dxa"/>
            <w:vAlign w:val="bottom"/>
            <w:tcBorders>
              <w:top w:val="single" w:sz="8" w:color="0000FF"/>
              <w:bottom w:val="single" w:sz="8" w:color="0000EE"/>
            </w:tcBorders>
          </w:tcPr>
          <w:p>
            <w:pPr>
              <w:spacing w:after="0"/>
              <w:rPr>
                <w:sz w:val="15"/>
                <w:szCs w:val="15"/>
                <w:color w:val="auto"/>
              </w:rPr>
            </w:pPr>
          </w:p>
        </w:tc>
        <w:tc>
          <w:tcPr>
            <w:tcW w:w="780" w:type="dxa"/>
            <w:vAlign w:val="bottom"/>
            <w:tcBorders>
              <w:top w:val="single" w:sz="8" w:color="0000FF"/>
            </w:tcBorders>
            <w:gridSpan w:val="18"/>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gridSpan w:val="53"/>
          </w:tcPr>
          <w:p>
            <w:pPr>
              <w:spacing w:after="0" w:line="182" w:lineRule="exact"/>
              <w:rPr>
                <w:rFonts w:ascii="Arial" w:cs="Arial" w:eastAsia="Arial" w:hAnsi="Arial"/>
                <w:sz w:val="18"/>
                <w:szCs w:val="18"/>
                <w:color w:val="0000FF"/>
              </w:rPr>
            </w:pPr>
            <w:hyperlink r:id="rId354">
              <w:r>
                <w:rPr>
                  <w:rFonts w:ascii="Arial" w:cs="Arial" w:eastAsia="Arial" w:hAnsi="Arial"/>
                  <w:sz w:val="18"/>
                  <w:szCs w:val="18"/>
                  <w:color w:val="0000FF"/>
                </w:rPr>
                <w:t>Scientific Advisory Board Agreement, dated August 15, 2020, by</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80" w:type="dxa"/>
            <w:vAlign w:val="bottom"/>
            <w:tcBorders>
              <w:top w:val="single" w:sz="8" w:color="0000FF"/>
            </w:tcBorders>
            <w:gridSpan w:val="50"/>
          </w:tcPr>
          <w:p>
            <w:pPr>
              <w:spacing w:after="0" w:line="182" w:lineRule="exact"/>
              <w:rPr>
                <w:rFonts w:ascii="Arial" w:cs="Arial" w:eastAsia="Arial" w:hAnsi="Arial"/>
                <w:sz w:val="18"/>
                <w:szCs w:val="18"/>
                <w:color w:val="0000FF"/>
              </w:rPr>
            </w:pPr>
            <w:hyperlink r:id="rId354">
              <w:r>
                <w:rPr>
                  <w:rFonts w:ascii="Arial" w:cs="Arial" w:eastAsia="Arial" w:hAnsi="Arial"/>
                  <w:sz w:val="18"/>
                  <w:szCs w:val="18"/>
                  <w:color w:val="0000FF"/>
                </w:rPr>
                <w:t>and between Michael D. Varney, Ph.D. and the Registrant</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gridSpan w:val="53"/>
          </w:tcPr>
          <w:p>
            <w:pPr>
              <w:spacing w:after="0" w:line="182" w:lineRule="exact"/>
              <w:rPr>
                <w:rFonts w:ascii="Arial" w:cs="Arial" w:eastAsia="Arial" w:hAnsi="Arial"/>
                <w:sz w:val="18"/>
                <w:szCs w:val="18"/>
                <w:color w:val="0000FF"/>
              </w:rPr>
            </w:pPr>
            <w:hyperlink r:id="rId355">
              <w:r>
                <w:rPr>
                  <w:rFonts w:ascii="Arial" w:cs="Arial" w:eastAsia="Arial" w:hAnsi="Arial"/>
                  <w:sz w:val="18"/>
                  <w:szCs w:val="18"/>
                  <w:color w:val="0000FF"/>
                </w:rPr>
                <w:t>Amended and Restated Employment Letter Agreement, dated</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tcBorders>
              <w:top w:val="single" w:sz="8" w:color="0000FF"/>
            </w:tcBorders>
            <w:gridSpan w:val="42"/>
          </w:tcPr>
          <w:p>
            <w:pPr>
              <w:spacing w:after="0" w:line="182" w:lineRule="exact"/>
              <w:rPr>
                <w:rFonts w:ascii="Arial" w:cs="Arial" w:eastAsia="Arial" w:hAnsi="Arial"/>
                <w:sz w:val="18"/>
                <w:szCs w:val="18"/>
                <w:color w:val="0000FF"/>
              </w:rPr>
            </w:pPr>
            <w:hyperlink r:id="rId355">
              <w:r>
                <w:rPr>
                  <w:rFonts w:ascii="Arial" w:cs="Arial" w:eastAsia="Arial" w:hAnsi="Arial"/>
                  <w:sz w:val="18"/>
                  <w:szCs w:val="18"/>
                  <w:color w:val="0000FF"/>
                </w:rPr>
                <w:t>July 9, 2021, by and between Jonathan E. Lim, M.D. and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tcBorders>
              <w:top w:val="single" w:sz="8" w:color="0000FF"/>
            </w:tcBorders>
            <w:gridSpan w:val="36"/>
          </w:tcPr>
          <w:p>
            <w:pPr>
              <w:spacing w:after="0" w:line="182" w:lineRule="exact"/>
              <w:rPr>
                <w:rFonts w:ascii="Arial" w:cs="Arial" w:eastAsia="Arial" w:hAnsi="Arial"/>
                <w:sz w:val="18"/>
                <w:szCs w:val="18"/>
                <w:color w:val="0000FF"/>
              </w:rPr>
            </w:pPr>
            <w:hyperlink r:id="rId355">
              <w:r>
                <w:rPr>
                  <w:rFonts w:ascii="Arial" w:cs="Arial" w:eastAsia="Arial" w:hAnsi="Arial"/>
                  <w:sz w:val="18"/>
                  <w:szCs w:val="18"/>
                  <w:color w:val="0000FF"/>
                </w:rPr>
                <w:t>Registrant</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r:id="rId356">
              <w:r>
                <w:rPr>
                  <w:rFonts w:ascii="Arial" w:cs="Arial" w:eastAsia="Arial" w:hAnsi="Arial"/>
                  <w:sz w:val="18"/>
                  <w:szCs w:val="18"/>
                  <w:color w:val="0000FF"/>
                </w:rPr>
                <w:t>Amended</w:t>
              </w:r>
            </w:hyperlink>
          </w:p>
        </w:tc>
        <w:tc>
          <w:tcPr>
            <w:tcW w:w="4440" w:type="dxa"/>
            <w:vAlign w:val="bottom"/>
            <w:gridSpan w:val="49"/>
          </w:tcPr>
          <w:p>
            <w:pPr>
              <w:spacing w:after="0" w:line="182" w:lineRule="exact"/>
              <w:rPr>
                <w:rFonts w:ascii="Arial" w:cs="Arial" w:eastAsia="Arial" w:hAnsi="Arial"/>
                <w:sz w:val="18"/>
                <w:szCs w:val="18"/>
                <w:color w:val="0000FF"/>
              </w:rPr>
            </w:pPr>
            <w:hyperlink r:id="rId356">
              <w:r>
                <w:rPr>
                  <w:rFonts w:ascii="Arial" w:cs="Arial" w:eastAsia="Arial" w:hAnsi="Arial"/>
                  <w:sz w:val="18"/>
                  <w:szCs w:val="18"/>
                  <w:color w:val="0000FF"/>
                </w:rPr>
                <w:t>and Restated Employment Letter Agreement, dated</w:t>
              </w:r>
            </w:hyperlink>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tcBorders>
              <w:top w:val="single" w:sz="8" w:color="0000FF"/>
            </w:tcBorders>
            <w:gridSpan w:val="42"/>
          </w:tcPr>
          <w:p>
            <w:pPr>
              <w:spacing w:after="0" w:line="182" w:lineRule="exact"/>
              <w:rPr>
                <w:rFonts w:ascii="Arial" w:cs="Arial" w:eastAsia="Arial" w:hAnsi="Arial"/>
                <w:sz w:val="18"/>
                <w:szCs w:val="18"/>
                <w:color w:val="0000FF"/>
              </w:rPr>
            </w:pPr>
            <w:hyperlink r:id="rId356">
              <w:r>
                <w:rPr>
                  <w:rFonts w:ascii="Arial" w:cs="Arial" w:eastAsia="Arial" w:hAnsi="Arial"/>
                  <w:sz w:val="18"/>
                  <w:szCs w:val="18"/>
                  <w:color w:val="0000FF"/>
                </w:rPr>
                <w:t>July 9, 2021, by and between David M. Chacko, M.D. and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tcBorders>
              <w:top w:val="single" w:sz="8" w:color="0000FF"/>
            </w:tcBorders>
            <w:gridSpan w:val="40"/>
          </w:tcPr>
          <w:p>
            <w:pPr>
              <w:spacing w:after="0" w:line="182" w:lineRule="exact"/>
              <w:rPr>
                <w:rFonts w:ascii="Arial" w:cs="Arial" w:eastAsia="Arial" w:hAnsi="Arial"/>
                <w:sz w:val="18"/>
                <w:szCs w:val="18"/>
                <w:color w:val="0000FF"/>
              </w:rPr>
            </w:pPr>
            <w:hyperlink r:id="rId356">
              <w:r>
                <w:rPr>
                  <w:rFonts w:ascii="Arial" w:cs="Arial" w:eastAsia="Arial" w:hAnsi="Arial"/>
                  <w:sz w:val="18"/>
                  <w:szCs w:val="18"/>
                  <w:color w:val="0000FF"/>
                </w:rPr>
                <w:t>Registrant</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r:id="rId357">
              <w:r>
                <w:rPr>
                  <w:rFonts w:ascii="Arial" w:cs="Arial" w:eastAsia="Arial" w:hAnsi="Arial"/>
                  <w:sz w:val="18"/>
                  <w:szCs w:val="18"/>
                  <w:color w:val="0000FF"/>
                </w:rPr>
                <w:t>Amended</w:t>
              </w:r>
            </w:hyperlink>
          </w:p>
        </w:tc>
        <w:tc>
          <w:tcPr>
            <w:tcW w:w="4440" w:type="dxa"/>
            <w:vAlign w:val="bottom"/>
            <w:gridSpan w:val="49"/>
          </w:tcPr>
          <w:p>
            <w:pPr>
              <w:spacing w:after="0" w:line="182" w:lineRule="exact"/>
              <w:rPr>
                <w:rFonts w:ascii="Arial" w:cs="Arial" w:eastAsia="Arial" w:hAnsi="Arial"/>
                <w:sz w:val="18"/>
                <w:szCs w:val="18"/>
                <w:color w:val="0000FF"/>
              </w:rPr>
            </w:pPr>
            <w:hyperlink r:id="rId357">
              <w:r>
                <w:rPr>
                  <w:rFonts w:ascii="Arial" w:cs="Arial" w:eastAsia="Arial" w:hAnsi="Arial"/>
                  <w:sz w:val="18"/>
                  <w:szCs w:val="18"/>
                  <w:color w:val="0000FF"/>
                </w:rPr>
                <w:t>and Restated Employment Letter Agreement, dated</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tcBorders>
              <w:top w:val="single" w:sz="8" w:color="0000FF"/>
              <w:bottom w:val="single" w:sz="8" w:color="0000FF"/>
            </w:tcBorders>
            <w:gridSpan w:val="42"/>
          </w:tcPr>
          <w:p>
            <w:pPr>
              <w:spacing w:after="0" w:line="182" w:lineRule="exact"/>
              <w:rPr>
                <w:rFonts w:ascii="Arial" w:cs="Arial" w:eastAsia="Arial" w:hAnsi="Arial"/>
                <w:sz w:val="18"/>
                <w:szCs w:val="18"/>
                <w:color w:val="0000FF"/>
                <w:w w:val="98"/>
              </w:rPr>
            </w:pPr>
            <w:hyperlink r:id="rId357">
              <w:r>
                <w:rPr>
                  <w:rFonts w:ascii="Arial" w:cs="Arial" w:eastAsia="Arial" w:hAnsi="Arial"/>
                  <w:sz w:val="18"/>
                  <w:szCs w:val="18"/>
                  <w:color w:val="0000FF"/>
                  <w:w w:val="98"/>
                </w:rPr>
                <w:t>April 10, 2023, by and between Shannon R. Morris, M.D., Ph.D.</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Borders>
              <w:bottom w:val="single" w:sz="8" w:color="0000FF"/>
            </w:tcBorders>
            <w:gridSpan w:val="9"/>
          </w:tcPr>
          <w:p>
            <w:pPr>
              <w:spacing w:after="0" w:line="182" w:lineRule="exact"/>
              <w:rPr>
                <w:rFonts w:ascii="Arial" w:cs="Arial" w:eastAsia="Arial" w:hAnsi="Arial"/>
                <w:sz w:val="18"/>
                <w:szCs w:val="18"/>
                <w:color w:val="0000FF"/>
                <w:w w:val="97"/>
              </w:rPr>
            </w:pPr>
            <w:hyperlink r:id="rId357">
              <w:r>
                <w:rPr>
                  <w:rFonts w:ascii="Arial" w:cs="Arial" w:eastAsia="Arial" w:hAnsi="Arial"/>
                  <w:sz w:val="18"/>
                  <w:szCs w:val="18"/>
                  <w:color w:val="0000FF"/>
                  <w:w w:val="97"/>
                </w:rPr>
                <w:t>and the Registrant</w:t>
              </w:r>
            </w:hyperlink>
          </w:p>
        </w:tc>
        <w:tc>
          <w:tcPr>
            <w:tcW w:w="20" w:type="dxa"/>
            <w:vAlign w:val="bottom"/>
            <w:tcBorders>
              <w:bottom w:val="single" w:sz="8" w:color="0000EE"/>
            </w:tcBorders>
          </w:tcPr>
          <w:p>
            <w:pPr>
              <w:spacing w:after="0"/>
              <w:rPr>
                <w:sz w:val="15"/>
                <w:szCs w:val="15"/>
                <w:color w:val="auto"/>
              </w:rPr>
            </w:pPr>
          </w:p>
        </w:tc>
        <w:tc>
          <w:tcPr>
            <w:tcW w:w="3620" w:type="dxa"/>
            <w:vAlign w:val="bottom"/>
            <w:gridSpan w:val="37"/>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gridSpan w:val="53"/>
          </w:tcPr>
          <w:p>
            <w:pPr>
              <w:spacing w:after="0" w:line="182" w:lineRule="exact"/>
              <w:rPr>
                <w:rFonts w:ascii="Arial" w:cs="Arial" w:eastAsia="Arial" w:hAnsi="Arial"/>
                <w:sz w:val="18"/>
                <w:szCs w:val="18"/>
                <w:color w:val="0000FF"/>
              </w:rPr>
            </w:pPr>
            <w:hyperlink r:id="rId358">
              <w:r>
                <w:rPr>
                  <w:rFonts w:ascii="Arial" w:cs="Arial" w:eastAsia="Arial" w:hAnsi="Arial"/>
                  <w:sz w:val="18"/>
                  <w:szCs w:val="18"/>
                  <w:color w:val="0000FF"/>
                </w:rPr>
                <w:t>Amended and Restated Employment Letter Agreement, dated</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8"/>
              </w:rPr>
              <w:t>10.10#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tcBorders>
              <w:top w:val="single" w:sz="8" w:color="0000FF"/>
              <w:bottom w:val="single" w:sz="8" w:color="0000FF"/>
            </w:tcBorders>
            <w:gridSpan w:val="42"/>
          </w:tcPr>
          <w:p>
            <w:pPr>
              <w:spacing w:after="0" w:line="182" w:lineRule="exact"/>
              <w:rPr>
                <w:rFonts w:ascii="Arial" w:cs="Arial" w:eastAsia="Arial" w:hAnsi="Arial"/>
                <w:sz w:val="18"/>
                <w:szCs w:val="18"/>
                <w:color w:val="0000FF"/>
                <w:w w:val="96"/>
              </w:rPr>
            </w:pPr>
            <w:hyperlink r:id="rId358">
              <w:r>
                <w:rPr>
                  <w:rFonts w:ascii="Arial" w:cs="Arial" w:eastAsia="Arial" w:hAnsi="Arial"/>
                  <w:sz w:val="18"/>
                  <w:szCs w:val="18"/>
                  <w:color w:val="0000FF"/>
                  <w:w w:val="96"/>
                </w:rPr>
                <w:t>July 9, 2021, by and between Ebun S. Garner and the Registrant</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20" w:type="dxa"/>
            <w:vAlign w:val="bottom"/>
            <w:tcBorders>
              <w:bottom w:val="single" w:sz="8" w:color="0000FF"/>
            </w:tcBorders>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60" w:type="dxa"/>
            <w:vAlign w:val="bottom"/>
            <w:gridSpan w:val="49"/>
          </w:tcPr>
          <w:p>
            <w:pPr>
              <w:spacing w:after="0" w:line="182" w:lineRule="exact"/>
              <w:rPr>
                <w:rFonts w:ascii="Arial" w:cs="Arial" w:eastAsia="Arial" w:hAnsi="Arial"/>
                <w:sz w:val="18"/>
                <w:szCs w:val="18"/>
                <w:color w:val="0000FF"/>
              </w:rPr>
            </w:pPr>
            <w:hyperlink r:id="rId359">
              <w:r>
                <w:rPr>
                  <w:rFonts w:ascii="Arial" w:cs="Arial" w:eastAsia="Arial" w:hAnsi="Arial"/>
                  <w:sz w:val="18"/>
                  <w:szCs w:val="18"/>
                  <w:color w:val="0000FF"/>
                </w:rPr>
                <w:t>Form of Indemnification Agreement for Directors and Officers</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8"/>
              </w:rPr>
              <w:t>10.11†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tcBorders>
              <w:top w:val="single" w:sz="8" w:color="0000FF"/>
              <w:bottom w:val="single" w:sz="8" w:color="0000FF"/>
            </w:tcBorders>
            <w:gridSpan w:val="34"/>
          </w:tcPr>
          <w:p>
            <w:pPr>
              <w:spacing w:after="0" w:line="182" w:lineRule="exact"/>
              <w:rPr>
                <w:rFonts w:ascii="Arial" w:cs="Arial" w:eastAsia="Arial" w:hAnsi="Arial"/>
                <w:sz w:val="18"/>
                <w:szCs w:val="18"/>
                <w:color w:val="0000FF"/>
                <w:w w:val="96"/>
              </w:rPr>
            </w:pPr>
            <w:hyperlink r:id="rId360">
              <w:r>
                <w:rPr>
                  <w:rFonts w:ascii="Arial" w:cs="Arial" w:eastAsia="Arial" w:hAnsi="Arial"/>
                  <w:sz w:val="18"/>
                  <w:szCs w:val="18"/>
                  <w:color w:val="0000FF"/>
                  <w:w w:val="96"/>
                </w:rPr>
                <w:t>Lease Agreement, dated September 29, 2020 by and between</w:t>
              </w:r>
            </w:hyperlink>
          </w:p>
        </w:tc>
        <w:tc>
          <w:tcPr>
            <w:tcW w:w="20" w:type="dxa"/>
            <w:vAlign w:val="bottom"/>
            <w:tcBorders>
              <w:top w:val="single" w:sz="8" w:color="0000EE"/>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bottom w:val="single" w:sz="8" w:color="0000FF"/>
            </w:tcBorders>
            <w:gridSpan w:val="38"/>
          </w:tcPr>
          <w:p>
            <w:pPr>
              <w:spacing w:after="0" w:line="182" w:lineRule="exact"/>
              <w:rPr>
                <w:rFonts w:ascii="Arial" w:cs="Arial" w:eastAsia="Arial" w:hAnsi="Arial"/>
                <w:sz w:val="18"/>
                <w:szCs w:val="18"/>
                <w:color w:val="0000FF"/>
                <w:w w:val="99"/>
              </w:rPr>
            </w:pPr>
            <w:hyperlink r:id="rId360">
              <w:r>
                <w:rPr>
                  <w:rFonts w:ascii="Arial" w:cs="Arial" w:eastAsia="Arial" w:hAnsi="Arial"/>
                  <w:sz w:val="18"/>
                  <w:szCs w:val="18"/>
                  <w:color w:val="0000FF"/>
                  <w:w w:val="99"/>
                </w:rPr>
                <w:t>ARE-SD Region No. 23, LLC and the Registrant, as amended</w:t>
              </w:r>
            </w:hyperlink>
          </w:p>
        </w:tc>
        <w:tc>
          <w:tcPr>
            <w:tcW w:w="20" w:type="dxa"/>
            <w:vAlign w:val="bottom"/>
            <w:tcBorders>
              <w:bottom w:val="single" w:sz="8" w:color="0000EE"/>
            </w:tcBorders>
          </w:tcPr>
          <w:p>
            <w:pPr>
              <w:spacing w:after="0"/>
              <w:rPr>
                <w:sz w:val="15"/>
                <w:szCs w:val="15"/>
                <w:color w:val="auto"/>
              </w:rPr>
            </w:pPr>
          </w:p>
        </w:tc>
        <w:tc>
          <w:tcPr>
            <w:tcW w:w="100" w:type="dxa"/>
            <w:vAlign w:val="bottom"/>
            <w:gridSpan w:val="5"/>
          </w:tcPr>
          <w:p>
            <w:pPr>
              <w:spacing w:after="0"/>
              <w:rPr>
                <w:sz w:val="15"/>
                <w:szCs w:val="15"/>
                <w:color w:val="auto"/>
              </w:rPr>
            </w:pPr>
          </w:p>
        </w:tc>
        <w:tc>
          <w:tcPr>
            <w:tcW w:w="18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tcBorders>
              <w:bottom w:val="single" w:sz="8" w:color="0000FF"/>
            </w:tcBorders>
            <w:gridSpan w:val="39"/>
          </w:tcPr>
          <w:p>
            <w:pPr>
              <w:spacing w:after="0" w:line="182" w:lineRule="exact"/>
              <w:rPr>
                <w:rFonts w:ascii="Arial" w:cs="Arial" w:eastAsia="Arial" w:hAnsi="Arial"/>
                <w:sz w:val="18"/>
                <w:szCs w:val="18"/>
                <w:color w:val="0000FF"/>
                <w:w w:val="99"/>
              </w:rPr>
            </w:pPr>
            <w:hyperlink r:id="rId361">
              <w:r>
                <w:rPr>
                  <w:rFonts w:ascii="Arial" w:cs="Arial" w:eastAsia="Arial" w:hAnsi="Arial"/>
                  <w:sz w:val="18"/>
                  <w:szCs w:val="18"/>
                  <w:color w:val="0000FF"/>
                  <w:w w:val="99"/>
                </w:rPr>
                <w:t>Open Market Sale Agreement, dated August 11, 2022, by and</w:t>
              </w:r>
            </w:hyperlink>
          </w:p>
        </w:tc>
        <w:tc>
          <w:tcPr>
            <w:tcW w:w="80" w:type="dxa"/>
            <w:vAlign w:val="bottom"/>
            <w:tcBorders>
              <w:bottom w:val="single" w:sz="8" w:color="0000FF"/>
            </w:tcBorders>
            <w:gridSpan w:val="4"/>
          </w:tcPr>
          <w:p>
            <w:pPr>
              <w:spacing w:after="0"/>
              <w:rPr>
                <w:sz w:val="15"/>
                <w:szCs w:val="15"/>
                <w:color w:val="auto"/>
              </w:rPr>
            </w:pPr>
          </w:p>
        </w:tc>
        <w:tc>
          <w:tcPr>
            <w:tcW w:w="20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8"/>
              </w:rPr>
              <w:t>10.13†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361">
              <w:r>
                <w:rPr>
                  <w:rFonts w:ascii="Arial" w:cs="Arial" w:eastAsia="Arial" w:hAnsi="Arial"/>
                  <w:sz w:val="18"/>
                  <w:szCs w:val="18"/>
                  <w:color w:val="0000FF"/>
                  <w:w w:val="99"/>
                </w:rPr>
                <w:t>between Jefferies LLC and the Registrant</w:t>
              </w:r>
            </w:hyperlink>
          </w:p>
        </w:tc>
        <w:tc>
          <w:tcPr>
            <w:tcW w:w="20" w:type="dxa"/>
            <w:vAlign w:val="bottom"/>
            <w:tcBorders>
              <w:bottom w:val="single" w:sz="8" w:color="0000EE"/>
            </w:tcBorders>
          </w:tcPr>
          <w:p>
            <w:pPr>
              <w:spacing w:after="0"/>
              <w:rPr>
                <w:sz w:val="15"/>
                <w:szCs w:val="15"/>
                <w:color w:val="auto"/>
              </w:rPr>
            </w:pPr>
          </w:p>
        </w:tc>
        <w:tc>
          <w:tcPr>
            <w:tcW w:w="1700" w:type="dxa"/>
            <w:vAlign w:val="bottom"/>
            <w:gridSpan w:val="28"/>
          </w:tcPr>
          <w:p>
            <w:pPr>
              <w:spacing w:after="0"/>
              <w:rPr>
                <w:sz w:val="15"/>
                <w:szCs w:val="15"/>
                <w:color w:val="auto"/>
              </w:rPr>
            </w:pPr>
          </w:p>
        </w:tc>
        <w:tc>
          <w:tcPr>
            <w:tcW w:w="20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gridSpan w:val="53"/>
          </w:tcPr>
          <w:p>
            <w:pPr>
              <w:spacing w:after="0" w:line="182" w:lineRule="exact"/>
              <w:rPr>
                <w:rFonts w:ascii="Arial" w:cs="Arial" w:eastAsia="Arial" w:hAnsi="Arial"/>
                <w:sz w:val="18"/>
                <w:szCs w:val="18"/>
                <w:color w:val="0000FF"/>
              </w:rPr>
            </w:pPr>
            <w:hyperlink r:id="rId362">
              <w:r>
                <w:rPr>
                  <w:rFonts w:ascii="Arial" w:cs="Arial" w:eastAsia="Arial" w:hAnsi="Arial"/>
                  <w:sz w:val="18"/>
                  <w:szCs w:val="18"/>
                  <w:color w:val="0000FF"/>
                </w:rPr>
                <w:t>Exclusive License Agreement, dated December 9, 2022 by and</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80" w:type="dxa"/>
            <w:vAlign w:val="bottom"/>
            <w:tcBorders>
              <w:top w:val="single" w:sz="8" w:color="0000FF"/>
            </w:tcBorders>
            <w:gridSpan w:val="46"/>
          </w:tcPr>
          <w:p>
            <w:pPr>
              <w:spacing w:after="0" w:line="182" w:lineRule="exact"/>
              <w:rPr>
                <w:rFonts w:ascii="Arial" w:cs="Arial" w:eastAsia="Arial" w:hAnsi="Arial"/>
                <w:sz w:val="18"/>
                <w:szCs w:val="18"/>
                <w:color w:val="0000FF"/>
              </w:rPr>
            </w:pPr>
            <w:hyperlink r:id="rId362">
              <w:r>
                <w:rPr>
                  <w:rFonts w:ascii="Arial" w:cs="Arial" w:eastAsia="Arial" w:hAnsi="Arial"/>
                  <w:sz w:val="18"/>
                  <w:szCs w:val="18"/>
                  <w:color w:val="0000FF"/>
                </w:rPr>
                <w:t>between Novartis Pharma AG and the Registrant</w:t>
              </w:r>
            </w:hyperlink>
          </w:p>
        </w:tc>
        <w:tc>
          <w:tcPr>
            <w:tcW w:w="14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8"/>
              </w:rPr>
              <w:t>10.14#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top w:val="single" w:sz="8" w:color="0000FF"/>
            </w:tcBorders>
            <w:gridSpan w:val="20"/>
          </w:tcPr>
          <w:p>
            <w:pPr>
              <w:spacing w:after="0" w:line="182" w:lineRule="exact"/>
              <w:rPr>
                <w:rFonts w:ascii="Arial" w:cs="Arial" w:eastAsia="Arial" w:hAnsi="Arial"/>
                <w:sz w:val="18"/>
                <w:szCs w:val="18"/>
                <w:color w:val="0000FF"/>
                <w:w w:val="94"/>
              </w:rPr>
            </w:pPr>
            <w:hyperlink r:id="rId363">
              <w:r>
                <w:rPr>
                  <w:rFonts w:ascii="Arial" w:cs="Arial" w:eastAsia="Arial" w:hAnsi="Arial"/>
                  <w:sz w:val="18"/>
                  <w:szCs w:val="18"/>
                  <w:color w:val="0000FF"/>
                  <w:w w:val="94"/>
                </w:rPr>
                <w:t>Erasca, Inc. Non-Employee Director Compensation</w:t>
              </w:r>
            </w:hyperlink>
          </w:p>
        </w:tc>
        <w:tc>
          <w:tcPr>
            <w:tcW w:w="20" w:type="dxa"/>
            <w:vAlign w:val="bottom"/>
            <w:tcBorders>
              <w:top w:val="single" w:sz="8" w:color="0000EE"/>
            </w:tcBorders>
          </w:tcPr>
          <w:p>
            <w:pPr>
              <w:spacing w:after="0"/>
              <w:rPr>
                <w:sz w:val="15"/>
                <w:szCs w:val="15"/>
                <w:color w:val="auto"/>
              </w:rPr>
            </w:pPr>
          </w:p>
        </w:tc>
        <w:tc>
          <w:tcPr>
            <w:tcW w:w="140" w:type="dxa"/>
            <w:vAlign w:val="bottom"/>
            <w:gridSpan w:val="3"/>
          </w:tcPr>
          <w:p>
            <w:pPr>
              <w:spacing w:after="0"/>
              <w:rPr>
                <w:sz w:val="15"/>
                <w:szCs w:val="15"/>
                <w:color w:val="auto"/>
              </w:rPr>
            </w:pPr>
          </w:p>
        </w:tc>
        <w:tc>
          <w:tcPr>
            <w:tcW w:w="1200" w:type="dxa"/>
            <w:vAlign w:val="bottom"/>
            <w:gridSpan w:val="29"/>
          </w:tcPr>
          <w:p>
            <w:pPr>
              <w:ind w:left="80"/>
              <w:spacing w:after="0" w:line="182" w:lineRule="exact"/>
              <w:rPr>
                <w:rFonts w:ascii="Arial" w:cs="Arial" w:eastAsia="Arial" w:hAnsi="Arial"/>
                <w:sz w:val="18"/>
                <w:szCs w:val="18"/>
                <w:color w:val="0000FF"/>
              </w:rPr>
            </w:pPr>
            <w:hyperlink r:id="rId363">
              <w:r>
                <w:rPr>
                  <w:rFonts w:ascii="Arial" w:cs="Arial" w:eastAsia="Arial" w:hAnsi="Arial"/>
                  <w:sz w:val="18"/>
                  <w:szCs w:val="18"/>
                  <w:color w:val="0000FF"/>
                </w:rPr>
                <w:t>Program</w:t>
              </w:r>
            </w:hyperlink>
          </w:p>
        </w:tc>
        <w:tc>
          <w:tcPr>
            <w:tcW w:w="0" w:type="dxa"/>
            <w:vAlign w:val="bottom"/>
          </w:tcPr>
          <w:p>
            <w:pPr>
              <w:spacing w:after="0"/>
              <w:rPr>
                <w:sz w:val="1"/>
                <w:szCs w:val="1"/>
                <w:color w:val="auto"/>
              </w:rPr>
            </w:pPr>
          </w:p>
        </w:tc>
      </w:tr>
      <w:tr>
        <w:trPr>
          <w:trHeight w:val="182"/>
        </w:trPr>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8"/>
              </w:rPr>
              <w:t>10.15†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0" w:type="dxa"/>
            <w:vAlign w:val="bottom"/>
            <w:tcBorders>
              <w:top w:val="single" w:sz="8" w:color="0000FF"/>
            </w:tcBorders>
            <w:gridSpan w:val="33"/>
          </w:tcPr>
          <w:p>
            <w:pPr>
              <w:spacing w:after="0" w:line="182" w:lineRule="exact"/>
              <w:rPr>
                <w:rFonts w:ascii="Arial" w:cs="Arial" w:eastAsia="Arial" w:hAnsi="Arial"/>
                <w:sz w:val="18"/>
                <w:szCs w:val="18"/>
                <w:color w:val="0000FF"/>
              </w:rPr>
            </w:pPr>
            <w:hyperlink r:id="rId364">
              <w:r>
                <w:rPr>
                  <w:rFonts w:ascii="Arial" w:cs="Arial" w:eastAsia="Arial" w:hAnsi="Arial"/>
                  <w:sz w:val="18"/>
                  <w:szCs w:val="18"/>
                  <w:color w:val="0000FF"/>
                </w:rPr>
                <w:t>License Agreement, dated May 15, 2024, by and between</w:t>
              </w:r>
            </w:hyperlink>
          </w:p>
        </w:tc>
        <w:tc>
          <w:tcPr>
            <w:tcW w:w="420" w:type="dxa"/>
            <w:vAlign w:val="bottom"/>
            <w:gridSpan w:val="1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8"/>
              </w:rPr>
              <w:t>10.16†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tcBorders>
              <w:top w:val="single" w:sz="8" w:color="0000FF"/>
              <w:bottom w:val="single" w:sz="8" w:color="0000FF"/>
            </w:tcBorders>
            <w:gridSpan w:val="29"/>
          </w:tcPr>
          <w:p>
            <w:pPr>
              <w:spacing w:after="0" w:line="182" w:lineRule="exact"/>
              <w:rPr>
                <w:rFonts w:ascii="Arial" w:cs="Arial" w:eastAsia="Arial" w:hAnsi="Arial"/>
                <w:sz w:val="18"/>
                <w:szCs w:val="18"/>
                <w:color w:val="0000FF"/>
                <w:w w:val="99"/>
              </w:rPr>
            </w:pPr>
            <w:hyperlink r:id="rId364">
              <w:r>
                <w:rPr>
                  <w:rFonts w:ascii="Arial" w:cs="Arial" w:eastAsia="Arial" w:hAnsi="Arial"/>
                  <w:sz w:val="18"/>
                  <w:szCs w:val="18"/>
                  <w:color w:val="0000FF"/>
                  <w:w w:val="99"/>
                </w:rPr>
                <w:t>Guangzhou Joyo Pharmatech Co., Ltd., and Erasca, Inc.</w:t>
              </w:r>
            </w:hyperlink>
          </w:p>
        </w:tc>
        <w:tc>
          <w:tcPr>
            <w:tcW w:w="20" w:type="dxa"/>
            <w:vAlign w:val="bottom"/>
            <w:tcBorders>
              <w:top w:val="single" w:sz="8" w:color="0000FF"/>
              <w:bottom w:val="single" w:sz="8" w:color="0000EE"/>
            </w:tcBorders>
          </w:tcPr>
          <w:p>
            <w:pPr>
              <w:spacing w:after="0"/>
              <w:rPr>
                <w:sz w:val="15"/>
                <w:szCs w:val="15"/>
                <w:color w:val="auto"/>
              </w:rPr>
            </w:pPr>
          </w:p>
        </w:tc>
        <w:tc>
          <w:tcPr>
            <w:tcW w:w="120" w:type="dxa"/>
            <w:vAlign w:val="bottom"/>
            <w:tcBorders>
              <w:top w:val="single" w:sz="8" w:color="0000FF"/>
            </w:tcBorders>
            <w:gridSpan w:val="2"/>
          </w:tcPr>
          <w:p>
            <w:pPr>
              <w:spacing w:after="0"/>
              <w:rPr>
                <w:sz w:val="15"/>
                <w:szCs w:val="15"/>
                <w:color w:val="auto"/>
              </w:rPr>
            </w:pPr>
          </w:p>
        </w:tc>
        <w:tc>
          <w:tcPr>
            <w:tcW w:w="580" w:type="dxa"/>
            <w:vAlign w:val="bottom"/>
            <w:gridSpan w:val="2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gridSpan w:val="30"/>
          </w:tcPr>
          <w:p>
            <w:pPr>
              <w:spacing w:after="0" w:line="182" w:lineRule="exact"/>
              <w:rPr>
                <w:rFonts w:ascii="Arial" w:cs="Arial" w:eastAsia="Arial" w:hAnsi="Arial"/>
                <w:sz w:val="18"/>
                <w:szCs w:val="18"/>
                <w:color w:val="0000FF"/>
                <w:w w:val="97"/>
              </w:rPr>
            </w:pPr>
            <w:hyperlink r:id="rId365">
              <w:r>
                <w:rPr>
                  <w:rFonts w:ascii="Arial" w:cs="Arial" w:eastAsia="Arial" w:hAnsi="Arial"/>
                  <w:sz w:val="18"/>
                  <w:szCs w:val="18"/>
                  <w:color w:val="0000FF"/>
                  <w:w w:val="97"/>
                </w:rPr>
                <w:t>License Agreement, dated May 14, 2024, by and between</w:t>
              </w:r>
            </w:hyperlink>
          </w:p>
        </w:tc>
        <w:tc>
          <w:tcPr>
            <w:tcW w:w="700" w:type="dxa"/>
            <w:vAlign w:val="bottom"/>
            <w:gridSpan w:val="2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6"/>
              </w:rPr>
              <w:t>19.1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4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365">
              <w:r>
                <w:rPr>
                  <w:rFonts w:ascii="Arial" w:cs="Arial" w:eastAsia="Arial" w:hAnsi="Arial"/>
                  <w:sz w:val="18"/>
                  <w:szCs w:val="18"/>
                  <w:color w:val="0000FF"/>
                </w:rPr>
                <w:t>Medshine Discovery Inc., and Erasca, Inc.</w:t>
              </w:r>
            </w:hyperlink>
          </w:p>
        </w:tc>
        <w:tc>
          <w:tcPr>
            <w:tcW w:w="580" w:type="dxa"/>
            <w:vAlign w:val="bottom"/>
            <w:gridSpan w:val="2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top w:val="single" w:sz="8" w:color="0000FF"/>
              <w:bottom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Insider Trading Compliance Policy and</w:t>
            </w:r>
          </w:p>
        </w:tc>
        <w:tc>
          <w:tcPr>
            <w:tcW w:w="20" w:type="dxa"/>
            <w:vAlign w:val="bottom"/>
            <w:tcBorders>
              <w:top w:val="single" w:sz="8" w:color="0000EE"/>
              <w:bottom w:val="single" w:sz="8" w:color="0000FF"/>
            </w:tcBorders>
          </w:tcPr>
          <w:p>
            <w:pPr>
              <w:spacing w:after="0"/>
              <w:rPr>
                <w:sz w:val="15"/>
                <w:szCs w:val="15"/>
                <w:color w:val="auto"/>
              </w:rPr>
            </w:pPr>
          </w:p>
        </w:tc>
        <w:tc>
          <w:tcPr>
            <w:tcW w:w="68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71"/>
              </w:rPr>
              <w:t>Procedures</w:t>
            </w:r>
          </w:p>
        </w:tc>
        <w:tc>
          <w:tcPr>
            <w:tcW w:w="1200" w:type="dxa"/>
            <w:vAlign w:val="bottom"/>
            <w:gridSpan w:val="2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6"/>
              </w:rPr>
              <w:t>23.1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gridSpan w:val="53"/>
          </w:tcPr>
          <w:p>
            <w:pPr>
              <w:spacing w:after="0" w:line="182" w:lineRule="exact"/>
              <w:rPr>
                <w:sz w:val="20"/>
                <w:szCs w:val="20"/>
                <w:color w:val="auto"/>
              </w:rPr>
            </w:pPr>
            <w:r>
              <w:rPr>
                <w:rFonts w:ascii="Arial" w:cs="Arial" w:eastAsia="Arial" w:hAnsi="Arial"/>
                <w:sz w:val="18"/>
                <w:szCs w:val="18"/>
                <w:color w:val="0000FF"/>
              </w:rPr>
              <w:t>Consent of KPMG LLP, independent registered public accounting</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3"/>
              </w:rPr>
              <w:t>firm</w:t>
            </w:r>
          </w:p>
        </w:tc>
        <w:tc>
          <w:tcPr>
            <w:tcW w:w="4920" w:type="dxa"/>
            <w:vAlign w:val="bottom"/>
            <w:tcBorders>
              <w:top w:val="single" w:sz="8" w:color="0000FF"/>
            </w:tcBorders>
            <w:gridSpan w:val="5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160" w:type="dxa"/>
            <w:vAlign w:val="bottom"/>
          </w:tcPr>
          <w:p>
            <w:pPr>
              <w:spacing w:after="0"/>
              <w:rPr>
                <w:sz w:val="24"/>
                <w:szCs w:val="24"/>
                <w:color w:val="auto"/>
              </w:rPr>
            </w:pPr>
          </w:p>
        </w:tc>
        <w:tc>
          <w:tcPr>
            <w:tcW w:w="4660" w:type="dxa"/>
            <w:vAlign w:val="bottom"/>
            <w:gridSpan w:val="31"/>
          </w:tcPr>
          <w:p>
            <w:pPr>
              <w:jc w:val="right"/>
              <w:ind w:right="4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Pr>
          <w:p>
            <w:pPr>
              <w:spacing w:after="0"/>
              <w:rPr>
                <w:sz w:val="14"/>
                <w:szCs w:val="14"/>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Filed Herewith</w:t>
            </w:r>
          </w:p>
        </w:tc>
      </w:tr>
      <w:tr>
        <w:trPr>
          <w:trHeight w:val="155"/>
        </w:trPr>
        <w:tc>
          <w:tcPr>
            <w:tcW w:w="700" w:type="dxa"/>
            <w:vAlign w:val="bottom"/>
            <w:tcBorders>
              <w:bottom w:val="single" w:sz="8" w:color="auto"/>
            </w:tcBorders>
          </w:tcPr>
          <w:p>
            <w:pPr>
              <w:jc w:val="center"/>
              <w:ind w:left="91"/>
              <w:spacing w:after="0" w:line="155" w:lineRule="exact"/>
              <w:rPr>
                <w:sz w:val="20"/>
                <w:szCs w:val="20"/>
                <w:color w:val="auto"/>
              </w:rPr>
            </w:pPr>
            <w:r>
              <w:rPr>
                <w:rFonts w:ascii="Arial" w:cs="Arial" w:eastAsia="Arial" w:hAnsi="Arial"/>
                <w:sz w:val="14"/>
                <w:szCs w:val="14"/>
                <w:b w:val="1"/>
                <w:bCs w:val="1"/>
                <w:color w:val="auto"/>
              </w:rPr>
              <w:t>Form</w:t>
            </w: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3"/>
                <w:szCs w:val="13"/>
                <w:color w:val="auto"/>
              </w:rPr>
            </w:pPr>
          </w:p>
        </w:tc>
        <w:tc>
          <w:tcPr>
            <w:tcW w:w="110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232"/>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9"/>
              </w:rPr>
              <w:t>8-K</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7/20/2021</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50"/>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9"/>
              </w:rPr>
              <w:t>8-K</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7/20/2021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9"/>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9"/>
              </w:rPr>
              <w:t>S-1</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6/25/2021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05"/>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9"/>
              </w:rPr>
              <w:t>S-1</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6/25/2021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71"/>
        </w:trPr>
        <w:tc>
          <w:tcPr>
            <w:tcW w:w="700" w:type="dxa"/>
            <w:vAlign w:val="bottom"/>
          </w:tcPr>
          <w:p>
            <w:pPr>
              <w:jc w:val="center"/>
              <w:ind w:left="71"/>
              <w:spacing w:after="0"/>
              <w:rPr>
                <w:sz w:val="20"/>
                <w:szCs w:val="20"/>
                <w:color w:val="auto"/>
              </w:rPr>
            </w:pPr>
            <w:r>
              <w:rPr>
                <w:rFonts w:ascii="Arial" w:cs="Arial" w:eastAsia="Arial" w:hAnsi="Arial"/>
                <w:sz w:val="18"/>
                <w:szCs w:val="18"/>
                <w:color w:val="auto"/>
                <w:w w:val="99"/>
              </w:rPr>
              <w:t>10-K</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3/24/2022</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9"/>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7"/>
              </w:rPr>
              <w:t>S-1/A</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7/12/2021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71"/>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7"/>
              </w:rPr>
              <w:t>S-1/A</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7/12/2021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9"/>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7"/>
              </w:rPr>
              <w:t>S-1/A</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7/12/2021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05"/>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9"/>
              </w:rPr>
              <w:t>S-1</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6/25/2021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9"/>
              </w:rPr>
              <w:t>S-1</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6/25/2021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10.10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7"/>
              </w:rPr>
              <w:t>S-1/A</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7/12/2021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10.13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08"/>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7"/>
              </w:rPr>
              <w:t>S-1/A</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7/12/2021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10.14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08"/>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9"/>
              </w:rPr>
              <w:t>10-Q</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8/10/2023</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07"/>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7"/>
              </w:rPr>
              <w:t>S-1/A</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7/12/2021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10.16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9"/>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7"/>
              </w:rPr>
              <w:t>S-1/A</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7/12/2021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10.17</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9"/>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9"/>
              </w:rPr>
              <w:t>10-Q</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5/12/2022</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05"/>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9"/>
              </w:rPr>
              <w:t>S-3</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8/11/2022</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700" w:type="dxa"/>
            <w:vAlign w:val="bottom"/>
          </w:tcPr>
          <w:p>
            <w:pPr>
              <w:jc w:val="center"/>
              <w:ind w:left="71"/>
              <w:spacing w:after="0"/>
              <w:rPr>
                <w:sz w:val="20"/>
                <w:szCs w:val="20"/>
                <w:color w:val="auto"/>
              </w:rPr>
            </w:pPr>
            <w:r>
              <w:rPr>
                <w:rFonts w:ascii="Arial" w:cs="Arial" w:eastAsia="Arial" w:hAnsi="Arial"/>
                <w:sz w:val="18"/>
                <w:szCs w:val="18"/>
                <w:color w:val="auto"/>
                <w:w w:val="99"/>
              </w:rPr>
              <w:t>10-K</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3/23/2023</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10.20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9"/>
        </w:trPr>
        <w:tc>
          <w:tcPr>
            <w:tcW w:w="700" w:type="dxa"/>
            <w:vAlign w:val="bottom"/>
          </w:tcPr>
          <w:p>
            <w:pPr>
              <w:jc w:val="center"/>
              <w:ind w:left="71"/>
              <w:spacing w:after="0"/>
              <w:rPr>
                <w:sz w:val="20"/>
                <w:szCs w:val="20"/>
                <w:color w:val="auto"/>
              </w:rPr>
            </w:pPr>
            <w:r>
              <w:rPr>
                <w:rFonts w:ascii="Arial" w:cs="Arial" w:eastAsia="Arial" w:hAnsi="Arial"/>
                <w:sz w:val="18"/>
                <w:szCs w:val="18"/>
                <w:color w:val="auto"/>
                <w:w w:val="99"/>
              </w:rPr>
              <w:t>10-K</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3/27/2024</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10.18</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9"/>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9"/>
              </w:rPr>
              <w:t>10-Q</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8/12/2024</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05"/>
        </w:trPr>
        <w:tc>
          <w:tcPr>
            <w:tcW w:w="700" w:type="dxa"/>
            <w:vAlign w:val="bottom"/>
          </w:tcPr>
          <w:p>
            <w:pPr>
              <w:jc w:val="center"/>
              <w:ind w:left="91"/>
              <w:spacing w:after="0"/>
              <w:rPr>
                <w:sz w:val="20"/>
                <w:szCs w:val="20"/>
                <w:color w:val="auto"/>
              </w:rPr>
            </w:pPr>
            <w:r>
              <w:rPr>
                <w:rFonts w:ascii="Arial" w:cs="Arial" w:eastAsia="Arial" w:hAnsi="Arial"/>
                <w:sz w:val="18"/>
                <w:szCs w:val="18"/>
                <w:color w:val="auto"/>
                <w:w w:val="99"/>
              </w:rPr>
              <w:t>10-Q</w:t>
            </w:r>
          </w:p>
        </w:tc>
        <w:tc>
          <w:tcPr>
            <w:tcW w:w="1400" w:type="dxa"/>
            <w:vAlign w:val="bottom"/>
            <w:gridSpan w:val="3"/>
          </w:tcPr>
          <w:p>
            <w:pPr>
              <w:jc w:val="center"/>
              <w:ind w:left="191"/>
              <w:spacing w:after="0"/>
              <w:rPr>
                <w:sz w:val="20"/>
                <w:szCs w:val="20"/>
                <w:color w:val="auto"/>
              </w:rPr>
            </w:pPr>
            <w:r>
              <w:rPr>
                <w:rFonts w:ascii="Arial" w:cs="Arial" w:eastAsia="Arial" w:hAnsi="Arial"/>
                <w:sz w:val="18"/>
                <w:szCs w:val="18"/>
                <w:color w:val="auto"/>
                <w:w w:val="99"/>
              </w:rPr>
              <w:t>8/12/2024</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6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X</w:t>
      </w:r>
    </w:p>
    <w:p>
      <w:pPr>
        <w:spacing w:after="0" w:line="1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540" w:space="120"/>
            <w:col w:w="4580"/>
          </w:cols>
          <w:pgMar w:left="320" w:top="985" w:right="339" w:bottom="1440" w:gutter="0" w:footer="0" w:header="0"/>
        </w:sectPr>
      </w:pPr>
    </w:p>
    <w:bookmarkStart w:id="159" w:name="page160"/>
    <w:bookmarkEnd w:id="159"/>
    <w:tbl>
      <w:tblPr>
        <w:tblLayout w:type="fixed"/>
        <w:tblInd w:w="212" w:type="dxa"/>
        <w:tblCellMar>
          <w:top w:w="0" w:type="dxa"/>
          <w:left w:w="0" w:type="dxa"/>
          <w:bottom w:w="0" w:type="dxa"/>
          <w:right w:w="0" w:type="dxa"/>
        </w:tblCellMar>
      </w:tblPr>
      <w:tr>
        <w:trPr>
          <w:trHeight w:val="20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6"/>
              </w:rPr>
              <w:t>31.1</w:t>
            </w:r>
          </w:p>
        </w:tc>
        <w:tc>
          <w:tcPr>
            <w:tcW w:w="5220" w:type="dxa"/>
            <w:vAlign w:val="bottom"/>
            <w:gridSpan w:val="12"/>
          </w:tcPr>
          <w:p>
            <w:pPr>
              <w:spacing w:after="0"/>
              <w:rPr>
                <w:sz w:val="20"/>
                <w:szCs w:val="20"/>
                <w:color w:val="auto"/>
              </w:rPr>
            </w:pPr>
            <w:r>
              <w:rPr>
                <w:rFonts w:ascii="Arial" w:cs="Arial" w:eastAsia="Arial" w:hAnsi="Arial"/>
                <w:sz w:val="18"/>
                <w:szCs w:val="18"/>
                <w:color w:val="0000FF"/>
              </w:rPr>
              <w:t>Certification of Chief Executive Officer of Erasca, Inc., as</w:t>
            </w: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60" w:type="dxa"/>
            <w:vAlign w:val="bottom"/>
          </w:tcPr>
          <w:p>
            <w:pPr>
              <w:ind w:left="16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458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required by Rule 13a-14(a) or Rule 15d-14(a), as adopted</w:t>
            </w:r>
          </w:p>
        </w:tc>
        <w:tc>
          <w:tcPr>
            <w:tcW w:w="8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jc w:val="center"/>
              <w:ind w:right="250"/>
              <w:spacing w:after="0"/>
              <w:rPr>
                <w:sz w:val="20"/>
                <w:szCs w:val="20"/>
                <w:color w:val="auto"/>
              </w:rPr>
            </w:pPr>
            <w:r>
              <w:rPr>
                <w:rFonts w:ascii="Arial" w:cs="Arial" w:eastAsia="Arial" w:hAnsi="Arial"/>
                <w:sz w:val="18"/>
                <w:szCs w:val="18"/>
                <w:color w:val="auto"/>
                <w:w w:val="96"/>
              </w:rPr>
              <w:t>31.2</w:t>
            </w:r>
          </w:p>
        </w:tc>
        <w:tc>
          <w:tcPr>
            <w:tcW w:w="466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8"/>
              </w:rPr>
              <w:t>pursuant to Section 302 of the Sarbanes-Oxley Act of 2002</w:t>
            </w:r>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60" w:type="dxa"/>
            <w:vAlign w:val="bottom"/>
            <w:vMerge w:val="restart"/>
          </w:tcPr>
          <w:p>
            <w:pPr>
              <w:ind w:left="16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5220" w:type="dxa"/>
            <w:vAlign w:val="bottom"/>
            <w:tcBorders>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Certification of Chief Financial Officer of Erasca, Inc., as required</w:t>
            </w: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5220" w:type="dxa"/>
            <w:vAlign w:val="bottom"/>
            <w:gridSpan w:val="12"/>
          </w:tcPr>
          <w:p>
            <w:pPr>
              <w:spacing w:after="0" w:line="182" w:lineRule="exact"/>
              <w:rPr>
                <w:sz w:val="20"/>
                <w:szCs w:val="20"/>
                <w:color w:val="auto"/>
              </w:rPr>
            </w:pPr>
            <w:r>
              <w:rPr>
                <w:rFonts w:ascii="Arial" w:cs="Arial" w:eastAsia="Arial" w:hAnsi="Arial"/>
                <w:sz w:val="18"/>
                <w:szCs w:val="18"/>
                <w:color w:val="0000FF"/>
              </w:rPr>
              <w:t>by Rule 13a-14(a) or Rule 15d-14(a), as adopted pursuant to</w:t>
            </w: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32.1*</w:t>
            </w:r>
          </w:p>
        </w:tc>
        <w:tc>
          <w:tcPr>
            <w:tcW w:w="3760" w:type="dxa"/>
            <w:vAlign w:val="bottom"/>
            <w:tcBorders>
              <w:top w:val="single" w:sz="8" w:color="0000FF"/>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9"/>
              </w:rPr>
              <w:t>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1120" w:type="dxa"/>
            <w:vAlign w:val="bottom"/>
            <w:tcBorders>
              <w:top w:val="single" w:sz="8" w:color="0000FF"/>
            </w:tcBorders>
            <w:gridSpan w:val="5"/>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60" w:type="dxa"/>
            <w:vAlign w:val="bottom"/>
            <w:vMerge w:val="restart"/>
          </w:tcPr>
          <w:p>
            <w:pPr>
              <w:ind w:left="16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3780" w:type="dxa"/>
            <w:vAlign w:val="bottom"/>
            <w:tcBorders>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9"/>
              </w:rPr>
              <w:t>Certification of Chief Executive Officer pursuant</w:t>
            </w:r>
          </w:p>
        </w:tc>
        <w:tc>
          <w:tcPr>
            <w:tcW w:w="1440" w:type="dxa"/>
            <w:vAlign w:val="bottom"/>
            <w:tcBorders>
              <w:bottom w:val="single" w:sz="8" w:color="0000FF"/>
            </w:tcBorders>
            <w:gridSpan w:val="7"/>
          </w:tcPr>
          <w:p>
            <w:pPr>
              <w:ind w:left="60"/>
              <w:spacing w:after="0" w:line="182" w:lineRule="exact"/>
              <w:rPr>
                <w:sz w:val="20"/>
                <w:szCs w:val="20"/>
                <w:color w:val="auto"/>
              </w:rPr>
            </w:pPr>
            <w:r>
              <w:rPr>
                <w:rFonts w:ascii="Arial" w:cs="Arial" w:eastAsia="Arial" w:hAnsi="Arial"/>
                <w:sz w:val="18"/>
                <w:szCs w:val="18"/>
                <w:color w:val="0000FF"/>
              </w:rPr>
              <w:t>to Section 906 of</w:t>
            </w: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32.2*</w:t>
            </w:r>
          </w:p>
        </w:tc>
        <w:tc>
          <w:tcPr>
            <w:tcW w:w="5220" w:type="dxa"/>
            <w:vAlign w:val="bottom"/>
            <w:gridSpan w:val="12"/>
          </w:tcPr>
          <w:p>
            <w:pPr>
              <w:spacing w:after="0" w:line="182" w:lineRule="exact"/>
              <w:rPr>
                <w:sz w:val="20"/>
                <w:szCs w:val="20"/>
                <w:color w:val="auto"/>
              </w:rPr>
            </w:pPr>
            <w:r>
              <w:rPr>
                <w:rFonts w:ascii="Arial" w:cs="Arial" w:eastAsia="Arial" w:hAnsi="Arial"/>
                <w:sz w:val="18"/>
                <w:szCs w:val="18"/>
                <w:color w:val="0000FF"/>
              </w:rPr>
              <w:t>the Sarbanes-Oxley Act of 2002</w:t>
            </w: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60" w:type="dxa"/>
            <w:vAlign w:val="bottom"/>
            <w:vMerge w:val="restart"/>
          </w:tcPr>
          <w:p>
            <w:pPr>
              <w:ind w:left="16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2560" w:type="dxa"/>
            <w:vAlign w:val="bottom"/>
            <w:tcBorders>
              <w:top w:val="single" w:sz="8" w:color="0000FF"/>
            </w:tcBorders>
            <w:gridSpan w:val="3"/>
          </w:tcPr>
          <w:p>
            <w:pPr>
              <w:spacing w:after="0" w:line="182" w:lineRule="exact"/>
              <w:rPr>
                <w:sz w:val="20"/>
                <w:szCs w:val="20"/>
                <w:color w:val="auto"/>
              </w:rPr>
            </w:pPr>
            <w:r>
              <w:rPr>
                <w:rFonts w:ascii="Arial" w:cs="Arial" w:eastAsia="Arial" w:hAnsi="Arial"/>
                <w:sz w:val="18"/>
                <w:szCs w:val="18"/>
                <w:color w:val="0000FF"/>
              </w:rPr>
              <w:t>Certification of Chief Financial</w:t>
            </w:r>
          </w:p>
        </w:tc>
        <w:tc>
          <w:tcPr>
            <w:tcW w:w="2660" w:type="dxa"/>
            <w:vAlign w:val="bottom"/>
            <w:gridSpan w:val="9"/>
          </w:tcPr>
          <w:p>
            <w:pPr>
              <w:spacing w:after="0" w:line="182" w:lineRule="exact"/>
              <w:rPr>
                <w:sz w:val="20"/>
                <w:szCs w:val="20"/>
                <w:color w:val="auto"/>
              </w:rPr>
            </w:pPr>
            <w:r>
              <w:rPr>
                <w:rFonts w:ascii="Arial" w:cs="Arial" w:eastAsia="Arial" w:hAnsi="Arial"/>
                <w:sz w:val="18"/>
                <w:szCs w:val="18"/>
                <w:color w:val="0000FF"/>
                <w:w w:val="98"/>
              </w:rPr>
              <w:t>Officer pursuant to Section 906 of</w:t>
            </w: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jc w:val="center"/>
              <w:ind w:right="270"/>
              <w:spacing w:after="0"/>
              <w:rPr>
                <w:sz w:val="20"/>
                <w:szCs w:val="20"/>
                <w:color w:val="auto"/>
              </w:rPr>
            </w:pPr>
            <w:r>
              <w:rPr>
                <w:rFonts w:ascii="Arial" w:cs="Arial" w:eastAsia="Arial" w:hAnsi="Arial"/>
                <w:sz w:val="18"/>
                <w:szCs w:val="18"/>
                <w:color w:val="auto"/>
                <w:w w:val="99"/>
              </w:rPr>
              <w:t>97</w:t>
            </w:r>
          </w:p>
        </w:tc>
        <w:tc>
          <w:tcPr>
            <w:tcW w:w="518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the Sarbanes-Oxley Act of 2002</w:t>
            </w:r>
          </w:p>
        </w:tc>
        <w:tc>
          <w:tcPr>
            <w:tcW w:w="40" w:type="dxa"/>
            <w:vAlign w:val="bottom"/>
          </w:tcPr>
          <w:p>
            <w:pPr>
              <w:spacing w:after="0"/>
              <w:rPr>
                <w:sz w:val="15"/>
                <w:szCs w:val="15"/>
                <w:color w:val="auto"/>
              </w:rPr>
            </w:pPr>
          </w:p>
        </w:tc>
        <w:tc>
          <w:tcPr>
            <w:tcW w:w="1020" w:type="dxa"/>
            <w:vAlign w:val="bottom"/>
            <w:vMerge w:val="restart"/>
          </w:tcPr>
          <w:p>
            <w:pPr>
              <w:ind w:left="380"/>
              <w:spacing w:after="0"/>
              <w:rPr>
                <w:sz w:val="20"/>
                <w:szCs w:val="20"/>
                <w:color w:val="auto"/>
              </w:rPr>
            </w:pPr>
            <w:r>
              <w:rPr>
                <w:rFonts w:ascii="Arial" w:cs="Arial" w:eastAsia="Arial" w:hAnsi="Arial"/>
                <w:sz w:val="18"/>
                <w:szCs w:val="18"/>
                <w:color w:val="auto"/>
              </w:rPr>
              <w:t>10-K</w:t>
            </w:r>
          </w:p>
        </w:tc>
        <w:tc>
          <w:tcPr>
            <w:tcW w:w="1420" w:type="dxa"/>
            <w:vAlign w:val="bottom"/>
            <w:vMerge w:val="restart"/>
          </w:tcPr>
          <w:p>
            <w:pPr>
              <w:jc w:val="right"/>
              <w:ind w:right="270"/>
              <w:spacing w:after="0"/>
              <w:rPr>
                <w:sz w:val="20"/>
                <w:szCs w:val="20"/>
                <w:color w:val="auto"/>
              </w:rPr>
            </w:pPr>
            <w:r>
              <w:rPr>
                <w:rFonts w:ascii="Arial" w:cs="Arial" w:eastAsia="Arial" w:hAnsi="Arial"/>
                <w:sz w:val="18"/>
                <w:szCs w:val="18"/>
                <w:color w:val="auto"/>
              </w:rPr>
              <w:t>3/27/2024</w:t>
            </w:r>
          </w:p>
        </w:tc>
        <w:tc>
          <w:tcPr>
            <w:tcW w:w="1760" w:type="dxa"/>
            <w:vAlign w:val="bottom"/>
            <w:vMerge w:val="restart"/>
          </w:tcPr>
          <w:p>
            <w:pPr>
              <w:ind w:left="3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2560" w:type="dxa"/>
            <w:vAlign w:val="bottom"/>
            <w:tcBorders>
              <w:top w:val="single" w:sz="8" w:color="0000FF"/>
            </w:tcBorders>
            <w:gridSpan w:val="3"/>
          </w:tcPr>
          <w:p>
            <w:pPr>
              <w:spacing w:after="0" w:line="182" w:lineRule="exact"/>
              <w:rPr>
                <w:rFonts w:ascii="Arial" w:cs="Arial" w:eastAsia="Arial" w:hAnsi="Arial"/>
                <w:sz w:val="18"/>
                <w:szCs w:val="18"/>
                <w:color w:val="0000FF"/>
                <w:w w:val="99"/>
              </w:rPr>
            </w:pPr>
            <w:hyperlink r:id="rId367">
              <w:r>
                <w:rPr>
                  <w:rFonts w:ascii="Arial" w:cs="Arial" w:eastAsia="Arial" w:hAnsi="Arial"/>
                  <w:sz w:val="18"/>
                  <w:szCs w:val="18"/>
                  <w:color w:val="0000FF"/>
                  <w:w w:val="99"/>
                </w:rPr>
                <w:t>Erasca, Inc. Policy for Recovery</w:t>
              </w:r>
            </w:hyperlink>
          </w:p>
        </w:tc>
        <w:tc>
          <w:tcPr>
            <w:tcW w:w="2660" w:type="dxa"/>
            <w:vAlign w:val="bottom"/>
            <w:gridSpan w:val="9"/>
          </w:tcPr>
          <w:p>
            <w:pPr>
              <w:ind w:left="40"/>
              <w:spacing w:after="0" w:line="182" w:lineRule="exact"/>
              <w:rPr>
                <w:rFonts w:ascii="Arial" w:cs="Arial" w:eastAsia="Arial" w:hAnsi="Arial"/>
                <w:sz w:val="18"/>
                <w:szCs w:val="18"/>
                <w:color w:val="0000FF"/>
              </w:rPr>
            </w:pPr>
            <w:hyperlink r:id="rId367">
              <w:r>
                <w:rPr>
                  <w:rFonts w:ascii="Arial" w:cs="Arial" w:eastAsia="Arial" w:hAnsi="Arial"/>
                  <w:sz w:val="18"/>
                  <w:szCs w:val="18"/>
                  <w:color w:val="0000FF"/>
                </w:rPr>
                <w:t>of Erroneously Awarded</w:t>
              </w:r>
            </w:hyperlink>
          </w:p>
        </w:tc>
        <w:tc>
          <w:tcPr>
            <w:tcW w:w="10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jc w:val="center"/>
              <w:ind w:right="250"/>
              <w:spacing w:after="0"/>
              <w:rPr>
                <w:sz w:val="20"/>
                <w:szCs w:val="20"/>
                <w:color w:val="auto"/>
              </w:rPr>
            </w:pPr>
            <w:r>
              <w:rPr>
                <w:rFonts w:ascii="Arial" w:cs="Arial" w:eastAsia="Arial" w:hAnsi="Arial"/>
                <w:sz w:val="18"/>
                <w:szCs w:val="18"/>
                <w:color w:val="auto"/>
              </w:rPr>
              <w:t>101.INS</w:t>
            </w:r>
          </w:p>
        </w:tc>
        <w:tc>
          <w:tcPr>
            <w:tcW w:w="458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r:id="rId367">
              <w:r>
                <w:rPr>
                  <w:rFonts w:ascii="Arial" w:cs="Arial" w:eastAsia="Arial" w:hAnsi="Arial"/>
                  <w:sz w:val="18"/>
                  <w:szCs w:val="18"/>
                  <w:color w:val="0000FF"/>
                </w:rPr>
                <w:t>Compensation</w:t>
              </w:r>
            </w:hyperlink>
          </w:p>
        </w:tc>
        <w:tc>
          <w:tcPr>
            <w:tcW w:w="640" w:type="dxa"/>
            <w:vAlign w:val="bottom"/>
            <w:gridSpan w:val="6"/>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60" w:type="dxa"/>
            <w:vAlign w:val="bottom"/>
            <w:vMerge w:val="restart"/>
          </w:tcPr>
          <w:p>
            <w:pPr>
              <w:ind w:left="16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91"/>
        </w:trPr>
        <w:tc>
          <w:tcPr>
            <w:tcW w:w="1080" w:type="dxa"/>
            <w:vAlign w:val="bottom"/>
            <w:vMerge w:val="continue"/>
          </w:tcPr>
          <w:p>
            <w:pPr>
              <w:spacing w:after="0"/>
              <w:rPr>
                <w:sz w:val="16"/>
                <w:szCs w:val="16"/>
                <w:color w:val="auto"/>
              </w:rPr>
            </w:pPr>
          </w:p>
        </w:tc>
        <w:tc>
          <w:tcPr>
            <w:tcW w:w="1160" w:type="dxa"/>
            <w:vAlign w:val="bottom"/>
            <w:tcBorders>
              <w:top w:val="single" w:sz="8" w:color="0000FF"/>
            </w:tcBorders>
          </w:tcPr>
          <w:p>
            <w:pPr>
              <w:spacing w:after="0" w:line="191" w:lineRule="exact"/>
              <w:rPr>
                <w:sz w:val="20"/>
                <w:szCs w:val="20"/>
                <w:color w:val="auto"/>
              </w:rPr>
            </w:pPr>
            <w:r>
              <w:rPr>
                <w:rFonts w:ascii="Arial" w:cs="Arial" w:eastAsia="Arial" w:hAnsi="Arial"/>
                <w:sz w:val="18"/>
                <w:szCs w:val="18"/>
                <w:color w:val="auto"/>
              </w:rPr>
              <w:t>Inline XBRL</w:t>
            </w:r>
          </w:p>
        </w:tc>
        <w:tc>
          <w:tcPr>
            <w:tcW w:w="20" w:type="dxa"/>
            <w:vAlign w:val="bottom"/>
            <w:tcBorders>
              <w:top w:val="single" w:sz="8" w:color="0000EE"/>
            </w:tcBorders>
          </w:tcPr>
          <w:p>
            <w:pPr>
              <w:spacing w:after="0"/>
              <w:rPr>
                <w:sz w:val="16"/>
                <w:szCs w:val="16"/>
                <w:color w:val="auto"/>
              </w:rPr>
            </w:pPr>
          </w:p>
        </w:tc>
        <w:tc>
          <w:tcPr>
            <w:tcW w:w="4040" w:type="dxa"/>
            <w:vAlign w:val="bottom"/>
            <w:gridSpan w:val="10"/>
          </w:tcPr>
          <w:p>
            <w:pPr>
              <w:spacing w:after="0" w:line="191" w:lineRule="exact"/>
              <w:rPr>
                <w:sz w:val="20"/>
                <w:szCs w:val="20"/>
                <w:color w:val="auto"/>
              </w:rPr>
            </w:pPr>
            <w:r>
              <w:rPr>
                <w:rFonts w:ascii="Arial" w:cs="Arial" w:eastAsia="Arial" w:hAnsi="Arial"/>
                <w:sz w:val="18"/>
                <w:szCs w:val="18"/>
                <w:color w:val="auto"/>
              </w:rPr>
              <w:t>Instance Document – the instance document does</w:t>
            </w:r>
          </w:p>
        </w:tc>
        <w:tc>
          <w:tcPr>
            <w:tcW w:w="1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5220" w:type="dxa"/>
            <w:vAlign w:val="bottom"/>
            <w:gridSpan w:val="12"/>
          </w:tcPr>
          <w:p>
            <w:pPr>
              <w:spacing w:after="0" w:line="202" w:lineRule="exact"/>
              <w:rPr>
                <w:sz w:val="20"/>
                <w:szCs w:val="20"/>
                <w:color w:val="auto"/>
              </w:rPr>
            </w:pPr>
            <w:r>
              <w:rPr>
                <w:rFonts w:ascii="Arial" w:cs="Arial" w:eastAsia="Arial" w:hAnsi="Arial"/>
                <w:sz w:val="18"/>
                <w:szCs w:val="18"/>
                <w:color w:val="auto"/>
              </w:rPr>
              <w:t>not appear in the Interactive Data File because XBRL tags are</w:t>
            </w: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5220" w:type="dxa"/>
            <w:vAlign w:val="bottom"/>
            <w:gridSpan w:val="12"/>
          </w:tcPr>
          <w:p>
            <w:pPr>
              <w:spacing w:after="0" w:line="202" w:lineRule="exact"/>
              <w:rPr>
                <w:sz w:val="20"/>
                <w:szCs w:val="20"/>
                <w:color w:val="auto"/>
              </w:rPr>
            </w:pPr>
            <w:r>
              <w:rPr>
                <w:rFonts w:ascii="Arial" w:cs="Arial" w:eastAsia="Arial" w:hAnsi="Arial"/>
                <w:sz w:val="18"/>
                <w:szCs w:val="18"/>
                <w:color w:val="auto"/>
              </w:rPr>
              <w:t>embedded within the Inline XBRL document.</w:t>
            </w: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center"/>
              <w:ind w:right="250"/>
              <w:spacing w:after="0" w:line="202" w:lineRule="exact"/>
              <w:rPr>
                <w:sz w:val="20"/>
                <w:szCs w:val="20"/>
                <w:color w:val="auto"/>
              </w:rPr>
            </w:pPr>
            <w:r>
              <w:rPr>
                <w:rFonts w:ascii="Arial" w:cs="Arial" w:eastAsia="Arial" w:hAnsi="Arial"/>
                <w:sz w:val="18"/>
                <w:szCs w:val="18"/>
                <w:color w:val="auto"/>
              </w:rPr>
              <w:t>101.SCH</w:t>
            </w:r>
          </w:p>
        </w:tc>
        <w:tc>
          <w:tcPr>
            <w:tcW w:w="522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Schema With Embedded</w:t>
            </w: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60" w:type="dxa"/>
            <w:vAlign w:val="bottom"/>
          </w:tcPr>
          <w:p>
            <w:pPr>
              <w:ind w:left="1640"/>
              <w:spacing w:after="0" w:line="202"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5220" w:type="dxa"/>
            <w:vAlign w:val="bottom"/>
            <w:gridSpan w:val="12"/>
          </w:tcPr>
          <w:p>
            <w:pPr>
              <w:spacing w:after="0" w:line="202" w:lineRule="exact"/>
              <w:rPr>
                <w:sz w:val="20"/>
                <w:szCs w:val="20"/>
                <w:color w:val="auto"/>
              </w:rPr>
            </w:pPr>
            <w:r>
              <w:rPr>
                <w:rFonts w:ascii="Arial" w:cs="Arial" w:eastAsia="Arial" w:hAnsi="Arial"/>
                <w:sz w:val="18"/>
                <w:szCs w:val="18"/>
                <w:color w:val="auto"/>
              </w:rPr>
              <w:t>Linkbase Documents</w:t>
            </w: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center"/>
              <w:ind w:right="250"/>
              <w:spacing w:after="0" w:line="202" w:lineRule="exact"/>
              <w:rPr>
                <w:sz w:val="20"/>
                <w:szCs w:val="20"/>
                <w:color w:val="auto"/>
              </w:rPr>
            </w:pPr>
            <w:r>
              <w:rPr>
                <w:rFonts w:ascii="Arial" w:cs="Arial" w:eastAsia="Arial" w:hAnsi="Arial"/>
                <w:sz w:val="18"/>
                <w:szCs w:val="18"/>
                <w:color w:val="auto"/>
                <w:w w:val="99"/>
              </w:rPr>
              <w:t>104</w:t>
            </w:r>
          </w:p>
        </w:tc>
        <w:tc>
          <w:tcPr>
            <w:tcW w:w="5220" w:type="dxa"/>
            <w:vAlign w:val="bottom"/>
            <w:gridSpan w:val="12"/>
          </w:tcPr>
          <w:p>
            <w:pPr>
              <w:spacing w:after="0" w:line="202" w:lineRule="exact"/>
              <w:rPr>
                <w:sz w:val="20"/>
                <w:szCs w:val="20"/>
                <w:color w:val="auto"/>
              </w:rPr>
            </w:pPr>
            <w:r>
              <w:rPr>
                <w:rFonts w:ascii="Arial" w:cs="Arial" w:eastAsia="Arial" w:hAnsi="Arial"/>
                <w:sz w:val="18"/>
                <w:szCs w:val="18"/>
                <w:color w:val="auto"/>
              </w:rPr>
              <w:t>Cover Page Interactive Data File (embedded within the Inline</w:t>
            </w: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60" w:type="dxa"/>
            <w:vAlign w:val="bottom"/>
          </w:tcPr>
          <w:p>
            <w:pPr>
              <w:ind w:left="1640"/>
              <w:spacing w:after="0" w:line="202" w:lineRule="exact"/>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5220" w:type="dxa"/>
            <w:vAlign w:val="bottom"/>
            <w:gridSpan w:val="12"/>
          </w:tcPr>
          <w:p>
            <w:pPr>
              <w:spacing w:after="0"/>
              <w:rPr>
                <w:sz w:val="20"/>
                <w:szCs w:val="20"/>
                <w:color w:val="auto"/>
              </w:rPr>
            </w:pPr>
            <w:r>
              <w:rPr>
                <w:rFonts w:ascii="Arial" w:cs="Arial" w:eastAsia="Arial" w:hAnsi="Arial"/>
                <w:sz w:val="18"/>
                <w:szCs w:val="18"/>
                <w:color w:val="auto"/>
              </w:rPr>
              <w:t>XBRL document)</w:t>
            </w:r>
          </w:p>
        </w:tc>
        <w:tc>
          <w:tcPr>
            <w:tcW w:w="1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95123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52" w:hanging="452"/>
        <w:spacing w:after="0"/>
        <w:tabs>
          <w:tab w:leader="none" w:pos="452"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Indicates management contract or compensatory plan.</w:t>
      </w:r>
    </w:p>
    <w:p>
      <w:pPr>
        <w:spacing w:after="0" w:line="26"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1"/>
          <w:numId w:val="60"/>
        </w:numPr>
        <w:rPr>
          <w:rFonts w:ascii="Arial" w:cs="Arial" w:eastAsia="Arial" w:hAnsi="Arial"/>
          <w:sz w:val="18"/>
          <w:szCs w:val="18"/>
          <w:color w:val="auto"/>
        </w:rPr>
      </w:pPr>
      <w:r>
        <w:rPr>
          <w:rFonts w:ascii="Arial" w:cs="Arial" w:eastAsia="Arial" w:hAnsi="Arial"/>
          <w:sz w:val="18"/>
          <w:szCs w:val="18"/>
          <w:color w:val="auto"/>
        </w:rPr>
        <w:t>Portions of this exhibit have been omitted for confidentiality purposes.</w:t>
      </w:r>
    </w:p>
    <w:p>
      <w:pPr>
        <w:spacing w:after="0" w:line="86" w:lineRule="exact"/>
        <w:rPr>
          <w:sz w:val="20"/>
          <w:szCs w:val="20"/>
          <w:color w:val="auto"/>
        </w:rPr>
      </w:pPr>
    </w:p>
    <w:p>
      <w:pPr>
        <w:ind w:left="512" w:hanging="512"/>
        <w:spacing w:after="0" w:line="271" w:lineRule="auto"/>
        <w:tabs>
          <w:tab w:leader="none" w:pos="42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27"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328" w:top="972" w:right="6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right="320"/>
        <w:spacing w:after="0" w:line="28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6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Erasca, Inc.</w:t>
      </w:r>
    </w:p>
    <w:p>
      <w:pPr>
        <w:spacing w:after="0" w:line="198" w:lineRule="exact"/>
        <w:rPr>
          <w:sz w:val="20"/>
          <w:szCs w:val="20"/>
          <w:color w:val="auto"/>
        </w:rPr>
      </w:pPr>
    </w:p>
    <w:p>
      <w:pPr>
        <w:ind w:left="20"/>
        <w:spacing w:after="0"/>
        <w:tabs>
          <w:tab w:leader="none" w:pos="5680" w:val="left"/>
          <w:tab w:leader="none" w:pos="7820" w:val="left"/>
        </w:tabs>
        <w:rPr>
          <w:sz w:val="20"/>
          <w:szCs w:val="20"/>
          <w:color w:val="auto"/>
        </w:rPr>
      </w:pPr>
      <w:r>
        <w:rPr>
          <w:rFonts w:ascii="Arial" w:cs="Arial" w:eastAsia="Arial" w:hAnsi="Arial"/>
          <w:sz w:val="18"/>
          <w:szCs w:val="18"/>
          <w:color w:val="auto"/>
        </w:rPr>
        <w:t>Date: March 20,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Jonathan 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Jonathan E. Lim, M.D.</w:t>
      </w:r>
    </w:p>
    <w:p>
      <w:pPr>
        <w:jc w:val="center"/>
        <w:ind w:left="6000"/>
        <w:spacing w:after="0"/>
        <w:rPr>
          <w:sz w:val="20"/>
          <w:szCs w:val="20"/>
          <w:color w:val="auto"/>
        </w:rPr>
      </w:pPr>
      <w:r>
        <w:rPr>
          <w:rFonts w:ascii="Arial" w:cs="Arial" w:eastAsia="Arial" w:hAnsi="Arial"/>
          <w:sz w:val="18"/>
          <w:szCs w:val="18"/>
          <w:color w:val="auto"/>
        </w:rPr>
        <w:t>Chairman, Chief Executive Officer and Co-Founder</w:t>
      </w:r>
    </w:p>
    <w:p>
      <w:pPr>
        <w:spacing w:after="0" w:line="180"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2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Jonathan E. Lim</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9"/>
              </w:rPr>
              <w:t>Chairman, Chief Executive Officer and Co-Founder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rPr>
              <w:t>March 20, 2025</w:t>
            </w:r>
          </w:p>
        </w:tc>
      </w:tr>
      <w:tr>
        <w:trPr>
          <w:trHeight w:val="240"/>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Jonathan E. Lim, M.D.</w:t>
            </w:r>
          </w:p>
        </w:tc>
        <w:tc>
          <w:tcPr>
            <w:tcW w:w="12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7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M. Chacko</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Chief Business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rPr>
              <w:t>March 20, 2025</w:t>
            </w:r>
          </w:p>
        </w:tc>
      </w:tr>
      <w:tr>
        <w:trPr>
          <w:trHeight w:val="240"/>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David M. Chacko, M.D.</w:t>
            </w:r>
          </w:p>
        </w:tc>
        <w:tc>
          <w:tcPr>
            <w:tcW w:w="120" w:type="dxa"/>
            <w:vAlign w:val="bottom"/>
          </w:tcPr>
          <w:p>
            <w:pPr>
              <w:spacing w:after="0"/>
              <w:rPr>
                <w:sz w:val="20"/>
                <w:szCs w:val="20"/>
                <w:color w:val="auto"/>
              </w:rPr>
            </w:pPr>
          </w:p>
        </w:tc>
        <w:tc>
          <w:tcPr>
            <w:tcW w:w="4860" w:type="dxa"/>
            <w:vAlign w:val="bottom"/>
          </w:tcPr>
          <w:p>
            <w:pPr>
              <w:ind w:left="760"/>
              <w:spacing w:after="0"/>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7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James A. Bristol</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rPr>
              <w:t>March 20, 2025</w:t>
            </w:r>
          </w:p>
        </w:tc>
      </w:tr>
      <w:tr>
        <w:trPr>
          <w:trHeight w:val="240"/>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James A. Bristol, Ph.D.</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7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Alexander W. Casdin</w:t>
            </w:r>
          </w:p>
        </w:tc>
        <w:tc>
          <w:tcPr>
            <w:tcW w:w="120" w:type="dxa"/>
            <w:vAlign w:val="bottom"/>
          </w:tcPr>
          <w:p>
            <w:pPr>
              <w:spacing w:after="0"/>
              <w:rPr>
                <w:sz w:val="24"/>
                <w:szCs w:val="24"/>
                <w:color w:val="auto"/>
              </w:rPr>
            </w:pPr>
          </w:p>
        </w:tc>
        <w:tc>
          <w:tcPr>
            <w:tcW w:w="486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rPr>
              <w:t>March 20, 2025</w:t>
            </w:r>
          </w:p>
        </w:tc>
      </w:tr>
      <w:tr>
        <w:trPr>
          <w:trHeight w:val="240"/>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Alexander W. Casdin</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7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Julie Hambleton</w:t>
            </w:r>
          </w:p>
        </w:tc>
        <w:tc>
          <w:tcPr>
            <w:tcW w:w="120" w:type="dxa"/>
            <w:vAlign w:val="bottom"/>
          </w:tcPr>
          <w:p>
            <w:pPr>
              <w:spacing w:after="0"/>
              <w:rPr>
                <w:sz w:val="24"/>
                <w:szCs w:val="24"/>
                <w:color w:val="auto"/>
              </w:rPr>
            </w:pPr>
          </w:p>
        </w:tc>
        <w:tc>
          <w:tcPr>
            <w:tcW w:w="486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rPr>
              <w:t>March 20, 2025</w:t>
            </w:r>
          </w:p>
        </w:tc>
      </w:tr>
      <w:tr>
        <w:trPr>
          <w:trHeight w:val="240"/>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Julie Hambleton, M.D.</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7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Valerie Harding-Start</w:t>
            </w:r>
          </w:p>
        </w:tc>
        <w:tc>
          <w:tcPr>
            <w:tcW w:w="120" w:type="dxa"/>
            <w:vAlign w:val="bottom"/>
          </w:tcPr>
          <w:p>
            <w:pPr>
              <w:spacing w:after="0"/>
              <w:rPr>
                <w:sz w:val="24"/>
                <w:szCs w:val="24"/>
                <w:color w:val="auto"/>
              </w:rPr>
            </w:pPr>
          </w:p>
        </w:tc>
        <w:tc>
          <w:tcPr>
            <w:tcW w:w="486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rPr>
              <w:t>March 20, 2025</w:t>
            </w:r>
          </w:p>
        </w:tc>
      </w:tr>
      <w:tr>
        <w:trPr>
          <w:trHeight w:val="240"/>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Valerie Harding-Start, Ph.D.</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7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Pratik S. Multani</w:t>
            </w:r>
          </w:p>
        </w:tc>
        <w:tc>
          <w:tcPr>
            <w:tcW w:w="120" w:type="dxa"/>
            <w:vAlign w:val="bottom"/>
          </w:tcPr>
          <w:p>
            <w:pPr>
              <w:spacing w:after="0"/>
              <w:rPr>
                <w:sz w:val="24"/>
                <w:szCs w:val="24"/>
                <w:color w:val="auto"/>
              </w:rPr>
            </w:pPr>
          </w:p>
        </w:tc>
        <w:tc>
          <w:tcPr>
            <w:tcW w:w="4860" w:type="dxa"/>
            <w:vAlign w:val="bottom"/>
          </w:tcPr>
          <w:p>
            <w:pPr>
              <w:ind w:left="20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rPr>
              <w:t>March 20, 2025</w:t>
            </w:r>
          </w:p>
        </w:tc>
      </w:tr>
      <w:tr>
        <w:trPr>
          <w:trHeight w:val="240"/>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Pratik S. Multani, M.D.</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6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Jean I. Liu</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March 20, 2025</w:t>
            </w:r>
          </w:p>
        </w:tc>
      </w:tr>
      <w:tr>
        <w:trPr>
          <w:trHeight w:val="240"/>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Jean I. Liu, J.D.</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7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Michael D. Varney</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9"/>
              </w:rPr>
              <w:t>Director and Chair of Research and Development</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rPr>
              <w:t>March 20, 2025</w:t>
            </w:r>
          </w:p>
        </w:tc>
      </w:tr>
      <w:tr>
        <w:trPr>
          <w:trHeight w:val="240"/>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Michael D. Varney, Ph.D.</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567"/>
        </w:trPr>
        <w:tc>
          <w:tcPr>
            <w:tcW w:w="3720" w:type="dxa"/>
            <w:vAlign w:val="bottom"/>
          </w:tcPr>
          <w:p>
            <w:pPr>
              <w:spacing w:after="0"/>
              <w:rPr>
                <w:sz w:val="24"/>
                <w:szCs w:val="24"/>
                <w:color w:val="auto"/>
              </w:rPr>
            </w:pPr>
          </w:p>
        </w:tc>
        <w:tc>
          <w:tcPr>
            <w:tcW w:w="4980" w:type="dxa"/>
            <w:vAlign w:val="bottom"/>
            <w:gridSpan w:val="2"/>
          </w:tcPr>
          <w:p>
            <w:pPr>
              <w:jc w:val="right"/>
              <w:ind w:right="28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745"/>
        </w:trPr>
        <w:tc>
          <w:tcPr>
            <w:tcW w:w="3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1" w:name="page162"/>
    <w:bookmarkEnd w:id="161"/>
    <w:p>
      <w:pPr>
        <w:jc w:val="right"/>
        <w:spacing w:after="0"/>
        <w:rPr>
          <w:sz w:val="20"/>
          <w:szCs w:val="20"/>
          <w:color w:val="auto"/>
        </w:rPr>
      </w:pPr>
      <w:r>
        <w:rPr>
          <w:rFonts w:ascii="Calibri" w:cs="Calibri" w:eastAsia="Calibri" w:hAnsi="Calibri"/>
          <w:sz w:val="20"/>
          <w:szCs w:val="20"/>
          <w:b w:val="1"/>
          <w:bCs w:val="1"/>
          <w:color w:val="auto"/>
        </w:rPr>
        <w:t>Exhibit 19.1</w:t>
      </w:r>
    </w:p>
    <w:p>
      <w:pPr>
        <w:spacing w:after="0" w:line="284"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Revised April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Erasca, Inc.</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Insider Trading Compliance Policy and Procedures</w:t>
      </w:r>
    </w:p>
    <w:p>
      <w:pPr>
        <w:spacing w:after="0" w:line="194" w:lineRule="exact"/>
        <w:rPr>
          <w:sz w:val="20"/>
          <w:szCs w:val="20"/>
          <w:color w:val="auto"/>
        </w:rPr>
      </w:pPr>
    </w:p>
    <w:p>
      <w:pPr>
        <w:jc w:val="both"/>
        <w:ind w:right="120" w:firstLine="704"/>
        <w:spacing w:after="0" w:line="242" w:lineRule="auto"/>
        <w:rPr>
          <w:sz w:val="20"/>
          <w:szCs w:val="20"/>
          <w:color w:val="auto"/>
        </w:rPr>
      </w:pPr>
      <w:r>
        <w:rPr>
          <w:rFonts w:ascii="Arial" w:cs="Arial" w:eastAsia="Arial" w:hAnsi="Arial"/>
          <w:sz w:val="18"/>
          <w:szCs w:val="18"/>
          <w:color w:val="auto"/>
        </w:rPr>
        <w:t>Federal and state laws prohibit trading in the securities of a company while in possession of material nonpublic information and in breach of a duty of trust or confidence. These laws also prohibit anyone who is aware of material nonpublic information from providing this information to others who may trade. Violating such laws can undermine investor trust, harm the reputation and integrity of Erasca, Inc. (together with any of its 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and result in dismissal from the Company or even serious criminal and civil charges against the individual and the Company. The Company reserves the right to take whatever disciplinary or other measure(s) it determines in its sole discretion to be appropriate in any particular situation, including disclosure of wrongdoing to governmental authorities.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Persons Covered and Administration of Policy</w:t>
      </w:r>
    </w:p>
    <w:p>
      <w:pPr>
        <w:spacing w:after="0" w:line="212" w:lineRule="exact"/>
        <w:rPr>
          <w:sz w:val="20"/>
          <w:szCs w:val="20"/>
          <w:color w:val="auto"/>
        </w:rPr>
      </w:pPr>
    </w:p>
    <w:p>
      <w:pPr>
        <w:jc w:val="both"/>
        <w:ind w:right="120" w:firstLine="704"/>
        <w:spacing w:after="0" w:line="237" w:lineRule="auto"/>
        <w:rPr>
          <w:sz w:val="20"/>
          <w:szCs w:val="20"/>
          <w:color w:val="auto"/>
        </w:rPr>
      </w:pPr>
      <w:r>
        <w:rPr>
          <w:rFonts w:ascii="Arial" w:cs="Arial" w:eastAsia="Arial" w:hAnsi="Arial"/>
          <w:sz w:val="18"/>
          <w:szCs w:val="18"/>
          <w:color w:val="auto"/>
        </w:rPr>
        <w:t>This Insider Trading Compliance Policy and Procedures (this “</w:t>
      </w:r>
      <w:r>
        <w:rPr>
          <w:rFonts w:ascii="Arial" w:cs="Arial" w:eastAsia="Arial" w:hAnsi="Arial"/>
          <w:sz w:val="18"/>
          <w:szCs w:val="18"/>
          <w:u w:val="single" w:color="auto"/>
          <w:color w:val="auto"/>
        </w:rPr>
        <w:t>Policy</w:t>
      </w:r>
      <w:r>
        <w:rPr>
          <w:rFonts w:ascii="Arial" w:cs="Arial" w:eastAsia="Arial" w:hAnsi="Arial"/>
          <w:sz w:val="18"/>
          <w:szCs w:val="18"/>
          <w:color w:val="auto"/>
        </w:rPr>
        <w:t xml:space="preserve">”) applies to all officers, directors and employees of the Company.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Policy sets forth additional restrictions that apply to the Company’s officers, directors, (and certain other members of management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For purposes of this Policy, “officers” refer to those individuals who meet the definition of “officer” under Section 16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Individuals subject to this Policy are responsible for ensuring that members of their household comply with this Policy. This Policy also applies to any entities controlled by individuals subject to the Policy, including any corporations, limited liability companies, partnerships or trusts, and transactions by these entities should be treated for the purposes of this Policy as if they were for the individual’s own account. Notwithstanding the foregoing, this insider trading policy, including without limitation, the preclearance policy, blackout periods and prohibited transactions, does not apply to venture capital entities or other institutional investors, and the related transactions in the Company’s equity securities by such entities, that may be affiliated with a director of the Company or for Company equity securities that a director may be deemed to have beneficial ownership of by virtue of such affiliation; provided, however, it is the responsibility of each such entity, in consultation with its own counsel (as appropriate), to determine compliance with applicable securities laws in considering whether to adhere to this Policy. The Company may determine that this Policy applies to additional persons with access to material nonpublic information, such as contractors or consultants. Officers, directors and employees, together with any other person designated as being subject to this Policy by the Company’s General Counsel or his or her designee or such other officer designated by the Company (the “</w:t>
      </w:r>
      <w:r>
        <w:rPr>
          <w:rFonts w:ascii="Arial" w:cs="Arial" w:eastAsia="Arial" w:hAnsi="Arial"/>
          <w:sz w:val="18"/>
          <w:szCs w:val="18"/>
          <w:u w:val="single" w:color="auto"/>
          <w:color w:val="auto"/>
        </w:rPr>
        <w:t>Compliance Officer</w:t>
      </w:r>
      <w:r>
        <w:rPr>
          <w:rFonts w:ascii="Arial" w:cs="Arial" w:eastAsia="Arial" w:hAnsi="Arial"/>
          <w:sz w:val="18"/>
          <w:szCs w:val="18"/>
          <w:color w:val="auto"/>
        </w:rPr>
        <w:t>”), are referred to collectively as “</w:t>
      </w:r>
      <w:r>
        <w:rPr>
          <w:rFonts w:ascii="Arial" w:cs="Arial" w:eastAsia="Arial" w:hAnsi="Arial"/>
          <w:sz w:val="18"/>
          <w:szCs w:val="18"/>
          <w:u w:val="single" w:color="auto"/>
          <w:color w:val="auto"/>
        </w:rPr>
        <w:t>Covered Persons.</w:t>
      </w:r>
      <w:r>
        <w:rPr>
          <w:rFonts w:ascii="Arial" w:cs="Arial" w:eastAsia="Arial" w:hAnsi="Arial"/>
          <w:sz w:val="18"/>
          <w:szCs w:val="18"/>
          <w:color w:val="auto"/>
        </w:rPr>
        <w:t>”</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Questions regarding the Policy should be directed to the Compliance Officer, who is responsible for the administration of this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216535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54" w:right="339" w:bottom="1440" w:gutter="0" w:footer="0" w:header="0"/>
        </w:sectPr>
      </w:pPr>
    </w:p>
    <w:bookmarkStart w:id="162" w:name="page163"/>
    <w:bookmarkEnd w:id="162"/>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Policy Statement</w:t>
      </w:r>
    </w:p>
    <w:p>
      <w:pPr>
        <w:spacing w:after="0" w:line="212" w:lineRule="exact"/>
        <w:rPr>
          <w:sz w:val="20"/>
          <w:szCs w:val="20"/>
          <w:color w:val="auto"/>
        </w:rPr>
      </w:pPr>
    </w:p>
    <w:p>
      <w:pPr>
        <w:jc w:val="both"/>
        <w:ind w:firstLine="704"/>
        <w:spacing w:after="0"/>
        <w:rPr>
          <w:sz w:val="20"/>
          <w:szCs w:val="20"/>
          <w:color w:val="auto"/>
        </w:rPr>
      </w:pPr>
      <w:r>
        <w:rPr>
          <w:rFonts w:ascii="Arial" w:cs="Arial" w:eastAsia="Arial" w:hAnsi="Arial"/>
          <w:sz w:val="18"/>
          <w:szCs w:val="18"/>
          <w:color w:val="auto"/>
        </w:rPr>
        <w:t>No Covered Person shall purchase or sell any type of security while in possession of material nonpublic information relating to the security or the issuer of such security in breach of a duty of trust or confidence, whether the issuer of such security is the Company or any other company. In addition, if a Covered Person is in possession of material nonpublic information about other publicly-traded companies, such as suppliers, customers, competitors or potential acquisition targets, the Covered Person may not trade in such other companies’ securities until the information becomes public or is no longer material. Further, no Covered Person shall purchase or sell any security of any other company, including another company in the Company’s industry, while in possession of material nonpublic information if such information is obtained in the course of the Covered Person’s employment or service with the Company.</w:t>
      </w:r>
    </w:p>
    <w:p>
      <w:pPr>
        <w:spacing w:after="0" w:line="158" w:lineRule="exact"/>
        <w:rPr>
          <w:sz w:val="20"/>
          <w:szCs w:val="20"/>
          <w:color w:val="auto"/>
        </w:rPr>
      </w:pPr>
    </w:p>
    <w:p>
      <w:pPr>
        <w:jc w:val="both"/>
        <w:ind w:firstLine="704"/>
        <w:spacing w:after="0" w:line="253" w:lineRule="auto"/>
        <w:rPr>
          <w:sz w:val="20"/>
          <w:szCs w:val="20"/>
          <w:color w:val="auto"/>
        </w:rPr>
      </w:pPr>
      <w:r>
        <w:rPr>
          <w:rFonts w:ascii="Arial" w:cs="Arial" w:eastAsia="Arial" w:hAnsi="Arial"/>
          <w:sz w:val="18"/>
          <w:szCs w:val="18"/>
          <w:color w:val="auto"/>
        </w:rPr>
        <w:t>In addition, Covered Persons shall not directly or indirectly communicate material nonpublic information to anyone outside the Company (except in accordance with the Company’s policies regarding confidential information) or to anyone within the Company other than on a “need-to-know” basis.</w:t>
      </w:r>
    </w:p>
    <w:p>
      <w:pPr>
        <w:spacing w:after="0" w:line="155" w:lineRule="exact"/>
        <w:rPr>
          <w:sz w:val="20"/>
          <w:szCs w:val="20"/>
          <w:color w:val="auto"/>
        </w:rPr>
      </w:pPr>
    </w:p>
    <w:p>
      <w:pPr>
        <w:jc w:val="both"/>
        <w:ind w:firstLine="704"/>
        <w:spacing w:after="0" w:line="271"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u w:val="single" w:color="auto"/>
          <w:color w:val="auto"/>
        </w:rPr>
        <w:t>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stocks, bonds, notes, debentures, options, warrants, equity and other convertible securities,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w:t>
      </w:r>
    </w:p>
    <w:p>
      <w:pPr>
        <w:spacing w:after="0" w:line="140" w:lineRule="exact"/>
        <w:rPr>
          <w:sz w:val="20"/>
          <w:szCs w:val="20"/>
          <w:color w:val="auto"/>
        </w:rPr>
      </w:pPr>
    </w:p>
    <w:p>
      <w:pPr>
        <w:jc w:val="both"/>
        <w:ind w:firstLine="704"/>
        <w:spacing w:after="0" w:line="24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u w:val="single" w:color="auto"/>
          <w:color w:val="auto"/>
        </w:rPr>
        <w:t>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sale</w:t>
      </w:r>
      <w:r>
        <w:rPr>
          <w:rFonts w:ascii="Arial" w:cs="Arial" w:eastAsia="Arial" w:hAnsi="Arial"/>
          <w:sz w:val="18"/>
          <w:szCs w:val="18"/>
          <w:i w:val="1"/>
          <w:iCs w:val="1"/>
          <w:color w:val="auto"/>
        </w:rPr>
        <w:t xml:space="preserve">” </w:t>
      </w:r>
      <w:r>
        <w:rPr>
          <w:rFonts w:ascii="Arial" w:cs="Arial" w:eastAsia="Arial" w:hAnsi="Arial"/>
          <w:sz w:val="18"/>
          <w:szCs w:val="18"/>
          <w:color w:val="auto"/>
        </w:rPr>
        <w:t>are defined broadly under the federal securities law.</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not only the actual purchase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security, but also any contract to purchase or otherwise acquire a security. </w:t>
      </w:r>
      <w:r>
        <w:rPr>
          <w:rFonts w:ascii="Arial" w:cs="Arial" w:eastAsia="Arial" w:hAnsi="Arial"/>
          <w:sz w:val="18"/>
          <w:szCs w:val="18"/>
          <w:i w:val="1"/>
          <w:iCs w:val="1"/>
          <w:color w:val="auto"/>
        </w:rPr>
        <w:t>“</w:t>
      </w:r>
      <w:r>
        <w:rPr>
          <w:rFonts w:ascii="Arial" w:cs="Arial" w:eastAsia="Arial" w:hAnsi="Arial"/>
          <w:sz w:val="18"/>
          <w:szCs w:val="18"/>
          <w:color w:val="auto"/>
        </w:rPr>
        <w:t>Sale</w:t>
      </w:r>
      <w:r>
        <w:rPr>
          <w:rFonts w:ascii="Arial" w:cs="Arial" w:eastAsia="Arial" w:hAnsi="Arial"/>
          <w:sz w:val="18"/>
          <w:szCs w:val="18"/>
          <w:i w:val="1"/>
          <w:iCs w:val="1"/>
          <w:color w:val="auto"/>
        </w:rPr>
        <w:t>”</w:t>
      </w:r>
      <w:r>
        <w:rPr>
          <w:rFonts w:ascii="Arial" w:cs="Arial" w:eastAsia="Arial" w:hAnsi="Arial"/>
          <w:sz w:val="18"/>
          <w:szCs w:val="18"/>
          <w:color w:val="auto"/>
        </w:rPr>
        <w:t xml:space="preserve"> includes not only the actual sale of a security, but also any contract to sell or otherwise dispose of a security. These definitions extend to a broad range of transactions, including conventional cash-for-stock transactions, conversions, the exercise of stock options, transfers, gifts, and acquisitions and exercises of warrants or puts, calls, pledging and margin loans, or other derivative securities.</w:t>
      </w:r>
    </w:p>
    <w:p>
      <w:pPr>
        <w:spacing w:after="0" w:line="163" w:lineRule="exact"/>
        <w:rPr>
          <w:sz w:val="20"/>
          <w:szCs w:val="20"/>
          <w:color w:val="auto"/>
        </w:rPr>
      </w:pPr>
    </w:p>
    <w:p>
      <w:pPr>
        <w:jc w:val="both"/>
        <w:ind w:firstLine="704"/>
        <w:spacing w:after="0" w:line="271" w:lineRule="auto"/>
        <w:rPr>
          <w:sz w:val="20"/>
          <w:szCs w:val="20"/>
          <w:color w:val="auto"/>
        </w:rPr>
      </w:pPr>
      <w:r>
        <w:rPr>
          <w:rFonts w:ascii="Arial" w:cs="Arial" w:eastAsia="Arial" w:hAnsi="Arial"/>
          <w:sz w:val="18"/>
          <w:szCs w:val="18"/>
          <w:color w:val="auto"/>
        </w:rPr>
        <w:t>The laws and regulations concerning insider trading are complex, and Covered Persons are encouraged to seek guidance from the Compliance Officer prior to considering a transaction in Company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Blackout Periods</w:t>
      </w:r>
    </w:p>
    <w:p>
      <w:pPr>
        <w:spacing w:after="0" w:line="198" w:lineRule="exact"/>
        <w:rPr>
          <w:sz w:val="20"/>
          <w:szCs w:val="20"/>
          <w:color w:val="auto"/>
        </w:rPr>
      </w:pPr>
    </w:p>
    <w:p>
      <w:pPr>
        <w:jc w:val="both"/>
        <w:ind w:firstLine="704"/>
        <w:spacing w:after="0" w:line="244" w:lineRule="auto"/>
        <w:rPr>
          <w:sz w:val="20"/>
          <w:szCs w:val="20"/>
          <w:color w:val="auto"/>
        </w:rPr>
      </w:pPr>
      <w:r>
        <w:rPr>
          <w:rFonts w:ascii="Arial" w:cs="Arial" w:eastAsia="Arial" w:hAnsi="Arial"/>
          <w:sz w:val="18"/>
          <w:szCs w:val="18"/>
          <w:color w:val="auto"/>
        </w:rPr>
        <w:t xml:space="preserve">No officer, director, employee or any other Covered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(as amended from time to time) (as well as any individual or entity covered by this Policy by virtue of their relationship to such Covered Person) shall purchase or sell any security of the Company during the period beginning on the tenth calendar day after any fiscal quarter end of the Company and ending upon the completion of the second full trading day after the public release of earnings or other financial data for such fiscal quarter or during any other trading suspension period declared by the Company, such period, a “blackout period.”</w:t>
      </w:r>
    </w:p>
    <w:p>
      <w:pPr>
        <w:spacing w:after="0" w:line="163" w:lineRule="exact"/>
        <w:rPr>
          <w:sz w:val="20"/>
          <w:szCs w:val="20"/>
          <w:color w:val="auto"/>
        </w:rPr>
      </w:pPr>
    </w:p>
    <w:p>
      <w:pPr>
        <w:jc w:val="both"/>
        <w:ind w:firstLine="704"/>
        <w:spacing w:after="0" w:line="247" w:lineRule="auto"/>
        <w:rPr>
          <w:sz w:val="20"/>
          <w:szCs w:val="20"/>
          <w:color w:val="auto"/>
        </w:rPr>
      </w:pPr>
      <w:r>
        <w:rPr>
          <w:rFonts w:ascii="Arial" w:cs="Arial" w:eastAsia="Arial" w:hAnsi="Arial"/>
          <w:sz w:val="18"/>
          <w:szCs w:val="18"/>
          <w:color w:val="auto"/>
        </w:rPr>
        <w:t>From time to time, the Compliance Officer may recommend that officers, directors, employees or others suspend trading in Company securities because of developments that have not yet been disclosed to the public Subject to the exceptions noted below, all of those individuals affected should not trade in the Company’s securities while the suspension is in effect, and should not disclose to others that the Company has suspended trading.</w:t>
      </w:r>
    </w:p>
    <w:p>
      <w:pPr>
        <w:spacing w:after="0" w:line="193"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842010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63" w:name="page164"/>
    <w:bookmarkEnd w:id="163"/>
    <w:p>
      <w:pPr>
        <w:spacing w:after="0" w:line="200" w:lineRule="exact"/>
        <w:rPr>
          <w:sz w:val="20"/>
          <w:szCs w:val="20"/>
          <w:color w:val="auto"/>
        </w:rPr>
      </w:pPr>
    </w:p>
    <w:p>
      <w:pPr>
        <w:spacing w:after="0" w:line="2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prohibitions do not apply to:</w:t>
      </w:r>
    </w:p>
    <w:p>
      <w:pPr>
        <w:spacing w:after="0" w:line="212" w:lineRule="exact"/>
        <w:rPr>
          <w:sz w:val="20"/>
          <w:szCs w:val="20"/>
          <w:color w:val="auto"/>
        </w:rPr>
      </w:pPr>
    </w:p>
    <w:p>
      <w:pPr>
        <w:ind w:left="1400" w:right="80" w:hanging="689"/>
        <w:spacing w:after="0" w:line="245" w:lineRule="auto"/>
        <w:tabs>
          <w:tab w:leader="none" w:pos="140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8"/>
          <w:szCs w:val="18"/>
          <w:color w:val="auto"/>
        </w:rPr>
        <w:t>purchases of the Company’s securities from the Company (e.g., Employee Stock Purchase Plan), or sales of the Company’s securities to the Company;</w:t>
      </w:r>
    </w:p>
    <w:p>
      <w:pPr>
        <w:spacing w:after="0" w:line="174" w:lineRule="exact"/>
        <w:rPr>
          <w:rFonts w:ascii="Times New Roman" w:cs="Times New Roman" w:eastAsia="Times New Roman" w:hAnsi="Times New Roman"/>
          <w:sz w:val="20"/>
          <w:szCs w:val="20"/>
          <w:color w:val="auto"/>
        </w:rPr>
      </w:pPr>
    </w:p>
    <w:p>
      <w:pPr>
        <w:jc w:val="both"/>
        <w:ind w:left="1400" w:right="80" w:hanging="689"/>
        <w:spacing w:after="0" w:line="237" w:lineRule="auto"/>
        <w:tabs>
          <w:tab w:leader="none" w:pos="140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8"/>
          <w:szCs w:val="18"/>
          <w:color w:val="auto"/>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a Company stock option or other equity award through a broker does involve a market sale of the Company’s securities, and therefore would not qualify under this exception); or</w:t>
      </w:r>
    </w:p>
    <w:p>
      <w:pPr>
        <w:spacing w:after="0" w:line="183" w:lineRule="exact"/>
        <w:rPr>
          <w:rFonts w:ascii="Times New Roman" w:cs="Times New Roman" w:eastAsia="Times New Roman" w:hAnsi="Times New Roman"/>
          <w:sz w:val="20"/>
          <w:szCs w:val="20"/>
          <w:color w:val="auto"/>
        </w:rPr>
      </w:pPr>
    </w:p>
    <w:p>
      <w:pPr>
        <w:jc w:val="both"/>
        <w:ind w:left="1400" w:right="80" w:hanging="689"/>
        <w:spacing w:after="0" w:line="238" w:lineRule="auto"/>
        <w:tabs>
          <w:tab w:leader="none" w:pos="140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8"/>
          <w:szCs w:val="18"/>
          <w:color w:val="auto"/>
        </w:rPr>
        <w:t>purchases or sales of the Company’s securities (i) mandated under an employee benefit plan maintained by the Company which authorizes the sale of only such securities as are necessary to satisfy tax withholding obligations arising exclusively from the vesting of a compensatory award or (ii) made pursuant to a plan adopted to comply with the Exchange Act Rule 10b5-1 (“</w:t>
      </w:r>
      <w:r>
        <w:rPr>
          <w:rFonts w:ascii="Arial" w:cs="Arial" w:eastAsia="Arial" w:hAnsi="Arial"/>
          <w:sz w:val="18"/>
          <w:szCs w:val="18"/>
          <w:u w:val="single" w:color="auto"/>
          <w:color w:val="auto"/>
        </w:rPr>
        <w:t>Rule 10b5-1</w:t>
      </w:r>
      <w:r>
        <w:rPr>
          <w:rFonts w:ascii="Arial" w:cs="Arial" w:eastAsia="Arial" w:hAnsi="Arial"/>
          <w:sz w:val="18"/>
          <w:szCs w:val="18"/>
          <w:color w:val="auto"/>
        </w:rPr>
        <w:t>”).</w:t>
      </w:r>
    </w:p>
    <w:p>
      <w:pPr>
        <w:spacing w:after="0" w:line="169" w:lineRule="exact"/>
        <w:rPr>
          <w:sz w:val="20"/>
          <w:szCs w:val="20"/>
          <w:color w:val="auto"/>
        </w:rPr>
      </w:pPr>
    </w:p>
    <w:p>
      <w:pPr>
        <w:jc w:val="both"/>
        <w:ind w:right="80" w:firstLine="704"/>
        <w:spacing w:after="0" w:line="271" w:lineRule="auto"/>
        <w:rPr>
          <w:sz w:val="20"/>
          <w:szCs w:val="20"/>
          <w:color w:val="auto"/>
        </w:rPr>
      </w:pPr>
      <w:r>
        <w:rPr>
          <w:rFonts w:ascii="Arial" w:cs="Arial" w:eastAsia="Arial" w:hAnsi="Arial"/>
          <w:sz w:val="18"/>
          <w:szCs w:val="18"/>
          <w:color w:val="auto"/>
        </w:rPr>
        <w:t xml:space="preserve">Exceptions to the blackout period policy may be approved by the Compliance Officer (or, in the case of an exception for the Compliance Officer, the Chief Financial Officer), including any exceptions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gifts of the Company’s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Preclearance of Transactions by Directors, Officers and Employees</w:t>
      </w:r>
    </w:p>
    <w:p>
      <w:pPr>
        <w:spacing w:after="0" w:line="198" w:lineRule="exact"/>
        <w:rPr>
          <w:sz w:val="20"/>
          <w:szCs w:val="20"/>
          <w:color w:val="auto"/>
        </w:rPr>
      </w:pPr>
    </w:p>
    <w:p>
      <w:pPr>
        <w:jc w:val="both"/>
        <w:ind w:right="80" w:firstLine="704"/>
        <w:spacing w:after="0" w:line="247" w:lineRule="auto"/>
        <w:rPr>
          <w:sz w:val="20"/>
          <w:szCs w:val="20"/>
          <w:color w:val="auto"/>
        </w:rPr>
      </w:pPr>
      <w:r>
        <w:rPr>
          <w:rFonts w:ascii="Arial" w:cs="Arial" w:eastAsia="Arial" w:hAnsi="Arial"/>
          <w:sz w:val="18"/>
          <w:szCs w:val="18"/>
          <w:color w:val="auto"/>
        </w:rPr>
        <w:t xml:space="preserve">All transactions (including gifts) in the Company’s securities by directors, officers, employees and any other Covered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Preclearance Person</w:t>
      </w:r>
      <w:r>
        <w:rPr>
          <w:rFonts w:ascii="Arial" w:cs="Arial" w:eastAsia="Arial" w:hAnsi="Arial"/>
          <w:sz w:val="18"/>
          <w:szCs w:val="18"/>
          <w:color w:val="auto"/>
        </w:rPr>
        <w:t>”) must be precleared by the Compliance Officer or the Chief Financial Officer for transactions by the Compliance Officer. Preclearance should not be understood to represent legal advice by the company that a proposed transaction complies with the law.</w:t>
      </w:r>
    </w:p>
    <w:p>
      <w:pPr>
        <w:spacing w:after="0" w:line="160" w:lineRule="exact"/>
        <w:rPr>
          <w:sz w:val="20"/>
          <w:szCs w:val="20"/>
          <w:color w:val="auto"/>
        </w:rPr>
      </w:pPr>
    </w:p>
    <w:p>
      <w:pPr>
        <w:jc w:val="both"/>
        <w:ind w:right="80" w:firstLine="704"/>
        <w:spacing w:after="0" w:line="238" w:lineRule="auto"/>
        <w:rPr>
          <w:sz w:val="20"/>
          <w:szCs w:val="20"/>
          <w:color w:val="auto"/>
        </w:rPr>
      </w:pPr>
      <w:r>
        <w:rPr>
          <w:rFonts w:ascii="Arial" w:cs="Arial" w:eastAsia="Arial" w:hAnsi="Arial"/>
          <w:sz w:val="18"/>
          <w:szCs w:val="18"/>
          <w:color w:val="auto"/>
        </w:rPr>
        <w:t>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execute a certification that he or she is not aware of material nonpublic information about the Company. The Compliance Officer, or the Chief Financial Officer for transactions by the Compliance Officer, shall have sole discretion to decide whether to preclear any contemplated transaction. All transactions that are precleared must be effected within five business days of receipt of the preclearance. A precleared transaction (or any portion of a precleared transaction) that has not been effected during the five business day period must be submitted for preclearance determination again prior to execution. Notwithstanding receipt of preclearance, if the Preclearance Person becomes aware of material nonpublic information, or becomes subject to a blackout period before the transaction is effected, the transaction may not be completed. Transactions under a previously established Rule 10b5-1 Trading Plan that has been preapproved in accordance with this Policy are not subject to further preclearance.</w:t>
      </w:r>
    </w:p>
    <w:p>
      <w:pPr>
        <w:spacing w:after="0" w:line="172" w:lineRule="exact"/>
        <w:rPr>
          <w:sz w:val="20"/>
          <w:szCs w:val="20"/>
          <w:color w:val="auto"/>
        </w:rPr>
      </w:pPr>
    </w:p>
    <w:p>
      <w:pPr>
        <w:ind w:firstLine="704"/>
        <w:spacing w:after="0" w:line="271" w:lineRule="auto"/>
        <w:rPr>
          <w:sz w:val="20"/>
          <w:szCs w:val="20"/>
          <w:color w:val="auto"/>
        </w:rPr>
      </w:pPr>
      <w:r>
        <w:rPr>
          <w:rFonts w:ascii="Arial" w:cs="Arial" w:eastAsia="Arial" w:hAnsi="Arial"/>
          <w:sz w:val="18"/>
          <w:szCs w:val="18"/>
          <w:color w:val="auto"/>
        </w:rPr>
        <w:t>None of the Company, the Compliance Officer, or the Company’s other employees will have any liability for any delay in reviewing, or refusal of, a request for preclearance.</w:t>
      </w:r>
    </w:p>
    <w:p>
      <w:pPr>
        <w:spacing w:after="0" w:line="172"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842010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40" w:top="1440" w:right="379" w:bottom="1440" w:gutter="0" w:footer="0" w:header="0"/>
        </w:sectPr>
      </w:pPr>
    </w:p>
    <w:bookmarkStart w:id="164" w:name="page165"/>
    <w:bookmarkEnd w:id="164"/>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 Nonpublic Information</w:t>
      </w:r>
    </w:p>
    <w:p>
      <w:pPr>
        <w:spacing w:after="0" w:line="212" w:lineRule="exact"/>
        <w:rPr>
          <w:sz w:val="20"/>
          <w:szCs w:val="20"/>
          <w:color w:val="auto"/>
        </w:rPr>
      </w:pPr>
    </w:p>
    <w:p>
      <w:pPr>
        <w:jc w:val="both"/>
        <w:ind w:firstLine="704"/>
        <w:spacing w:after="0" w:line="247" w:lineRule="auto"/>
        <w:rPr>
          <w:sz w:val="20"/>
          <w:szCs w:val="20"/>
          <w:color w:val="auto"/>
        </w:rPr>
      </w:pPr>
      <w:r>
        <w:rPr>
          <w:rFonts w:ascii="Arial" w:cs="Arial" w:eastAsia="Arial" w:hAnsi="Arial"/>
          <w:sz w:val="18"/>
          <w:szCs w:val="18"/>
          <w:color w:val="auto"/>
        </w:rPr>
        <w:t>Information is considered “</w:t>
      </w:r>
      <w:r>
        <w:rPr>
          <w:rFonts w:ascii="Arial" w:cs="Arial" w:eastAsia="Arial" w:hAnsi="Arial"/>
          <w:sz w:val="18"/>
          <w:szCs w:val="18"/>
          <w:u w:val="single" w:color="auto"/>
          <w:color w:val="auto"/>
        </w:rPr>
        <w:t>material</w:t>
      </w:r>
      <w:r>
        <w:rPr>
          <w:rFonts w:ascii="Arial" w:cs="Arial" w:eastAsia="Arial" w:hAnsi="Arial"/>
          <w:sz w:val="18"/>
          <w:szCs w:val="18"/>
          <w:color w:val="auto"/>
        </w:rPr>
        <w:t>”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Examples of material information may include (but are not limited to) information about:</w:t>
      </w:r>
    </w:p>
    <w:p>
      <w:pPr>
        <w:spacing w:after="0" w:line="225" w:lineRule="exact"/>
        <w:rPr>
          <w:sz w:val="20"/>
          <w:szCs w:val="20"/>
          <w:color w:val="auto"/>
        </w:rPr>
      </w:pPr>
    </w:p>
    <w:p>
      <w:pPr>
        <w:ind w:left="1060" w:hanging="364"/>
        <w:spacing w:after="0"/>
        <w:tabs>
          <w:tab w:leader="none" w:pos="1060" w:val="left"/>
        </w:tabs>
        <w:numPr>
          <w:ilvl w:val="0"/>
          <w:numId w:val="63"/>
        </w:numPr>
        <w:rPr>
          <w:rFonts w:ascii="Times New Roman" w:cs="Times New Roman" w:eastAsia="Times New Roman" w:hAnsi="Times New Roman"/>
          <w:sz w:val="20"/>
          <w:szCs w:val="20"/>
          <w:color w:val="auto"/>
        </w:rPr>
      </w:pPr>
      <w:r>
        <w:rPr>
          <w:rFonts w:ascii="Arial" w:cs="Arial" w:eastAsia="Arial" w:hAnsi="Arial"/>
          <w:sz w:val="18"/>
          <w:szCs w:val="18"/>
          <w:color w:val="auto"/>
        </w:rPr>
        <w:t>corporate earnings or earnings forecasts;</w:t>
      </w:r>
    </w:p>
    <w:p>
      <w:pPr>
        <w:spacing w:after="0" w:line="107" w:lineRule="exact"/>
        <w:rPr>
          <w:rFonts w:ascii="Times New Roman" w:cs="Times New Roman" w:eastAsia="Times New Roman" w:hAnsi="Times New Roman"/>
          <w:sz w:val="20"/>
          <w:szCs w:val="20"/>
          <w:color w:val="auto"/>
        </w:rPr>
      </w:pPr>
    </w:p>
    <w:p>
      <w:pPr>
        <w:ind w:left="1060" w:hanging="364"/>
        <w:spacing w:after="0"/>
        <w:tabs>
          <w:tab w:leader="none" w:pos="1060" w:val="left"/>
        </w:tabs>
        <w:numPr>
          <w:ilvl w:val="0"/>
          <w:numId w:val="63"/>
        </w:numPr>
        <w:rPr>
          <w:rFonts w:ascii="Times New Roman" w:cs="Times New Roman" w:eastAsia="Times New Roman" w:hAnsi="Times New Roman"/>
          <w:sz w:val="20"/>
          <w:szCs w:val="20"/>
          <w:color w:val="auto"/>
        </w:rPr>
      </w:pPr>
      <w:r>
        <w:rPr>
          <w:rFonts w:ascii="Arial" w:cs="Arial" w:eastAsia="Arial" w:hAnsi="Arial"/>
          <w:sz w:val="18"/>
          <w:szCs w:val="18"/>
          <w:color w:val="auto"/>
        </w:rPr>
        <w:t>possible mergers, acquisitions, tender offers, or dispositions;</w:t>
      </w:r>
    </w:p>
    <w:p>
      <w:pPr>
        <w:spacing w:after="0" w:line="107" w:lineRule="exact"/>
        <w:rPr>
          <w:rFonts w:ascii="Times New Roman" w:cs="Times New Roman" w:eastAsia="Times New Roman" w:hAnsi="Times New Roman"/>
          <w:sz w:val="20"/>
          <w:szCs w:val="20"/>
          <w:color w:val="auto"/>
        </w:rPr>
      </w:pPr>
    </w:p>
    <w:p>
      <w:pPr>
        <w:ind w:left="1060" w:hanging="364"/>
        <w:spacing w:after="0"/>
        <w:tabs>
          <w:tab w:leader="none" w:pos="1060" w:val="left"/>
        </w:tabs>
        <w:numPr>
          <w:ilvl w:val="0"/>
          <w:numId w:val="63"/>
        </w:numPr>
        <w:rPr>
          <w:rFonts w:ascii="Times New Roman" w:cs="Times New Roman" w:eastAsia="Times New Roman" w:hAnsi="Times New Roman"/>
          <w:sz w:val="20"/>
          <w:szCs w:val="20"/>
          <w:color w:val="auto"/>
        </w:rPr>
      </w:pPr>
      <w:r>
        <w:rPr>
          <w:rFonts w:ascii="Arial" w:cs="Arial" w:eastAsia="Arial" w:hAnsi="Arial"/>
          <w:sz w:val="18"/>
          <w:szCs w:val="18"/>
          <w:color w:val="auto"/>
        </w:rPr>
        <w:t>major new products or product developments;</w:t>
      </w:r>
    </w:p>
    <w:p>
      <w:pPr>
        <w:spacing w:after="0" w:line="107" w:lineRule="exact"/>
        <w:rPr>
          <w:rFonts w:ascii="Times New Roman" w:cs="Times New Roman" w:eastAsia="Times New Roman" w:hAnsi="Times New Roman"/>
          <w:sz w:val="20"/>
          <w:szCs w:val="20"/>
          <w:color w:val="auto"/>
        </w:rPr>
      </w:pPr>
    </w:p>
    <w:p>
      <w:pPr>
        <w:ind w:left="1060" w:hanging="364"/>
        <w:spacing w:after="0"/>
        <w:tabs>
          <w:tab w:leader="none" w:pos="1060" w:val="left"/>
        </w:tabs>
        <w:numPr>
          <w:ilvl w:val="0"/>
          <w:numId w:val="63"/>
        </w:numPr>
        <w:rPr>
          <w:rFonts w:ascii="Times New Roman" w:cs="Times New Roman" w:eastAsia="Times New Roman" w:hAnsi="Times New Roman"/>
          <w:sz w:val="20"/>
          <w:szCs w:val="20"/>
          <w:color w:val="auto"/>
        </w:rPr>
      </w:pPr>
      <w:r>
        <w:rPr>
          <w:rFonts w:ascii="Arial" w:cs="Arial" w:eastAsia="Arial" w:hAnsi="Arial"/>
          <w:sz w:val="18"/>
          <w:szCs w:val="18"/>
          <w:color w:val="auto"/>
        </w:rPr>
        <w:t>results of clinical trials or preclinical studies;</w:t>
      </w:r>
    </w:p>
    <w:p>
      <w:pPr>
        <w:spacing w:after="0" w:line="107" w:lineRule="exact"/>
        <w:rPr>
          <w:rFonts w:ascii="Times New Roman" w:cs="Times New Roman" w:eastAsia="Times New Roman" w:hAnsi="Times New Roman"/>
          <w:sz w:val="20"/>
          <w:szCs w:val="20"/>
          <w:color w:val="auto"/>
        </w:rPr>
      </w:pPr>
    </w:p>
    <w:p>
      <w:pPr>
        <w:ind w:left="1060" w:hanging="364"/>
        <w:spacing w:after="0"/>
        <w:tabs>
          <w:tab w:leader="none" w:pos="1060" w:val="left"/>
        </w:tabs>
        <w:numPr>
          <w:ilvl w:val="0"/>
          <w:numId w:val="63"/>
        </w:numPr>
        <w:rPr>
          <w:rFonts w:ascii="Times New Roman" w:cs="Times New Roman" w:eastAsia="Times New Roman" w:hAnsi="Times New Roman"/>
          <w:sz w:val="20"/>
          <w:szCs w:val="20"/>
          <w:color w:val="auto"/>
        </w:rPr>
      </w:pPr>
      <w:r>
        <w:rPr>
          <w:rFonts w:ascii="Arial" w:cs="Arial" w:eastAsia="Arial" w:hAnsi="Arial"/>
          <w:sz w:val="18"/>
          <w:szCs w:val="18"/>
          <w:color w:val="auto"/>
        </w:rPr>
        <w:t>communications sent to or received from the U.S. Food and Drug Administration or foreign regulatory authorities;</w:t>
      </w:r>
    </w:p>
    <w:p>
      <w:pPr>
        <w:spacing w:after="0" w:line="94" w:lineRule="exact"/>
        <w:rPr>
          <w:rFonts w:ascii="Times New Roman" w:cs="Times New Roman" w:eastAsia="Times New Roman" w:hAnsi="Times New Roman"/>
          <w:sz w:val="20"/>
          <w:szCs w:val="20"/>
          <w:color w:val="auto"/>
        </w:rPr>
      </w:pPr>
    </w:p>
    <w:p>
      <w:pPr>
        <w:ind w:left="1060" w:right="460" w:hanging="364"/>
        <w:spacing w:after="0" w:line="245" w:lineRule="auto"/>
        <w:tabs>
          <w:tab w:leader="none" w:pos="1060" w:val="left"/>
        </w:tabs>
        <w:numPr>
          <w:ilvl w:val="0"/>
          <w:numId w:val="63"/>
        </w:numPr>
        <w:rPr>
          <w:rFonts w:ascii="Times New Roman" w:cs="Times New Roman" w:eastAsia="Times New Roman" w:hAnsi="Times New Roman"/>
          <w:sz w:val="20"/>
          <w:szCs w:val="20"/>
          <w:color w:val="auto"/>
        </w:rPr>
      </w:pPr>
      <w:r>
        <w:rPr>
          <w:rFonts w:ascii="Arial" w:cs="Arial" w:eastAsia="Arial" w:hAnsi="Arial"/>
          <w:sz w:val="18"/>
          <w:szCs w:val="18"/>
          <w:color w:val="auto"/>
        </w:rPr>
        <w:t>important business developments, such as trial results, developments regarding strategic collaborations or the status of regulatory submissions;</w:t>
      </w:r>
    </w:p>
    <w:p>
      <w:pPr>
        <w:spacing w:after="0" w:line="80" w:lineRule="exact"/>
        <w:rPr>
          <w:rFonts w:ascii="Times New Roman" w:cs="Times New Roman" w:eastAsia="Times New Roman" w:hAnsi="Times New Roman"/>
          <w:sz w:val="20"/>
          <w:szCs w:val="20"/>
          <w:color w:val="auto"/>
        </w:rPr>
      </w:pPr>
    </w:p>
    <w:p>
      <w:pPr>
        <w:ind w:left="1060" w:hanging="364"/>
        <w:spacing w:after="0"/>
        <w:tabs>
          <w:tab w:leader="none" w:pos="1060" w:val="left"/>
        </w:tabs>
        <w:numPr>
          <w:ilvl w:val="0"/>
          <w:numId w:val="63"/>
        </w:numPr>
        <w:rPr>
          <w:rFonts w:ascii="Times New Roman" w:cs="Times New Roman" w:eastAsia="Times New Roman" w:hAnsi="Times New Roman"/>
          <w:sz w:val="20"/>
          <w:szCs w:val="20"/>
          <w:color w:val="auto"/>
        </w:rPr>
      </w:pPr>
      <w:r>
        <w:rPr>
          <w:rFonts w:ascii="Arial" w:cs="Arial" w:eastAsia="Arial" w:hAnsi="Arial"/>
          <w:sz w:val="18"/>
          <w:szCs w:val="18"/>
          <w:color w:val="auto"/>
        </w:rPr>
        <w:t>management or control changes;</w:t>
      </w:r>
    </w:p>
    <w:p>
      <w:pPr>
        <w:spacing w:after="0" w:line="107" w:lineRule="exact"/>
        <w:rPr>
          <w:rFonts w:ascii="Times New Roman" w:cs="Times New Roman" w:eastAsia="Times New Roman" w:hAnsi="Times New Roman"/>
          <w:sz w:val="20"/>
          <w:szCs w:val="20"/>
          <w:color w:val="auto"/>
        </w:rPr>
      </w:pPr>
    </w:p>
    <w:p>
      <w:pPr>
        <w:ind w:left="1060" w:hanging="364"/>
        <w:spacing w:after="0"/>
        <w:tabs>
          <w:tab w:leader="none" w:pos="1060" w:val="left"/>
        </w:tabs>
        <w:numPr>
          <w:ilvl w:val="0"/>
          <w:numId w:val="63"/>
        </w:numPr>
        <w:rPr>
          <w:rFonts w:ascii="Times New Roman" w:cs="Times New Roman" w:eastAsia="Times New Roman" w:hAnsi="Times New Roman"/>
          <w:sz w:val="20"/>
          <w:szCs w:val="20"/>
          <w:color w:val="auto"/>
        </w:rPr>
      </w:pPr>
      <w:r>
        <w:rPr>
          <w:rFonts w:ascii="Arial" w:cs="Arial" w:eastAsia="Arial" w:hAnsi="Arial"/>
          <w:sz w:val="18"/>
          <w:szCs w:val="18"/>
          <w:color w:val="auto"/>
        </w:rPr>
        <w:t>significant financing developments including pending public sales or offerings of debt or equity securities;</w:t>
      </w:r>
    </w:p>
    <w:p>
      <w:pPr>
        <w:spacing w:after="0" w:line="94" w:lineRule="exact"/>
        <w:rPr>
          <w:rFonts w:ascii="Times New Roman" w:cs="Times New Roman" w:eastAsia="Times New Roman" w:hAnsi="Times New Roman"/>
          <w:sz w:val="20"/>
          <w:szCs w:val="20"/>
          <w:color w:val="auto"/>
        </w:rPr>
      </w:pPr>
    </w:p>
    <w:p>
      <w:pPr>
        <w:ind w:left="1060" w:hanging="364"/>
        <w:spacing w:after="0"/>
        <w:tabs>
          <w:tab w:leader="none" w:pos="1060" w:val="left"/>
        </w:tabs>
        <w:numPr>
          <w:ilvl w:val="0"/>
          <w:numId w:val="63"/>
        </w:numPr>
        <w:rPr>
          <w:rFonts w:ascii="Times New Roman" w:cs="Times New Roman" w:eastAsia="Times New Roman" w:hAnsi="Times New Roman"/>
          <w:sz w:val="20"/>
          <w:szCs w:val="20"/>
          <w:color w:val="auto"/>
        </w:rPr>
      </w:pPr>
      <w:r>
        <w:rPr>
          <w:rFonts w:ascii="Arial" w:cs="Arial" w:eastAsia="Arial" w:hAnsi="Arial"/>
          <w:sz w:val="18"/>
          <w:szCs w:val="18"/>
          <w:color w:val="auto"/>
        </w:rPr>
        <w:t>defaults on borrowings;</w:t>
      </w:r>
    </w:p>
    <w:p>
      <w:pPr>
        <w:spacing w:after="0" w:line="107" w:lineRule="exact"/>
        <w:rPr>
          <w:rFonts w:ascii="Times New Roman" w:cs="Times New Roman" w:eastAsia="Times New Roman" w:hAnsi="Times New Roman"/>
          <w:sz w:val="20"/>
          <w:szCs w:val="20"/>
          <w:color w:val="auto"/>
        </w:rPr>
      </w:pPr>
    </w:p>
    <w:p>
      <w:pPr>
        <w:ind w:left="1060" w:hanging="364"/>
        <w:spacing w:after="0"/>
        <w:tabs>
          <w:tab w:leader="none" w:pos="1060" w:val="left"/>
        </w:tabs>
        <w:numPr>
          <w:ilvl w:val="0"/>
          <w:numId w:val="63"/>
        </w:numPr>
        <w:rPr>
          <w:rFonts w:ascii="Times New Roman" w:cs="Times New Roman" w:eastAsia="Times New Roman" w:hAnsi="Times New Roman"/>
          <w:sz w:val="20"/>
          <w:szCs w:val="20"/>
          <w:color w:val="auto"/>
        </w:rPr>
      </w:pPr>
      <w:r>
        <w:rPr>
          <w:rFonts w:ascii="Arial" w:cs="Arial" w:eastAsia="Arial" w:hAnsi="Arial"/>
          <w:sz w:val="18"/>
          <w:szCs w:val="18"/>
          <w:color w:val="auto"/>
        </w:rPr>
        <w:t>bankruptcies;</w:t>
      </w:r>
    </w:p>
    <w:p>
      <w:pPr>
        <w:spacing w:after="0" w:line="107" w:lineRule="exact"/>
        <w:rPr>
          <w:rFonts w:ascii="Times New Roman" w:cs="Times New Roman" w:eastAsia="Times New Roman" w:hAnsi="Times New Roman"/>
          <w:sz w:val="20"/>
          <w:szCs w:val="20"/>
          <w:color w:val="auto"/>
        </w:rPr>
      </w:pPr>
    </w:p>
    <w:p>
      <w:pPr>
        <w:ind w:left="1060" w:hanging="364"/>
        <w:spacing w:after="0"/>
        <w:tabs>
          <w:tab w:leader="none" w:pos="1060" w:val="left"/>
        </w:tabs>
        <w:numPr>
          <w:ilvl w:val="0"/>
          <w:numId w:val="63"/>
        </w:numPr>
        <w:rPr>
          <w:rFonts w:ascii="Times New Roman" w:cs="Times New Roman" w:eastAsia="Times New Roman" w:hAnsi="Times New Roman"/>
          <w:sz w:val="20"/>
          <w:szCs w:val="20"/>
          <w:color w:val="auto"/>
        </w:rPr>
      </w:pPr>
      <w:r>
        <w:rPr>
          <w:rFonts w:ascii="Arial" w:cs="Arial" w:eastAsia="Arial" w:hAnsi="Arial"/>
          <w:sz w:val="18"/>
          <w:szCs w:val="18"/>
          <w:color w:val="auto"/>
        </w:rPr>
        <w:t>cybersecurity or data security incidents; and</w:t>
      </w:r>
    </w:p>
    <w:p>
      <w:pPr>
        <w:spacing w:after="0" w:line="121" w:lineRule="exact"/>
        <w:rPr>
          <w:rFonts w:ascii="Times New Roman" w:cs="Times New Roman" w:eastAsia="Times New Roman" w:hAnsi="Times New Roman"/>
          <w:sz w:val="20"/>
          <w:szCs w:val="20"/>
          <w:color w:val="auto"/>
        </w:rPr>
      </w:pPr>
    </w:p>
    <w:p>
      <w:pPr>
        <w:ind w:left="1060" w:hanging="364"/>
        <w:spacing w:after="0"/>
        <w:tabs>
          <w:tab w:leader="none" w:pos="1060" w:val="left"/>
        </w:tabs>
        <w:numPr>
          <w:ilvl w:val="0"/>
          <w:numId w:val="63"/>
        </w:numPr>
        <w:rPr>
          <w:rFonts w:ascii="Times New Roman" w:cs="Times New Roman" w:eastAsia="Times New Roman" w:hAnsi="Times New Roman"/>
          <w:sz w:val="20"/>
          <w:szCs w:val="20"/>
          <w:color w:val="auto"/>
        </w:rPr>
      </w:pPr>
      <w:r>
        <w:rPr>
          <w:rFonts w:ascii="Arial" w:cs="Arial" w:eastAsia="Arial" w:hAnsi="Arial"/>
          <w:sz w:val="18"/>
          <w:szCs w:val="18"/>
          <w:color w:val="auto"/>
        </w:rPr>
        <w:t>significant litigation or regulatory actions.</w:t>
      </w:r>
    </w:p>
    <w:p>
      <w:pPr>
        <w:spacing w:after="0" w:line="189" w:lineRule="exact"/>
        <w:rPr>
          <w:sz w:val="20"/>
          <w:szCs w:val="20"/>
          <w:color w:val="auto"/>
        </w:rPr>
      </w:pPr>
    </w:p>
    <w:p>
      <w:pPr>
        <w:jc w:val="both"/>
        <w:ind w:firstLine="704"/>
        <w:spacing w:after="0" w:line="247" w:lineRule="auto"/>
        <w:rPr>
          <w:sz w:val="20"/>
          <w:szCs w:val="20"/>
          <w:color w:val="auto"/>
        </w:rPr>
      </w:pPr>
      <w:r>
        <w:rPr>
          <w:rFonts w:ascii="Arial" w:cs="Arial" w:eastAsia="Arial" w:hAnsi="Arial"/>
          <w:sz w:val="18"/>
          <w:szCs w:val="18"/>
          <w:color w:val="auto"/>
        </w:rPr>
        <w:t>Information is “</w:t>
      </w:r>
      <w:r>
        <w:rPr>
          <w:rFonts w:ascii="Arial" w:cs="Arial" w:eastAsia="Arial" w:hAnsi="Arial"/>
          <w:sz w:val="18"/>
          <w:szCs w:val="18"/>
          <w:u w:val="single" w:color="auto"/>
          <w:color w:val="auto"/>
        </w:rPr>
        <w:t>nonpublic</w:t>
      </w:r>
      <w:r>
        <w:rPr>
          <w:rFonts w:ascii="Arial" w:cs="Arial" w:eastAsia="Arial" w:hAnsi="Arial"/>
          <w:sz w:val="18"/>
          <w:szCs w:val="18"/>
          <w:color w:val="auto"/>
        </w:rPr>
        <w:t>” if it is not available to the general public. In order for information to be considered “</w:t>
      </w:r>
      <w:r>
        <w:rPr>
          <w:rFonts w:ascii="Arial" w:cs="Arial" w:eastAsia="Arial" w:hAnsi="Arial"/>
          <w:sz w:val="18"/>
          <w:szCs w:val="18"/>
          <w:u w:val="single" w:color="auto"/>
          <w:color w:val="auto"/>
        </w:rPr>
        <w:t>public</w:t>
      </w:r>
      <w:r>
        <w:rPr>
          <w:rFonts w:ascii="Arial" w:cs="Arial" w:eastAsia="Arial" w:hAnsi="Arial"/>
          <w:sz w:val="18"/>
          <w:szCs w:val="18"/>
          <w:color w:val="auto"/>
        </w:rPr>
        <w:t>,” it must be widely disseminated in a manner that makes it generally available to investors in a Regulation FD-compliant method, such as through a press release, a filing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or a Regulation FD-compliant conference call. The Compliance Officer shall have sole discretion to decide whether information is public for purposes of this Policy.</w:t>
      </w:r>
    </w:p>
    <w:p>
      <w:pPr>
        <w:spacing w:after="0" w:line="160" w:lineRule="exact"/>
        <w:rPr>
          <w:sz w:val="20"/>
          <w:szCs w:val="20"/>
          <w:color w:val="auto"/>
        </w:rPr>
      </w:pPr>
    </w:p>
    <w:p>
      <w:pPr>
        <w:jc w:val="both"/>
        <w:ind w:firstLine="704"/>
        <w:spacing w:after="0" w:line="247" w:lineRule="auto"/>
        <w:rPr>
          <w:sz w:val="20"/>
          <w:szCs w:val="20"/>
          <w:color w:val="auto"/>
        </w:rPr>
      </w:pPr>
      <w:r>
        <w:rPr>
          <w:rFonts w:ascii="Arial" w:cs="Arial" w:eastAsia="Arial" w:hAnsi="Arial"/>
          <w:sz w:val="18"/>
          <w:szCs w:val="18"/>
          <w:color w:val="auto"/>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one to two full trading days following release of the information to the public, is a reasonable waiting period before such information is deemed to be public.</w:t>
      </w:r>
    </w:p>
    <w:p>
      <w:pPr>
        <w:spacing w:after="0" w:line="193"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842010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65" w:name="page166"/>
    <w:bookmarkEnd w:id="165"/>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Post-Termination Transactions</w:t>
      </w:r>
    </w:p>
    <w:p>
      <w:pPr>
        <w:spacing w:after="0" w:line="198" w:lineRule="exact"/>
        <w:rPr>
          <w:sz w:val="20"/>
          <w:szCs w:val="20"/>
          <w:color w:val="auto"/>
        </w:rPr>
      </w:pPr>
    </w:p>
    <w:p>
      <w:pPr>
        <w:jc w:val="both"/>
        <w:ind w:firstLine="704"/>
        <w:spacing w:after="0" w:line="271" w:lineRule="auto"/>
        <w:rPr>
          <w:sz w:val="20"/>
          <w:szCs w:val="20"/>
          <w:color w:val="auto"/>
        </w:rPr>
      </w:pPr>
      <w:r>
        <w:rPr>
          <w:rFonts w:ascii="Arial" w:cs="Arial" w:eastAsia="Arial" w:hAnsi="Arial"/>
          <w:sz w:val="18"/>
          <w:szCs w:val="18"/>
          <w:color w:val="auto"/>
        </w:rPr>
        <w:t>If an individual is in possession of material nonpublic information when the individual’s service terminates, the individual may not trade in the Company’s securities until that information has become public or is no longer material.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Prohibited Transactions</w:t>
      </w:r>
    </w:p>
    <w:p>
      <w:pPr>
        <w:spacing w:after="0" w:line="212" w:lineRule="exact"/>
        <w:rPr>
          <w:sz w:val="20"/>
          <w:szCs w:val="20"/>
          <w:color w:val="auto"/>
        </w:rPr>
      </w:pPr>
    </w:p>
    <w:p>
      <w:pPr>
        <w:jc w:val="both"/>
        <w:ind w:firstLine="704"/>
        <w:spacing w:after="0" w:line="253" w:lineRule="auto"/>
        <w:rPr>
          <w:sz w:val="20"/>
          <w:szCs w:val="20"/>
          <w:color w:val="auto"/>
        </w:rPr>
      </w:pPr>
      <w:r>
        <w:rPr>
          <w:rFonts w:ascii="Arial" w:cs="Arial" w:eastAsia="Arial" w:hAnsi="Arial"/>
          <w:sz w:val="18"/>
          <w:szCs w:val="18"/>
          <w:color w:val="auto"/>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 Sales</w:t>
      </w:r>
    </w:p>
    <w:p>
      <w:pPr>
        <w:spacing w:after="0" w:line="196" w:lineRule="exact"/>
        <w:rPr>
          <w:sz w:val="20"/>
          <w:szCs w:val="20"/>
          <w:color w:val="auto"/>
        </w:rPr>
      </w:pPr>
    </w:p>
    <w:p>
      <w:pPr>
        <w:jc w:val="both"/>
        <w:ind w:firstLine="704"/>
        <w:spacing w:after="0" w:line="242" w:lineRule="auto"/>
        <w:rPr>
          <w:sz w:val="20"/>
          <w:szCs w:val="20"/>
          <w:color w:val="auto"/>
        </w:rPr>
      </w:pPr>
      <w:r>
        <w:rPr>
          <w:rFonts w:ascii="Arial" w:cs="Arial" w:eastAsia="Arial" w:hAnsi="Arial"/>
          <w:sz w:val="18"/>
          <w:szCs w:val="18"/>
          <w:color w:val="auto"/>
        </w:rPr>
        <w:t>Short sales of the Company’s securities are prohibited by this Policy. Short sales of the Company’s securities, or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no confidence in the Company or its short-term prospects. In addition, Section 16(c) of the Exchange Act prohibits Section 16 reporting persons (i.e., directors, officers, and the Company’s 10% stockholders) from making short sales of the Company’s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196" w:lineRule="exact"/>
        <w:rPr>
          <w:sz w:val="20"/>
          <w:szCs w:val="20"/>
          <w:color w:val="auto"/>
        </w:rPr>
      </w:pPr>
    </w:p>
    <w:p>
      <w:pPr>
        <w:jc w:val="both"/>
        <w:ind w:firstLine="704"/>
        <w:spacing w:after="0" w:line="244" w:lineRule="auto"/>
        <w:rPr>
          <w:sz w:val="20"/>
          <w:szCs w:val="20"/>
          <w:color w:val="auto"/>
        </w:rPr>
      </w:pPr>
      <w:r>
        <w:rPr>
          <w:rFonts w:ascii="Arial" w:cs="Arial" w:eastAsia="Arial" w:hAnsi="Arial"/>
          <w:sz w:val="18"/>
          <w:szCs w:val="18"/>
          <w:color w:val="auto"/>
        </w:rPr>
        <w:t>Transactions in puts, calls, or other derivative securities involving the Company’s equity securities, on an exchange, on an over-the-counter market, or in any other organized market, are prohibited by this Policy. A transaction in options is, in effect, a bet on the short-term movement of the Company’s stock and, therefore, creates the appearance that a Covered Person is trading based on material nonpublic information. Transactions in options, whether traded on an exchange, on an over-the-counter market, or any other organized market, also may focus a Covered Person’s attention on short-term performance at the expense of the Company’s long- term objectives.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Transactions</w:t>
      </w:r>
    </w:p>
    <w:p>
      <w:pPr>
        <w:spacing w:after="0" w:line="196" w:lineRule="exact"/>
        <w:rPr>
          <w:sz w:val="20"/>
          <w:szCs w:val="20"/>
          <w:color w:val="auto"/>
        </w:rPr>
      </w:pPr>
    </w:p>
    <w:p>
      <w:pPr>
        <w:jc w:val="both"/>
        <w:ind w:firstLine="704"/>
        <w:spacing w:after="0" w:line="244" w:lineRule="auto"/>
        <w:rPr>
          <w:sz w:val="20"/>
          <w:szCs w:val="20"/>
          <w:color w:val="auto"/>
        </w:rPr>
      </w:pPr>
      <w:r>
        <w:rPr>
          <w:rFonts w:ascii="Arial" w:cs="Arial" w:eastAsia="Arial" w:hAnsi="Arial"/>
          <w:sz w:val="18"/>
          <w:szCs w:val="18"/>
          <w:color w:val="auto"/>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occurs, the Covered Person may no longer have the same objectives as the Company’s other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Margin Accounts and Pledging</w:t>
      </w:r>
    </w:p>
    <w:p>
      <w:pPr>
        <w:spacing w:after="0" w:line="196" w:lineRule="exact"/>
        <w:rPr>
          <w:sz w:val="20"/>
          <w:szCs w:val="20"/>
          <w:color w:val="auto"/>
        </w:rPr>
      </w:pPr>
    </w:p>
    <w:p>
      <w:pPr>
        <w:jc w:val="both"/>
        <w:ind w:firstLine="704"/>
        <w:spacing w:after="0" w:line="253" w:lineRule="auto"/>
        <w:rPr>
          <w:sz w:val="20"/>
          <w:szCs w:val="20"/>
          <w:color w:val="auto"/>
        </w:rPr>
      </w:pPr>
      <w:r>
        <w:rPr>
          <w:rFonts w:ascii="Arial" w:cs="Arial" w:eastAsia="Arial" w:hAnsi="Arial"/>
          <w:sz w:val="18"/>
          <w:szCs w:val="18"/>
          <w:color w:val="auto"/>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nor to situations approved in advance by the Compliance Officer.</w:t>
      </w:r>
    </w:p>
    <w:p>
      <w:pPr>
        <w:spacing w:after="0" w:line="188"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850900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66" w:name="page167"/>
    <w:bookmarkEnd w:id="166"/>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 Distributions</w:t>
      </w:r>
    </w:p>
    <w:p>
      <w:pPr>
        <w:spacing w:after="0" w:line="196" w:lineRule="exact"/>
        <w:rPr>
          <w:sz w:val="20"/>
          <w:szCs w:val="20"/>
          <w:color w:val="auto"/>
        </w:rPr>
      </w:pPr>
    </w:p>
    <w:p>
      <w:pPr>
        <w:jc w:val="both"/>
        <w:ind w:firstLine="704"/>
        <w:spacing w:after="0" w:line="247" w:lineRule="auto"/>
        <w:rPr>
          <w:sz w:val="20"/>
          <w:szCs w:val="20"/>
          <w:color w:val="auto"/>
        </w:rPr>
      </w:pPr>
      <w:r>
        <w:rPr>
          <w:rFonts w:ascii="Arial" w:cs="Arial" w:eastAsia="Arial" w:hAnsi="Arial"/>
          <w:sz w:val="18"/>
          <w:szCs w:val="18"/>
          <w:color w:val="auto"/>
        </w:rPr>
        <w:t>Nothing in this Policy is intended to limit the ability of an investment fund, venture capital partnership or other similar entity with which a director is affiliated to distribute Company securities to its partners, members, or other similar persons; provided, however, it is the responsibility of each such entity, in consultation with its own counsel (as appropriate), to determine the timing of any distributions, based on relevant facts and circumstances, and applicable securities laws.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Rule 10b5-1 Trading Plans</w:t>
      </w:r>
    </w:p>
    <w:p>
      <w:pPr>
        <w:spacing w:after="0" w:line="212" w:lineRule="exact"/>
        <w:rPr>
          <w:sz w:val="20"/>
          <w:szCs w:val="20"/>
          <w:color w:val="auto"/>
        </w:rPr>
      </w:pPr>
    </w:p>
    <w:p>
      <w:pPr>
        <w:jc w:val="both"/>
        <w:ind w:firstLine="704"/>
        <w:spacing w:after="0" w:line="253" w:lineRule="auto"/>
        <w:rPr>
          <w:sz w:val="20"/>
          <w:szCs w:val="20"/>
          <w:color w:val="auto"/>
        </w:rPr>
      </w:pPr>
      <w:r>
        <w:rPr>
          <w:rFonts w:ascii="Arial" w:cs="Arial" w:eastAsia="Arial" w:hAnsi="Arial"/>
          <w:sz w:val="18"/>
          <w:szCs w:val="18"/>
          <w:color w:val="auto"/>
        </w:rPr>
        <w:t>The trading restrictions set forth in this Policy, other than those transactions described under “</w:t>
      </w:r>
      <w:r>
        <w:rPr>
          <w:rFonts w:ascii="Arial" w:cs="Arial" w:eastAsia="Arial" w:hAnsi="Arial"/>
          <w:sz w:val="18"/>
          <w:szCs w:val="18"/>
          <w:u w:val="single" w:color="auto"/>
          <w:color w:val="auto"/>
        </w:rPr>
        <w:t>Prohibited Transactions</w:t>
      </w:r>
      <w:r>
        <w:rPr>
          <w:rFonts w:ascii="Arial" w:cs="Arial" w:eastAsia="Arial" w:hAnsi="Arial"/>
          <w:sz w:val="18"/>
          <w:szCs w:val="18"/>
          <w:color w:val="auto"/>
        </w:rPr>
        <w:t>,” do not apply to transactions under a previously established contract, plan or instruction to trade in the Company’s securities entered into in accordance with Rule 10b5-1 (a “</w:t>
      </w:r>
      <w:r>
        <w:rPr>
          <w:rFonts w:ascii="Arial" w:cs="Arial" w:eastAsia="Arial" w:hAnsi="Arial"/>
          <w:sz w:val="18"/>
          <w:szCs w:val="18"/>
          <w:u w:val="single" w:color="auto"/>
          <w:color w:val="auto"/>
        </w:rPr>
        <w:t>Trading Plan</w:t>
      </w:r>
      <w:r>
        <w:rPr>
          <w:rFonts w:ascii="Arial" w:cs="Arial" w:eastAsia="Arial" w:hAnsi="Arial"/>
          <w:sz w:val="18"/>
          <w:szCs w:val="18"/>
          <w:color w:val="auto"/>
        </w:rPr>
        <w:t>”) that:</w:t>
      </w:r>
    </w:p>
    <w:p>
      <w:pPr>
        <w:spacing w:after="0" w:line="169" w:lineRule="exact"/>
        <w:rPr>
          <w:sz w:val="20"/>
          <w:szCs w:val="20"/>
          <w:color w:val="auto"/>
        </w:rPr>
      </w:pPr>
    </w:p>
    <w:p>
      <w:pPr>
        <w:ind w:left="1420" w:hanging="709"/>
        <w:spacing w:after="0"/>
        <w:tabs>
          <w:tab w:leader="none" w:pos="1420" w:val="left"/>
        </w:tabs>
        <w:numPr>
          <w:ilvl w:val="0"/>
          <w:numId w:val="64"/>
        </w:numPr>
        <w:rPr>
          <w:rFonts w:ascii="Times New Roman" w:cs="Times New Roman" w:eastAsia="Times New Roman" w:hAnsi="Times New Roman"/>
          <w:sz w:val="20"/>
          <w:szCs w:val="20"/>
          <w:color w:val="auto"/>
        </w:rPr>
      </w:pPr>
      <w:r>
        <w:rPr>
          <w:rFonts w:ascii="Arial" w:cs="Arial" w:eastAsia="Arial" w:hAnsi="Arial"/>
          <w:sz w:val="18"/>
          <w:szCs w:val="18"/>
          <w:color w:val="auto"/>
        </w:rPr>
        <w:t>has been submitted to and preapproved by the Compliance Officer</w:t>
      </w:r>
    </w:p>
    <w:p>
      <w:pPr>
        <w:spacing w:after="0" w:line="202" w:lineRule="exact"/>
        <w:rPr>
          <w:rFonts w:ascii="Times New Roman" w:cs="Times New Roman" w:eastAsia="Times New Roman" w:hAnsi="Times New Roman"/>
          <w:sz w:val="20"/>
          <w:szCs w:val="20"/>
          <w:color w:val="auto"/>
        </w:rPr>
      </w:pPr>
    </w:p>
    <w:p>
      <w:pPr>
        <w:ind w:left="1420" w:hanging="709"/>
        <w:spacing w:after="0"/>
        <w:tabs>
          <w:tab w:leader="none" w:pos="1420" w:val="left"/>
        </w:tabs>
        <w:numPr>
          <w:ilvl w:val="0"/>
          <w:numId w:val="64"/>
        </w:numPr>
        <w:rPr>
          <w:rFonts w:ascii="Times New Roman" w:cs="Times New Roman" w:eastAsia="Times New Roman" w:hAnsi="Times New Roman"/>
          <w:sz w:val="20"/>
          <w:szCs w:val="20"/>
          <w:color w:val="auto"/>
        </w:rPr>
      </w:pPr>
      <w:r>
        <w:rPr>
          <w:rFonts w:ascii="Arial" w:cs="Arial" w:eastAsia="Arial" w:hAnsi="Arial"/>
          <w:sz w:val="18"/>
          <w:szCs w:val="18"/>
          <w:color w:val="auto"/>
        </w:rPr>
        <w:t>includes a “Cooling Off Period” for</w:t>
      </w:r>
    </w:p>
    <w:p>
      <w:pPr>
        <w:spacing w:after="0" w:line="202" w:lineRule="exact"/>
        <w:rPr>
          <w:sz w:val="20"/>
          <w:szCs w:val="20"/>
          <w:color w:val="auto"/>
        </w:rPr>
      </w:pPr>
    </w:p>
    <w:p>
      <w:pPr>
        <w:jc w:val="both"/>
        <w:ind w:left="2120" w:hanging="360"/>
        <w:spacing w:after="0" w:line="252" w:lineRule="auto"/>
        <w:tabs>
          <w:tab w:leader="none" w:pos="212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Section 16 reporting persons that extends to the later of 90 days after adoption of a Trading Plan or two business days after filing the Form 10-K or Form 10-Q covering the fiscal quarter in which the Trading Plan was adopted, up to a maximum of 120 days; and</w:t>
      </w:r>
    </w:p>
    <w:p>
      <w:pPr>
        <w:spacing w:after="0" w:line="157" w:lineRule="exact"/>
        <w:rPr>
          <w:rFonts w:ascii="Times New Roman" w:cs="Times New Roman" w:eastAsia="Times New Roman" w:hAnsi="Times New Roman"/>
          <w:sz w:val="18"/>
          <w:szCs w:val="18"/>
          <w:color w:val="auto"/>
        </w:rPr>
      </w:pPr>
    </w:p>
    <w:p>
      <w:pPr>
        <w:ind w:left="2120" w:hanging="360"/>
        <w:spacing w:after="0" w:line="270" w:lineRule="auto"/>
        <w:tabs>
          <w:tab w:leader="none" w:pos="212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employees and any other persons, other than the Company, that extends 60 days after adoption of a Trading Plan;</w:t>
      </w:r>
    </w:p>
    <w:p>
      <w:pPr>
        <w:spacing w:after="0" w:line="154" w:lineRule="exact"/>
        <w:rPr>
          <w:rFonts w:ascii="Times New Roman" w:cs="Times New Roman" w:eastAsia="Times New Roman" w:hAnsi="Times New Roman"/>
          <w:sz w:val="18"/>
          <w:szCs w:val="18"/>
          <w:color w:val="auto"/>
        </w:rPr>
      </w:pPr>
    </w:p>
    <w:p>
      <w:pPr>
        <w:jc w:val="both"/>
        <w:ind w:left="1400" w:hanging="689"/>
        <w:spacing w:after="0" w:line="239" w:lineRule="auto"/>
        <w:tabs>
          <w:tab w:leader="none" w:pos="1400" w:val="left"/>
        </w:tabs>
        <w:numPr>
          <w:ilvl w:val="0"/>
          <w:numId w:val="65"/>
        </w:numPr>
        <w:rPr>
          <w:rFonts w:ascii="Times New Roman" w:cs="Times New Roman" w:eastAsia="Times New Roman" w:hAnsi="Times New Roman"/>
          <w:sz w:val="20"/>
          <w:szCs w:val="20"/>
          <w:color w:val="auto"/>
        </w:rPr>
      </w:pPr>
      <w:r>
        <w:rPr>
          <w:rFonts w:ascii="Arial" w:cs="Arial" w:eastAsia="Arial" w:hAnsi="Arial"/>
          <w:sz w:val="18"/>
          <w:szCs w:val="18"/>
          <w:color w:val="auto"/>
        </w:rPr>
        <w:t>for Section 16 reporting persons, includes a representation in the Trading Plan that the Section 16 reporting person is (1) not aware of any material nonpublic information about the Company or its securities; and (2) adopting the Trading Plan in good faith and not as part of a plan or scheme to evade Rule 10b-5;</w:t>
      </w:r>
    </w:p>
    <w:p>
      <w:pPr>
        <w:spacing w:after="0" w:line="182" w:lineRule="exact"/>
        <w:rPr>
          <w:rFonts w:ascii="Times New Roman" w:cs="Times New Roman" w:eastAsia="Times New Roman" w:hAnsi="Times New Roman"/>
          <w:sz w:val="20"/>
          <w:szCs w:val="20"/>
          <w:color w:val="auto"/>
        </w:rPr>
      </w:pPr>
    </w:p>
    <w:p>
      <w:pPr>
        <w:jc w:val="both"/>
        <w:ind w:left="1400" w:hanging="689"/>
        <w:spacing w:after="0" w:line="239" w:lineRule="auto"/>
        <w:tabs>
          <w:tab w:leader="none" w:pos="1400" w:val="left"/>
        </w:tabs>
        <w:numPr>
          <w:ilvl w:val="0"/>
          <w:numId w:val="65"/>
        </w:numPr>
        <w:rPr>
          <w:rFonts w:ascii="Times New Roman" w:cs="Times New Roman" w:eastAsia="Times New Roman" w:hAnsi="Times New Roman"/>
          <w:sz w:val="20"/>
          <w:szCs w:val="20"/>
          <w:color w:val="auto"/>
        </w:rPr>
      </w:pPr>
      <w:r>
        <w:rPr>
          <w:rFonts w:ascii="Arial" w:cs="Arial" w:eastAsia="Arial" w:hAnsi="Arial"/>
          <w:sz w:val="18"/>
          <w:szCs w:val="18"/>
          <w:color w:val="auto"/>
        </w:rPr>
        <w:t>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w:t>
      </w:r>
    </w:p>
    <w:p>
      <w:pPr>
        <w:spacing w:after="0" w:line="168" w:lineRule="exact"/>
        <w:rPr>
          <w:rFonts w:ascii="Times New Roman" w:cs="Times New Roman" w:eastAsia="Times New Roman" w:hAnsi="Times New Roman"/>
          <w:sz w:val="20"/>
          <w:szCs w:val="20"/>
          <w:color w:val="auto"/>
        </w:rPr>
      </w:pPr>
    </w:p>
    <w:p>
      <w:pPr>
        <w:jc w:val="both"/>
        <w:ind w:left="1400" w:hanging="689"/>
        <w:spacing w:after="0" w:line="239" w:lineRule="auto"/>
        <w:tabs>
          <w:tab w:leader="none" w:pos="1400" w:val="left"/>
        </w:tabs>
        <w:numPr>
          <w:ilvl w:val="0"/>
          <w:numId w:val="65"/>
        </w:numPr>
        <w:rPr>
          <w:rFonts w:ascii="Times New Roman" w:cs="Times New Roman" w:eastAsia="Times New Roman" w:hAnsi="Times New Roman"/>
          <w:sz w:val="20"/>
          <w:szCs w:val="20"/>
          <w:color w:val="auto"/>
        </w:rPr>
      </w:pPr>
      <w:r>
        <w:rPr>
          <w:rFonts w:ascii="Arial" w:cs="Arial" w:eastAsia="Arial" w:hAnsi="Arial"/>
          <w:sz w:val="18"/>
          <w:szCs w:val="18"/>
          <w:color w:val="auto"/>
        </w:rPr>
        <w:t>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w:t>
      </w:r>
    </w:p>
    <w:p>
      <w:pPr>
        <w:spacing w:after="0" w:line="182" w:lineRule="exact"/>
        <w:rPr>
          <w:rFonts w:ascii="Times New Roman" w:cs="Times New Roman" w:eastAsia="Times New Roman" w:hAnsi="Times New Roman"/>
          <w:sz w:val="20"/>
          <w:szCs w:val="20"/>
          <w:color w:val="auto"/>
        </w:rPr>
      </w:pPr>
    </w:p>
    <w:p>
      <w:pPr>
        <w:ind w:left="1420" w:hanging="709"/>
        <w:spacing w:after="0"/>
        <w:tabs>
          <w:tab w:leader="none" w:pos="1420" w:val="left"/>
        </w:tabs>
        <w:numPr>
          <w:ilvl w:val="0"/>
          <w:numId w:val="65"/>
        </w:numPr>
        <w:rPr>
          <w:rFonts w:ascii="Times New Roman" w:cs="Times New Roman" w:eastAsia="Times New Roman" w:hAnsi="Times New Roman"/>
          <w:sz w:val="20"/>
          <w:szCs w:val="20"/>
          <w:color w:val="auto"/>
        </w:rPr>
      </w:pPr>
      <w:r>
        <w:rPr>
          <w:rFonts w:ascii="Arial" w:cs="Arial" w:eastAsia="Arial" w:hAnsi="Arial"/>
          <w:sz w:val="18"/>
          <w:szCs w:val="18"/>
          <w:color w:val="auto"/>
        </w:rPr>
        <w:t>complies with all other applicable requirements of Rule 10b5-1.</w:t>
      </w:r>
    </w:p>
    <w:p>
      <w:pPr>
        <w:spacing w:after="0" w:line="189" w:lineRule="exact"/>
        <w:rPr>
          <w:sz w:val="20"/>
          <w:szCs w:val="20"/>
          <w:color w:val="auto"/>
        </w:rPr>
      </w:pPr>
    </w:p>
    <w:p>
      <w:pPr>
        <w:jc w:val="both"/>
        <w:ind w:firstLine="704"/>
        <w:spacing w:after="0" w:line="271" w:lineRule="auto"/>
        <w:rPr>
          <w:sz w:val="20"/>
          <w:szCs w:val="20"/>
          <w:color w:val="auto"/>
        </w:rPr>
      </w:pPr>
      <w:r>
        <w:rPr>
          <w:rFonts w:ascii="Arial" w:cs="Arial" w:eastAsia="Arial" w:hAnsi="Arial"/>
          <w:sz w:val="18"/>
          <w:szCs w:val="18"/>
          <w:color w:val="auto"/>
        </w:rPr>
        <w:t>All Trading Plans must have a minimum duration of six months (inclusive of the applicable Cooling Off Period) and a maximum duration of two years.</w:t>
      </w:r>
    </w:p>
    <w:p>
      <w:pPr>
        <w:spacing w:after="0" w:line="140" w:lineRule="exact"/>
        <w:rPr>
          <w:sz w:val="20"/>
          <w:szCs w:val="20"/>
          <w:color w:val="auto"/>
        </w:rPr>
      </w:pPr>
    </w:p>
    <w:p>
      <w:pPr>
        <w:jc w:val="both"/>
        <w:ind w:firstLine="704"/>
        <w:spacing w:after="0" w:line="253" w:lineRule="auto"/>
        <w:rPr>
          <w:sz w:val="20"/>
          <w:szCs w:val="20"/>
          <w:color w:val="auto"/>
        </w:rPr>
      </w:pPr>
      <w:r>
        <w:rPr>
          <w:rFonts w:ascii="Arial" w:cs="Arial" w:eastAsia="Arial" w:hAnsi="Arial"/>
          <w:sz w:val="18"/>
          <w:szCs w:val="18"/>
          <w:color w:val="auto"/>
        </w:rPr>
        <w:t>The Compliance Officer may impose such other conditions on the implementation and operation of the Trading Plan as the Compliance Officer deems necessary or advisable. Individuals may not adopt more than one Trading Plan at a time except under the limited circumstances permitted by Rule 10b5-1 (including Trading Plans which authorize an agent to sell only such</w:t>
      </w:r>
    </w:p>
    <w:p>
      <w:pPr>
        <w:spacing w:after="0" w:line="188"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850900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67" w:name="page168"/>
    <w:bookmarkEnd w:id="167"/>
    <w:p>
      <w:pPr>
        <w:spacing w:after="0" w:line="200" w:lineRule="exact"/>
        <w:rPr>
          <w:sz w:val="20"/>
          <w:szCs w:val="20"/>
          <w:color w:val="auto"/>
        </w:rPr>
      </w:pPr>
    </w:p>
    <w:p>
      <w:pPr>
        <w:spacing w:after="0" w:line="2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securities as are necessary to satisfy tax withholding obligations arising exclusively from the vesting of a compensatory award) and subject to preapproval by the Compliance Officer.</w:t>
      </w:r>
    </w:p>
    <w:p>
      <w:pPr>
        <w:spacing w:after="0" w:line="140" w:lineRule="exact"/>
        <w:rPr>
          <w:sz w:val="20"/>
          <w:szCs w:val="20"/>
          <w:color w:val="auto"/>
        </w:rPr>
      </w:pPr>
    </w:p>
    <w:p>
      <w:pPr>
        <w:jc w:val="both"/>
        <w:ind w:firstLine="704"/>
        <w:spacing w:after="0" w:line="253" w:lineRule="auto"/>
        <w:rPr>
          <w:sz w:val="20"/>
          <w:szCs w:val="20"/>
          <w:color w:val="auto"/>
        </w:rPr>
      </w:pPr>
      <w:r>
        <w:rPr>
          <w:rFonts w:ascii="Arial" w:cs="Arial" w:eastAsia="Arial" w:hAnsi="Arial"/>
          <w:sz w:val="18"/>
          <w:szCs w:val="18"/>
          <w:color w:val="auto"/>
        </w:rPr>
        <w:t>Any participant who has adopted a Trading Plan may not make discretionary sales outside of such Trading Plan. Other than in select situation approved by the Compliance Officer, in order to reduce the administrative burden with respect to establishing Trading Plans, all Trading Plans must be established with the financial institutions designated by the Company’s management.</w:t>
      </w:r>
    </w:p>
    <w:p>
      <w:pPr>
        <w:spacing w:after="0" w:line="155" w:lineRule="exact"/>
        <w:rPr>
          <w:sz w:val="20"/>
          <w:szCs w:val="20"/>
          <w:color w:val="auto"/>
        </w:rPr>
      </w:pPr>
    </w:p>
    <w:p>
      <w:pPr>
        <w:jc w:val="both"/>
        <w:ind w:firstLine="704"/>
        <w:spacing w:after="0" w:line="239" w:lineRule="auto"/>
        <w:rPr>
          <w:sz w:val="20"/>
          <w:szCs w:val="20"/>
          <w:color w:val="auto"/>
        </w:rPr>
      </w:pPr>
      <w:r>
        <w:rPr>
          <w:rFonts w:ascii="Arial" w:cs="Arial" w:eastAsia="Arial" w:hAnsi="Arial"/>
          <w:sz w:val="18"/>
          <w:szCs w:val="18"/>
          <w:color w:val="auto"/>
        </w:rPr>
        <w:t>Other than with respect to modifications that correct minor clerical or administrative errors, an individual may not modify a Trading Plan. Any permitted modifications must occur outside of a blackout period and, in any event, when the individual does not possess material nonpublic information. Revocation of Trading Plans should occur only in unusual circumstances. Effectiveness of any revocation or amendment of a Trading Plan will be subject to the prior review and approval of the Compliance Officer. Revocation is effected upon written notice to the broker. Once a Trading Plan has been revoked, the participant should wait at least 60 days before trading outside of a Trading Plan (unless the participant is one of the persons set forth on Annex A hereto, in which case discretionary trading outside of a Trading Plan is prohibited, see Annex A for more information) and 270 days before establishing a new Trading Plan. You should note that revocation of a Trading Plan can result in the loss of an affirmative defense for past or future transactions under a Trading Plan. You should consult with your own legal counsel before deciding to revoke a Trading Plan.</w:t>
      </w:r>
    </w:p>
    <w:p>
      <w:pPr>
        <w:spacing w:after="0" w:line="170" w:lineRule="exact"/>
        <w:rPr>
          <w:sz w:val="20"/>
          <w:szCs w:val="20"/>
          <w:color w:val="auto"/>
        </w:rPr>
      </w:pPr>
    </w:p>
    <w:p>
      <w:pPr>
        <w:jc w:val="both"/>
        <w:ind w:firstLine="704"/>
        <w:spacing w:after="0" w:line="244" w:lineRule="auto"/>
        <w:rPr>
          <w:sz w:val="20"/>
          <w:szCs w:val="20"/>
          <w:color w:val="auto"/>
        </w:rPr>
      </w:pPr>
      <w:r>
        <w:rPr>
          <w:rFonts w:ascii="Arial" w:cs="Arial" w:eastAsia="Arial" w:hAnsi="Arial"/>
          <w:sz w:val="18"/>
          <w:szCs w:val="18"/>
          <w:color w:val="auto"/>
        </w:rPr>
        <w:t>The Company reserves the right to publicly disclose, announce, or respond to inquiries from the media regarding the adoption, modification, or termination of a Trading Plan and non- Rule 10b5-1 trading arrangements, or the execution of transactions made under a Trading Plan. The Company also reserves the right from time to time to suspend, discontinue, or otherwise prohibit transactions under a Trading Plan if the Compliance Officer or the Board of Directors, in its discretion, determines that such suspension, discontinuation, or other prohibition is in the best interests of the Company.</w:t>
      </w:r>
    </w:p>
    <w:p>
      <w:pPr>
        <w:spacing w:after="0" w:line="163" w:lineRule="exact"/>
        <w:rPr>
          <w:sz w:val="20"/>
          <w:szCs w:val="20"/>
          <w:color w:val="auto"/>
        </w:rPr>
      </w:pPr>
    </w:p>
    <w:p>
      <w:pPr>
        <w:jc w:val="both"/>
        <w:ind w:firstLine="704"/>
        <w:spacing w:after="0" w:line="247" w:lineRule="auto"/>
        <w:rPr>
          <w:sz w:val="20"/>
          <w:szCs w:val="20"/>
          <w:color w:val="auto"/>
        </w:rPr>
      </w:pPr>
      <w:r>
        <w:rPr>
          <w:rFonts w:ascii="Arial" w:cs="Arial" w:eastAsia="Arial" w:hAnsi="Arial"/>
          <w:sz w:val="18"/>
          <w:szCs w:val="18"/>
          <w:color w:val="auto"/>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Interpretation, Amendment, and Implementation of this Policy</w:t>
      </w:r>
    </w:p>
    <w:p>
      <w:pPr>
        <w:spacing w:after="0" w:line="198" w:lineRule="exact"/>
        <w:rPr>
          <w:sz w:val="20"/>
          <w:szCs w:val="20"/>
          <w:color w:val="auto"/>
        </w:rPr>
      </w:pPr>
    </w:p>
    <w:p>
      <w:pPr>
        <w:jc w:val="both"/>
        <w:ind w:firstLine="704"/>
        <w:spacing w:after="0" w:line="253" w:lineRule="auto"/>
        <w:rPr>
          <w:sz w:val="20"/>
          <w:szCs w:val="20"/>
          <w:color w:val="auto"/>
        </w:rPr>
      </w:pPr>
      <w:r>
        <w:rPr>
          <w:rFonts w:ascii="Arial" w:cs="Arial" w:eastAsia="Arial" w:hAnsi="Arial"/>
          <w:sz w:val="18"/>
          <w:szCs w:val="18"/>
          <w:color w:val="auto"/>
        </w:rPr>
        <w:t>The Compliance Officer shall have the authority to interpret and update this Policy and all related policies and procedures. In particular, such interpretations and updates of this Policy, as authorized by the Compliance Officer, may include amendments to or departures from the terms of this Policy, to the extent consistent with the general purpose of this Policy and applicable securities laws.</w:t>
      </w:r>
    </w:p>
    <w:p>
      <w:pPr>
        <w:spacing w:after="0" w:line="155" w:lineRule="exact"/>
        <w:rPr>
          <w:sz w:val="20"/>
          <w:szCs w:val="20"/>
          <w:color w:val="auto"/>
        </w:rPr>
      </w:pPr>
    </w:p>
    <w:p>
      <w:pPr>
        <w:jc w:val="both"/>
        <w:ind w:firstLine="704"/>
        <w:spacing w:after="0" w:line="271" w:lineRule="auto"/>
        <w:rPr>
          <w:sz w:val="20"/>
          <w:szCs w:val="20"/>
          <w:color w:val="auto"/>
        </w:rPr>
      </w:pPr>
      <w:r>
        <w:rPr>
          <w:rFonts w:ascii="Arial" w:cs="Arial" w:eastAsia="Arial" w:hAnsi="Arial"/>
          <w:sz w:val="18"/>
          <w:szCs w:val="18"/>
          <w:color w:val="auto"/>
        </w:rPr>
        <w:t>Actions taken by the Company, the Compliance Officer, or any other Company personnel do not constitute legal advice, nor do they insulate you from the consequences of noncompliance with this Policy or with securities laws.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Compliance</w:t>
      </w:r>
    </w:p>
    <w:p>
      <w:pPr>
        <w:spacing w:after="0" w:line="198" w:lineRule="exact"/>
        <w:rPr>
          <w:sz w:val="20"/>
          <w:szCs w:val="20"/>
          <w:color w:val="auto"/>
        </w:rPr>
      </w:pPr>
    </w:p>
    <w:p>
      <w:pPr>
        <w:ind w:right="240" w:firstLine="704"/>
        <w:spacing w:after="0" w:line="271" w:lineRule="auto"/>
        <w:rPr>
          <w:sz w:val="20"/>
          <w:szCs w:val="20"/>
          <w:color w:val="auto"/>
        </w:rPr>
      </w:pPr>
      <w:r>
        <w:rPr>
          <w:rFonts w:ascii="Arial" w:cs="Arial" w:eastAsia="Arial" w:hAnsi="Arial"/>
          <w:sz w:val="18"/>
          <w:szCs w:val="18"/>
          <w:color w:val="auto"/>
        </w:rPr>
        <w:t>All directors, officers, employees and others subject to this Policy may be asked periodically to certify their compliance with the terms and provisions of this Policy.</w:t>
      </w:r>
    </w:p>
    <w:p>
      <w:pPr>
        <w:spacing w:after="0" w:line="172"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842010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68" w:name="page169"/>
    <w:bookmarkEnd w:id="168"/>
    <w:p>
      <w:pPr>
        <w:ind w:left="4728"/>
        <w:spacing w:after="0"/>
        <w:rPr>
          <w:sz w:val="20"/>
          <w:szCs w:val="20"/>
          <w:color w:val="auto"/>
        </w:rPr>
      </w:pPr>
      <w:r>
        <w:rPr>
          <w:rFonts w:ascii="Arial" w:cs="Arial" w:eastAsia="Arial" w:hAnsi="Arial"/>
          <w:sz w:val="18"/>
          <w:szCs w:val="18"/>
          <w:u w:val="single" w:color="auto"/>
          <w:color w:val="auto"/>
        </w:rPr>
        <w:t>Schedule I</w:t>
      </w:r>
    </w:p>
    <w:p>
      <w:pPr>
        <w:spacing w:after="0" w:line="333" w:lineRule="exact"/>
        <w:rPr>
          <w:sz w:val="20"/>
          <w:szCs w:val="20"/>
          <w:color w:val="auto"/>
        </w:rPr>
      </w:pPr>
    </w:p>
    <w:p>
      <w:pPr>
        <w:ind w:left="468"/>
        <w:spacing w:after="0"/>
        <w:rPr>
          <w:sz w:val="20"/>
          <w:szCs w:val="20"/>
          <w:color w:val="auto"/>
        </w:rPr>
      </w:pPr>
      <w:r>
        <w:rPr>
          <w:rFonts w:ascii="Arial" w:cs="Arial" w:eastAsia="Arial" w:hAnsi="Arial"/>
          <w:sz w:val="17"/>
          <w:szCs w:val="17"/>
          <w:b w:val="1"/>
          <w:bCs w:val="1"/>
          <w:color w:val="auto"/>
        </w:rPr>
        <w:t>Individuals Subject to Quarterly Blackout Period and Preclearance Requirement</w:t>
      </w:r>
    </w:p>
    <w:p>
      <w:pPr>
        <w:spacing w:after="0" w:line="223" w:lineRule="exact"/>
        <w:rPr>
          <w:sz w:val="20"/>
          <w:szCs w:val="20"/>
          <w:color w:val="auto"/>
        </w:rPr>
      </w:pPr>
    </w:p>
    <w:p>
      <w:pPr>
        <w:ind w:left="368" w:hanging="368"/>
        <w:spacing w:after="0"/>
        <w:tabs>
          <w:tab w:leader="none" w:pos="368" w:val="left"/>
        </w:tabs>
        <w:numPr>
          <w:ilvl w:val="0"/>
          <w:numId w:val="66"/>
        </w:numPr>
        <w:rPr>
          <w:rFonts w:ascii="Times New Roman" w:cs="Times New Roman" w:eastAsia="Times New Roman" w:hAnsi="Times New Roman"/>
          <w:sz w:val="20"/>
          <w:szCs w:val="20"/>
          <w:color w:val="auto"/>
        </w:rPr>
      </w:pPr>
      <w:r>
        <w:rPr>
          <w:rFonts w:ascii="Arial" w:cs="Arial" w:eastAsia="Arial" w:hAnsi="Arial"/>
          <w:sz w:val="18"/>
          <w:szCs w:val="18"/>
          <w:color w:val="auto"/>
        </w:rPr>
        <w:t>All officers of the Company</w:t>
      </w:r>
    </w:p>
    <w:p>
      <w:pPr>
        <w:spacing w:after="0" w:line="215" w:lineRule="exact"/>
        <w:rPr>
          <w:rFonts w:ascii="Times New Roman" w:cs="Times New Roman" w:eastAsia="Times New Roman" w:hAnsi="Times New Roman"/>
          <w:sz w:val="20"/>
          <w:szCs w:val="20"/>
          <w:color w:val="auto"/>
        </w:rPr>
      </w:pPr>
    </w:p>
    <w:p>
      <w:pPr>
        <w:ind w:left="368" w:hanging="368"/>
        <w:spacing w:after="0"/>
        <w:tabs>
          <w:tab w:leader="none" w:pos="368" w:val="left"/>
        </w:tabs>
        <w:numPr>
          <w:ilvl w:val="0"/>
          <w:numId w:val="66"/>
        </w:numPr>
        <w:rPr>
          <w:rFonts w:ascii="Times New Roman" w:cs="Times New Roman" w:eastAsia="Times New Roman" w:hAnsi="Times New Roman"/>
          <w:sz w:val="20"/>
          <w:szCs w:val="20"/>
          <w:color w:val="auto"/>
        </w:rPr>
      </w:pPr>
      <w:r>
        <w:rPr>
          <w:rFonts w:ascii="Arial" w:cs="Arial" w:eastAsia="Arial" w:hAnsi="Arial"/>
          <w:sz w:val="18"/>
          <w:szCs w:val="18"/>
          <w:color w:val="auto"/>
        </w:rPr>
        <w:t>All members of the Company’s Board of Directors</w:t>
      </w:r>
    </w:p>
    <w:p>
      <w:pPr>
        <w:spacing w:after="0" w:line="202" w:lineRule="exact"/>
        <w:rPr>
          <w:rFonts w:ascii="Times New Roman" w:cs="Times New Roman" w:eastAsia="Times New Roman" w:hAnsi="Times New Roman"/>
          <w:sz w:val="20"/>
          <w:szCs w:val="20"/>
          <w:color w:val="auto"/>
        </w:rPr>
      </w:pPr>
    </w:p>
    <w:p>
      <w:pPr>
        <w:ind w:left="368" w:hanging="368"/>
        <w:spacing w:after="0"/>
        <w:tabs>
          <w:tab w:leader="none" w:pos="368" w:val="left"/>
        </w:tabs>
        <w:numPr>
          <w:ilvl w:val="0"/>
          <w:numId w:val="66"/>
        </w:numPr>
        <w:rPr>
          <w:rFonts w:ascii="Times New Roman" w:cs="Times New Roman" w:eastAsia="Times New Roman" w:hAnsi="Times New Roman"/>
          <w:sz w:val="20"/>
          <w:szCs w:val="20"/>
          <w:color w:val="auto"/>
        </w:rPr>
      </w:pPr>
      <w:r>
        <w:rPr>
          <w:rFonts w:ascii="Arial" w:cs="Arial" w:eastAsia="Arial" w:hAnsi="Arial"/>
          <w:sz w:val="18"/>
          <w:szCs w:val="18"/>
          <w:color w:val="auto"/>
        </w:rPr>
        <w:t>All employees of the Company</w:t>
      </w:r>
    </w:p>
    <w:p>
      <w:pPr>
        <w:spacing w:after="0" w:line="221" w:lineRule="exact"/>
        <w:rPr>
          <w:sz w:val="20"/>
          <w:szCs w:val="20"/>
          <w:color w:val="auto"/>
        </w:rPr>
      </w:pPr>
    </w:p>
    <w:p>
      <w:pPr>
        <w:ind w:left="5148"/>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850900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67"/>
          </w:cols>
          <w:pgMar w:left="792" w:top="1133" w:right="1440" w:bottom="1440" w:gutter="0" w:footer="0" w:header="0"/>
        </w:sectPr>
      </w:pPr>
    </w:p>
    <w:bookmarkStart w:id="169" w:name="page170"/>
    <w:bookmarkEnd w:id="169"/>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Annex A</w:t>
      </w: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Supplement to Insider Trading Compliance Policy and Procedures Additional Restrictions for Officers,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Directors,</w:t>
      </w:r>
    </w:p>
    <w:p>
      <w:pPr>
        <w:jc w:val="center"/>
        <w:ind w:right="20"/>
        <w:spacing w:after="0"/>
        <w:rPr>
          <w:sz w:val="20"/>
          <w:szCs w:val="20"/>
          <w:color w:val="auto"/>
        </w:rPr>
      </w:pPr>
      <w:r>
        <w:rPr>
          <w:rFonts w:ascii="Arial" w:cs="Arial" w:eastAsia="Arial" w:hAnsi="Arial"/>
          <w:sz w:val="18"/>
          <w:szCs w:val="18"/>
          <w:b w:val="1"/>
          <w:bCs w:val="1"/>
          <w:color w:val="auto"/>
        </w:rPr>
        <w:t>and Certain Other Members of Management</w:t>
      </w:r>
    </w:p>
    <w:p>
      <w:pPr>
        <w:spacing w:after="0" w:line="180" w:lineRule="exact"/>
        <w:rPr>
          <w:sz w:val="20"/>
          <w:szCs w:val="20"/>
          <w:color w:val="auto"/>
        </w:rPr>
      </w:pPr>
    </w:p>
    <w:p>
      <w:pPr>
        <w:jc w:val="both"/>
        <w:ind w:right="20" w:firstLine="704"/>
        <w:spacing w:after="0" w:line="244" w:lineRule="auto"/>
        <w:rPr>
          <w:sz w:val="20"/>
          <w:szCs w:val="20"/>
          <w:color w:val="auto"/>
        </w:rPr>
      </w:pPr>
      <w:r>
        <w:rPr>
          <w:rFonts w:ascii="Arial" w:cs="Arial" w:eastAsia="Arial" w:hAnsi="Arial"/>
          <w:sz w:val="18"/>
          <w:szCs w:val="18"/>
          <w:color w:val="auto"/>
        </w:rPr>
        <w:t>Erasca, Inc. (together with any of its 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has adopted a policy prohibiting insider trading (the “</w:t>
      </w:r>
      <w:r>
        <w:rPr>
          <w:rFonts w:ascii="Arial" w:cs="Arial" w:eastAsia="Arial" w:hAnsi="Arial"/>
          <w:sz w:val="18"/>
          <w:szCs w:val="18"/>
          <w:u w:val="single" w:color="auto"/>
          <w:color w:val="auto"/>
        </w:rPr>
        <w:t>Policy</w:t>
      </w:r>
      <w:r>
        <w:rPr>
          <w:rFonts w:ascii="Arial" w:cs="Arial" w:eastAsia="Arial" w:hAnsi="Arial"/>
          <w:sz w:val="18"/>
          <w:szCs w:val="18"/>
          <w:color w:val="auto"/>
        </w:rPr>
        <w:t>”) and certain other securities transactions. As noted in the Policy, officers, directors and others who regularly have access to, or generate, inside information are subject to additional restrictions on trading of the Company’s securities as set forth in this Supplement to the Policy (this “</w:t>
      </w:r>
      <w:r>
        <w:rPr>
          <w:rFonts w:ascii="Arial" w:cs="Arial" w:eastAsia="Arial" w:hAnsi="Arial"/>
          <w:sz w:val="18"/>
          <w:szCs w:val="18"/>
          <w:u w:val="single" w:color="auto"/>
          <w:color w:val="auto"/>
        </w:rPr>
        <w:t>Supplement</w:t>
      </w:r>
      <w:r>
        <w:rPr>
          <w:rFonts w:ascii="Arial" w:cs="Arial" w:eastAsia="Arial" w:hAnsi="Arial"/>
          <w:sz w:val="18"/>
          <w:szCs w:val="18"/>
          <w:color w:val="auto"/>
        </w:rPr>
        <w:t>”). Capitalized terms not otherwise defined in this Supplement shall have the meanings given to such terms in the Policy. This Supplement applies to the following individuals:</w:t>
      </w:r>
    </w:p>
    <w:p>
      <w:pPr>
        <w:spacing w:after="0" w:line="176" w:lineRule="exact"/>
        <w:rPr>
          <w:sz w:val="20"/>
          <w:szCs w:val="20"/>
          <w:color w:val="auto"/>
        </w:rPr>
      </w:pPr>
    </w:p>
    <w:p>
      <w:pPr>
        <w:ind w:left="1420" w:hanging="349"/>
        <w:spacing w:after="0"/>
        <w:tabs>
          <w:tab w:leader="none" w:pos="1420" w:val="left"/>
        </w:tabs>
        <w:numPr>
          <w:ilvl w:val="1"/>
          <w:numId w:val="67"/>
        </w:numPr>
        <w:rPr>
          <w:rFonts w:ascii="Times New Roman" w:cs="Times New Roman" w:eastAsia="Times New Roman" w:hAnsi="Times New Roman"/>
          <w:sz w:val="20"/>
          <w:szCs w:val="20"/>
          <w:color w:val="auto"/>
        </w:rPr>
      </w:pPr>
      <w:r>
        <w:rPr>
          <w:rFonts w:ascii="Arial" w:cs="Arial" w:eastAsia="Arial" w:hAnsi="Arial"/>
          <w:sz w:val="18"/>
          <w:szCs w:val="18"/>
          <w:color w:val="auto"/>
        </w:rPr>
        <w:t>All members of the Company’s Board of Directors</w:t>
      </w:r>
    </w:p>
    <w:p>
      <w:pPr>
        <w:spacing w:after="0" w:line="107" w:lineRule="exact"/>
        <w:rPr>
          <w:rFonts w:ascii="Times New Roman" w:cs="Times New Roman" w:eastAsia="Times New Roman" w:hAnsi="Times New Roman"/>
          <w:sz w:val="20"/>
          <w:szCs w:val="20"/>
          <w:color w:val="auto"/>
        </w:rPr>
      </w:pPr>
    </w:p>
    <w:p>
      <w:pPr>
        <w:ind w:left="1420" w:hanging="349"/>
        <w:spacing w:after="0"/>
        <w:tabs>
          <w:tab w:leader="none" w:pos="1420" w:val="left"/>
        </w:tabs>
        <w:numPr>
          <w:ilvl w:val="1"/>
          <w:numId w:val="67"/>
        </w:numPr>
        <w:rPr>
          <w:rFonts w:ascii="Times New Roman" w:cs="Times New Roman" w:eastAsia="Times New Roman" w:hAnsi="Times New Roman"/>
          <w:sz w:val="20"/>
          <w:szCs w:val="20"/>
          <w:color w:val="auto"/>
        </w:rPr>
      </w:pPr>
      <w:r>
        <w:rPr>
          <w:rFonts w:ascii="Arial" w:cs="Arial" w:eastAsia="Arial" w:hAnsi="Arial"/>
          <w:sz w:val="18"/>
          <w:szCs w:val="18"/>
          <w:color w:val="auto"/>
        </w:rPr>
        <w:t>All officers of the Company</w:t>
      </w:r>
    </w:p>
    <w:p>
      <w:pPr>
        <w:spacing w:after="0" w:line="107" w:lineRule="exact"/>
        <w:rPr>
          <w:rFonts w:ascii="Times New Roman" w:cs="Times New Roman" w:eastAsia="Times New Roman" w:hAnsi="Times New Roman"/>
          <w:sz w:val="20"/>
          <w:szCs w:val="20"/>
          <w:color w:val="auto"/>
        </w:rPr>
      </w:pPr>
    </w:p>
    <w:p>
      <w:pPr>
        <w:ind w:left="1420" w:right="40" w:hanging="364"/>
        <w:spacing w:after="0" w:line="245" w:lineRule="auto"/>
        <w:tabs>
          <w:tab w:leader="none" w:pos="1420" w:val="left"/>
        </w:tabs>
        <w:numPr>
          <w:ilvl w:val="0"/>
          <w:numId w:val="67"/>
        </w:numPr>
        <w:rPr>
          <w:rFonts w:ascii="Times New Roman" w:cs="Times New Roman" w:eastAsia="Times New Roman" w:hAnsi="Times New Roman"/>
          <w:sz w:val="20"/>
          <w:szCs w:val="20"/>
          <w:color w:val="auto"/>
        </w:rPr>
      </w:pPr>
      <w:r>
        <w:rPr>
          <w:rFonts w:ascii="Arial" w:cs="Arial" w:eastAsia="Arial" w:hAnsi="Arial"/>
          <w:sz w:val="18"/>
          <w:szCs w:val="18"/>
          <w:color w:val="auto"/>
        </w:rPr>
        <w:t>All other members of the Company’s Leadership Team (with such members being designated and informed of such membership by the Company’s CEO or General Counsel)</w:t>
      </w:r>
    </w:p>
    <w:p>
      <w:pPr>
        <w:spacing w:after="0" w:line="161" w:lineRule="exact"/>
        <w:rPr>
          <w:sz w:val="20"/>
          <w:szCs w:val="20"/>
          <w:color w:val="auto"/>
        </w:rPr>
      </w:pPr>
    </w:p>
    <w:p>
      <w:pPr>
        <w:jc w:val="both"/>
        <w:ind w:firstLine="704"/>
        <w:spacing w:after="0"/>
        <w:rPr>
          <w:sz w:val="20"/>
          <w:szCs w:val="20"/>
          <w:color w:val="auto"/>
        </w:rPr>
      </w:pPr>
      <w:r>
        <w:rPr>
          <w:rFonts w:ascii="Arial" w:cs="Arial" w:eastAsia="Arial" w:hAnsi="Arial"/>
          <w:sz w:val="18"/>
          <w:szCs w:val="18"/>
          <w:color w:val="auto"/>
        </w:rPr>
        <w:t>Individuals subject to this Supplement are responsible for ensuring that members of their households also comply with this Supplement. This Supplement also applies to any entities controlled by individuals subject to the Supplement, including any corporations, partnerships or trusts, and transactions by these entities should be treated for the purposes of this Supplement and applicable securities laws as if they were for the individual’s own account. Notwithstanding the foregoing, this Supplement, does not apply to venture capital entities or other institutional investors, and the related transactions in the Company’s equity securities by such entities, that may be affiliated with a director of the Company or for Company equity securities that a director may be deemed to have beneficial ownership of by virtue of such affiliation.</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additional trading restrictions set forth in this Supplement are intended to guard against even the appearance of impropriety.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Therefore, in addition to the prohibitions set forth in the Policy, by virtue of your position, the following additional trading restrictions apply:</w:t>
      </w:r>
    </w:p>
    <w:p>
      <w:pPr>
        <w:spacing w:after="0" w:line="175" w:lineRule="exact"/>
        <w:rPr>
          <w:sz w:val="20"/>
          <w:szCs w:val="20"/>
          <w:color w:val="auto"/>
        </w:rPr>
      </w:pPr>
    </w:p>
    <w:p>
      <w:pPr>
        <w:ind w:left="1060" w:hanging="364"/>
        <w:spacing w:after="0"/>
        <w:tabs>
          <w:tab w:leader="none" w:pos="1060" w:val="left"/>
        </w:tabs>
        <w:numPr>
          <w:ilvl w:val="0"/>
          <w:numId w:val="68"/>
        </w:numPr>
        <w:rPr>
          <w:rFonts w:ascii="Calibri" w:cs="Calibri" w:eastAsia="Calibri" w:hAnsi="Calibri"/>
          <w:sz w:val="20"/>
          <w:szCs w:val="20"/>
          <w:color w:val="auto"/>
        </w:rPr>
      </w:pPr>
      <w:r>
        <w:rPr>
          <w:rFonts w:ascii="Arial" w:cs="Arial" w:eastAsia="Arial" w:hAnsi="Arial"/>
          <w:sz w:val="18"/>
          <w:szCs w:val="18"/>
          <w:color w:val="auto"/>
        </w:rPr>
        <w:t>You are prohibited from selling any Company securities other than through a Trading Plan, except as noted below.</w:t>
      </w:r>
    </w:p>
    <w:p>
      <w:pPr>
        <w:spacing w:after="0" w:line="112" w:lineRule="exact"/>
        <w:rPr>
          <w:rFonts w:ascii="Calibri" w:cs="Calibri" w:eastAsia="Calibri" w:hAnsi="Calibri"/>
          <w:sz w:val="20"/>
          <w:szCs w:val="20"/>
          <w:color w:val="auto"/>
        </w:rPr>
      </w:pPr>
    </w:p>
    <w:p>
      <w:pPr>
        <w:ind w:left="1060" w:right="840" w:hanging="364"/>
        <w:spacing w:after="0" w:line="234" w:lineRule="auto"/>
        <w:tabs>
          <w:tab w:leader="none" w:pos="1060" w:val="left"/>
        </w:tabs>
        <w:numPr>
          <w:ilvl w:val="0"/>
          <w:numId w:val="68"/>
        </w:numPr>
        <w:rPr>
          <w:rFonts w:ascii="Calibri" w:cs="Calibri" w:eastAsia="Calibri" w:hAnsi="Calibri"/>
          <w:sz w:val="20"/>
          <w:szCs w:val="20"/>
          <w:color w:val="auto"/>
        </w:rPr>
      </w:pPr>
      <w:r>
        <w:rPr>
          <w:rFonts w:ascii="Arial" w:cs="Arial" w:eastAsia="Arial" w:hAnsi="Arial"/>
          <w:sz w:val="18"/>
          <w:szCs w:val="18"/>
          <w:color w:val="auto"/>
        </w:rPr>
        <w:t>If you do not have a Trading Plan and seek to sell Company securities, the Nominating and Corporate Governance Committee of the Board must pre-approve such sale.</w:t>
      </w:r>
    </w:p>
    <w:p>
      <w:pPr>
        <w:spacing w:after="0" w:line="200" w:lineRule="exact"/>
        <w:rPr>
          <w:sz w:val="20"/>
          <w:szCs w:val="20"/>
          <w:color w:val="auto"/>
        </w:rPr>
      </w:pPr>
    </w:p>
    <w:p>
      <w:pPr>
        <w:spacing w:after="0" w:line="238" w:lineRule="exact"/>
        <w:rPr>
          <w:sz w:val="20"/>
          <w:szCs w:val="20"/>
          <w:color w:val="auto"/>
        </w:rPr>
      </w:pPr>
    </w:p>
    <w:p>
      <w:pPr>
        <w:ind w:right="20" w:firstLine="704"/>
        <w:spacing w:after="0" w:line="271" w:lineRule="auto"/>
        <w:rPr>
          <w:sz w:val="20"/>
          <w:szCs w:val="20"/>
          <w:color w:val="auto"/>
        </w:rPr>
      </w:pPr>
      <w:r>
        <w:rPr>
          <w:rFonts w:ascii="Arial" w:cs="Arial" w:eastAsia="Arial" w:hAnsi="Arial"/>
          <w:sz w:val="18"/>
          <w:szCs w:val="18"/>
          <w:color w:val="auto"/>
        </w:rPr>
        <w:t>In addition, if you are a member of the Company’s Board of Directors or are an officer of the Company, you are encouraged to include the following terms in a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182245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170" w:name="page171"/>
    <w:bookmarkEnd w:id="170"/>
    <w:p>
      <w:pPr>
        <w:spacing w:after="0" w:line="301" w:lineRule="exact"/>
        <w:rPr>
          <w:sz w:val="20"/>
          <w:szCs w:val="20"/>
          <w:color w:val="auto"/>
        </w:rPr>
      </w:pPr>
    </w:p>
    <w:p>
      <w:pPr>
        <w:ind w:left="1060" w:right="120" w:hanging="364"/>
        <w:spacing w:after="0" w:line="234" w:lineRule="auto"/>
        <w:tabs>
          <w:tab w:leader="none" w:pos="1060" w:val="left"/>
        </w:tabs>
        <w:numPr>
          <w:ilvl w:val="0"/>
          <w:numId w:val="69"/>
        </w:numPr>
        <w:rPr>
          <w:rFonts w:ascii="Calibri" w:cs="Calibri" w:eastAsia="Calibri" w:hAnsi="Calibri"/>
          <w:sz w:val="20"/>
          <w:szCs w:val="20"/>
          <w:color w:val="auto"/>
        </w:rPr>
      </w:pPr>
      <w:r>
        <w:rPr>
          <w:rFonts w:ascii="Arial" w:cs="Arial" w:eastAsia="Arial" w:hAnsi="Arial"/>
          <w:sz w:val="18"/>
          <w:szCs w:val="18"/>
          <w:color w:val="auto"/>
        </w:rPr>
        <w:t>The sales prices listed in a new Trading Plan should be higher than the common stock price in the Company’s most recent equity financing.</w:t>
      </w:r>
    </w:p>
    <w:p>
      <w:pPr>
        <w:spacing w:after="0" w:line="67" w:lineRule="exact"/>
        <w:rPr>
          <w:rFonts w:ascii="Calibri" w:cs="Calibri" w:eastAsia="Calibri" w:hAnsi="Calibri"/>
          <w:sz w:val="20"/>
          <w:szCs w:val="20"/>
          <w:color w:val="auto"/>
        </w:rPr>
      </w:pPr>
    </w:p>
    <w:p>
      <w:pPr>
        <w:ind w:left="1060" w:hanging="364"/>
        <w:spacing w:after="0"/>
        <w:tabs>
          <w:tab w:leader="none" w:pos="1060" w:val="left"/>
        </w:tabs>
        <w:numPr>
          <w:ilvl w:val="0"/>
          <w:numId w:val="69"/>
        </w:numPr>
        <w:rPr>
          <w:rFonts w:ascii="Calibri" w:cs="Calibri" w:eastAsia="Calibri" w:hAnsi="Calibri"/>
          <w:sz w:val="20"/>
          <w:szCs w:val="20"/>
          <w:color w:val="auto"/>
        </w:rPr>
      </w:pPr>
      <w:r>
        <w:rPr>
          <w:rFonts w:ascii="Arial" w:cs="Arial" w:eastAsia="Arial" w:hAnsi="Arial"/>
          <w:sz w:val="18"/>
          <w:szCs w:val="18"/>
          <w:color w:val="auto"/>
        </w:rPr>
        <w:t>The Trading Plan should be structured so as to avoid sales being made in close proximity to major industry conferences.</w:t>
      </w:r>
    </w:p>
    <w:p>
      <w:pPr>
        <w:spacing w:after="0" w:line="93" w:lineRule="exact"/>
        <w:rPr>
          <w:rFonts w:ascii="Calibri" w:cs="Calibri" w:eastAsia="Calibri" w:hAnsi="Calibri"/>
          <w:sz w:val="20"/>
          <w:szCs w:val="20"/>
          <w:color w:val="auto"/>
        </w:rPr>
      </w:pPr>
    </w:p>
    <w:p>
      <w:pPr>
        <w:ind w:left="1060" w:hanging="364"/>
        <w:spacing w:after="0"/>
        <w:tabs>
          <w:tab w:leader="none" w:pos="1060" w:val="left"/>
        </w:tabs>
        <w:numPr>
          <w:ilvl w:val="0"/>
          <w:numId w:val="69"/>
        </w:numPr>
        <w:rPr>
          <w:rFonts w:ascii="Calibri" w:cs="Calibri" w:eastAsia="Calibri" w:hAnsi="Calibri"/>
          <w:sz w:val="20"/>
          <w:szCs w:val="20"/>
          <w:color w:val="auto"/>
        </w:rPr>
      </w:pPr>
      <w:r>
        <w:rPr>
          <w:rFonts w:ascii="Arial" w:cs="Arial" w:eastAsia="Arial" w:hAnsi="Arial"/>
          <w:sz w:val="18"/>
          <w:szCs w:val="18"/>
          <w:color w:val="auto"/>
        </w:rPr>
        <w:t>The Trading Plan should be structured so as to only require the filing of one Form 4 in a calendar quarter.</w:t>
      </w:r>
    </w:p>
    <w:p>
      <w:pPr>
        <w:spacing w:after="0" w:line="207" w:lineRule="exact"/>
        <w:rPr>
          <w:sz w:val="20"/>
          <w:szCs w:val="20"/>
          <w:color w:val="auto"/>
        </w:rPr>
      </w:pPr>
    </w:p>
    <w:p>
      <w:pPr>
        <w:ind w:firstLine="704"/>
        <w:spacing w:after="0" w:line="271" w:lineRule="auto"/>
        <w:rPr>
          <w:sz w:val="20"/>
          <w:szCs w:val="20"/>
          <w:color w:val="auto"/>
        </w:rPr>
      </w:pPr>
      <w:r>
        <w:rPr>
          <w:rFonts w:ascii="Arial" w:cs="Arial" w:eastAsia="Arial" w:hAnsi="Arial"/>
          <w:sz w:val="18"/>
          <w:szCs w:val="18"/>
          <w:color w:val="auto"/>
        </w:rPr>
        <w:t>These restrictions are in addition to the legal requirements that may otherwise apply to your trading of the Company’s securities, such as Rule 144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224790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40" w:top="1440" w:right="559" w:bottom="1440" w:gutter="0" w:footer="0" w:header="0"/>
        </w:sectPr>
      </w:pPr>
    </w:p>
    <w:bookmarkStart w:id="171" w:name="page172"/>
    <w:bookmarkEnd w:id="171"/>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(Nos. 333-266802 and 333-279261) on Form S-3 and (Nos. 333-257988 and 333-279257) on Form S-8 of our report dated March 20, 2025, with respect to the consolidated financial statements of Erasca, Inc. and subsidiaries.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Jonathan E. Lim, M.D., certify that:</w:t>
      </w:r>
    </w:p>
    <w:p>
      <w:pPr>
        <w:spacing w:after="0" w:line="104" w:lineRule="exact"/>
        <w:rPr>
          <w:sz w:val="20"/>
          <w:szCs w:val="20"/>
          <w:color w:val="auto"/>
        </w:rPr>
      </w:pPr>
    </w:p>
    <w:p>
      <w:pPr>
        <w:ind w:left="380" w:hanging="372"/>
        <w:spacing w:after="0"/>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Erasca, Inc.;</w:t>
      </w:r>
    </w:p>
    <w:p>
      <w:pPr>
        <w:spacing w:after="0" w:line="103" w:lineRule="exact"/>
        <w:rPr>
          <w:rFonts w:ascii="Arial" w:cs="Arial" w:eastAsia="Arial" w:hAnsi="Arial"/>
          <w:sz w:val="18"/>
          <w:szCs w:val="18"/>
          <w:color w:val="auto"/>
        </w:rPr>
      </w:pPr>
    </w:p>
    <w:p>
      <w:pPr>
        <w:ind w:left="380" w:right="20" w:hanging="372"/>
        <w:spacing w:after="0" w:line="253" w:lineRule="auto"/>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380" w:right="100" w:hanging="372"/>
        <w:spacing w:after="0" w:line="271" w:lineRule="auto"/>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8"/>
          <w:szCs w:val="18"/>
          <w:color w:val="auto"/>
        </w:rPr>
      </w:pPr>
    </w:p>
    <w:p>
      <w:pPr>
        <w:ind w:left="380" w:right="80" w:hanging="372"/>
        <w:spacing w:after="0" w:line="245" w:lineRule="auto"/>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85" w:lineRule="exact"/>
        <w:rPr>
          <w:rFonts w:ascii="Arial" w:cs="Arial" w:eastAsia="Arial" w:hAnsi="Arial"/>
          <w:sz w:val="18"/>
          <w:szCs w:val="18"/>
          <w:color w:val="auto"/>
        </w:rPr>
      </w:pPr>
    </w:p>
    <w:p>
      <w:pPr>
        <w:jc w:val="both"/>
        <w:ind w:left="940" w:right="20" w:hanging="370"/>
        <w:spacing w:after="0" w:line="253" w:lineRule="auto"/>
        <w:tabs>
          <w:tab w:leader="none" w:pos="9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940" w:right="360" w:hanging="370"/>
        <w:spacing w:after="0" w:line="253" w:lineRule="auto"/>
        <w:tabs>
          <w:tab w:leader="none" w:pos="9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940" w:right="280" w:hanging="370"/>
        <w:spacing w:after="0" w:line="253" w:lineRule="auto"/>
        <w:tabs>
          <w:tab w:leader="none" w:pos="9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940" w:right="100" w:hanging="370"/>
        <w:spacing w:after="0" w:line="253" w:lineRule="auto"/>
        <w:tabs>
          <w:tab w:leader="none" w:pos="9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380" w:right="80" w:hanging="372"/>
        <w:spacing w:after="0" w:line="253" w:lineRule="auto"/>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960" w:hanging="383"/>
        <w:spacing w:after="0" w:line="301" w:lineRule="auto"/>
        <w:tabs>
          <w:tab w:leader="none" w:pos="9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7"/>
          <w:szCs w:val="17"/>
          <w:color w:val="auto"/>
        </w:rPr>
      </w:pPr>
    </w:p>
    <w:p>
      <w:pPr>
        <w:ind w:left="960" w:right="200" w:hanging="383"/>
        <w:spacing w:after="0" w:line="271" w:lineRule="auto"/>
        <w:tabs>
          <w:tab w:leader="none" w:pos="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ind w:left="60"/>
        <w:spacing w:after="0"/>
        <w:tabs>
          <w:tab w:leader="none" w:pos="5100" w:val="left"/>
          <w:tab w:leader="none" w:pos="7400" w:val="left"/>
        </w:tabs>
        <w:rPr>
          <w:sz w:val="20"/>
          <w:szCs w:val="20"/>
          <w:color w:val="auto"/>
        </w:rPr>
      </w:pPr>
      <w:r>
        <w:rPr>
          <w:rFonts w:ascii="Arial" w:cs="Arial" w:eastAsia="Arial" w:hAnsi="Arial"/>
          <w:sz w:val="18"/>
          <w:szCs w:val="18"/>
          <w:color w:val="auto"/>
        </w:rPr>
        <w:t>Date: March 20,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Jonathan E. Lim, M.D.</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Chairman, Chief Executive Officer and Co-Founder</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950595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3" w:name="page174"/>
    <w:bookmarkEnd w:id="173"/>
    <w:p>
      <w:pPr>
        <w:ind w:left="92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1094740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981"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David M. Chacko, M.D., certify that:</w:t>
      </w:r>
    </w:p>
    <w:p>
      <w:pPr>
        <w:spacing w:after="0" w:line="104"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Erasca, Inc.;</w:t>
      </w:r>
    </w:p>
    <w:p>
      <w:pPr>
        <w:spacing w:after="0" w:line="103" w:lineRule="exact"/>
        <w:rPr>
          <w:rFonts w:ascii="Arial" w:cs="Arial" w:eastAsia="Arial" w:hAnsi="Arial"/>
          <w:sz w:val="18"/>
          <w:szCs w:val="18"/>
          <w:color w:val="auto"/>
        </w:rPr>
      </w:pPr>
    </w:p>
    <w:p>
      <w:pPr>
        <w:ind w:left="380" w:right="20" w:hanging="372"/>
        <w:spacing w:after="0" w:line="253" w:lineRule="auto"/>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380" w:right="100" w:hanging="372"/>
        <w:spacing w:after="0" w:line="271" w:lineRule="auto"/>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8"/>
          <w:szCs w:val="18"/>
          <w:color w:val="auto"/>
        </w:rPr>
      </w:pPr>
    </w:p>
    <w:p>
      <w:pPr>
        <w:ind w:left="380" w:right="80" w:hanging="372"/>
        <w:spacing w:after="0" w:line="245" w:lineRule="auto"/>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85" w:lineRule="exact"/>
        <w:rPr>
          <w:rFonts w:ascii="Arial" w:cs="Arial" w:eastAsia="Arial" w:hAnsi="Arial"/>
          <w:sz w:val="18"/>
          <w:szCs w:val="18"/>
          <w:color w:val="auto"/>
        </w:rPr>
      </w:pPr>
    </w:p>
    <w:p>
      <w:pPr>
        <w:jc w:val="both"/>
        <w:ind w:left="960" w:hanging="383"/>
        <w:spacing w:after="0" w:line="253" w:lineRule="auto"/>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960" w:right="340" w:hanging="383"/>
        <w:spacing w:after="0" w:line="253" w:lineRule="auto"/>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960" w:right="280" w:hanging="383"/>
        <w:spacing w:after="0" w:line="253" w:lineRule="auto"/>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960" w:right="80" w:hanging="383"/>
        <w:spacing w:after="0" w:line="253" w:lineRule="auto"/>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380" w:right="80" w:hanging="372"/>
        <w:spacing w:after="0" w:line="253" w:lineRule="auto"/>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960" w:hanging="383"/>
        <w:spacing w:after="0" w:line="301" w:lineRule="auto"/>
        <w:tabs>
          <w:tab w:leader="none" w:pos="960"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7"/>
          <w:szCs w:val="17"/>
          <w:color w:val="auto"/>
        </w:rPr>
      </w:pPr>
    </w:p>
    <w:p>
      <w:pPr>
        <w:ind w:left="960" w:right="200" w:hanging="383"/>
        <w:spacing w:after="0" w:line="271" w:lineRule="auto"/>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ind w:left="60"/>
        <w:spacing w:after="0"/>
        <w:tabs>
          <w:tab w:leader="none" w:pos="5100" w:val="left"/>
          <w:tab w:leader="none" w:pos="7360" w:val="left"/>
        </w:tabs>
        <w:rPr>
          <w:sz w:val="20"/>
          <w:szCs w:val="20"/>
          <w:color w:val="auto"/>
        </w:rPr>
      </w:pPr>
      <w:r>
        <w:rPr>
          <w:rFonts w:ascii="Arial" w:cs="Arial" w:eastAsia="Arial" w:hAnsi="Arial"/>
          <w:sz w:val="18"/>
          <w:szCs w:val="18"/>
          <w:color w:val="auto"/>
        </w:rPr>
        <w:t>Date: March 20,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0"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David M. Chacko, M.D.</w:t>
      </w:r>
    </w:p>
    <w:p>
      <w:pPr>
        <w:spacing w:after="0" w:line="5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Financial Officer and Chief Business Officer</w:t>
      </w:r>
    </w:p>
    <w:p>
      <w:pPr>
        <w:spacing w:after="0" w:line="3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950595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5" w:name="page176"/>
    <w:bookmarkEnd w:id="175"/>
    <w:p>
      <w:pPr>
        <w:ind w:left="92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1094740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981"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40" w:firstLine="562"/>
        <w:spacing w:after="0" w:line="253" w:lineRule="auto"/>
        <w:rPr>
          <w:sz w:val="20"/>
          <w:szCs w:val="20"/>
          <w:color w:val="auto"/>
        </w:rPr>
      </w:pPr>
      <w:r>
        <w:rPr>
          <w:rFonts w:ascii="Arial" w:cs="Arial" w:eastAsia="Arial" w:hAnsi="Arial"/>
          <w:sz w:val="18"/>
          <w:szCs w:val="18"/>
          <w:color w:val="auto"/>
        </w:rPr>
        <w:t>In connection with the Annual Report on Form 10-K of Erasca, Inc. (the “Company”) for the year ended December 31, 2024 as filed with the Securities and Exchange Commission on the date hereof (the “Report”), I certify, pursuant to 18 U.S.C. § 1350, as adopted pursuant to § 906 of the Sarbanes-Oxley Act of 2002, that, to the best of my knowledge:</w:t>
      </w:r>
    </w:p>
    <w:p>
      <w:pPr>
        <w:spacing w:after="0" w:line="169" w:lineRule="exact"/>
        <w:rPr>
          <w:sz w:val="20"/>
          <w:szCs w:val="20"/>
          <w:color w:val="auto"/>
        </w:rPr>
      </w:pPr>
    </w:p>
    <w:p>
      <w:pPr>
        <w:ind w:left="940" w:right="240" w:hanging="370"/>
        <w:spacing w:after="0" w:line="271" w:lineRule="auto"/>
        <w:tabs>
          <w:tab w:leader="none" w:pos="9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3" w:lineRule="exact"/>
        <w:rPr>
          <w:rFonts w:ascii="Arial" w:cs="Arial" w:eastAsia="Arial" w:hAnsi="Arial"/>
          <w:sz w:val="18"/>
          <w:szCs w:val="18"/>
          <w:color w:val="auto"/>
        </w:rPr>
      </w:pPr>
    </w:p>
    <w:p>
      <w:pPr>
        <w:ind w:left="940" w:right="20" w:hanging="370"/>
        <w:spacing w:after="0" w:line="271" w:lineRule="auto"/>
        <w:tabs>
          <w:tab w:leader="none" w:pos="9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ind w:left="60"/>
        <w:spacing w:after="0"/>
        <w:tabs>
          <w:tab w:leader="none" w:pos="5000" w:val="left"/>
          <w:tab w:leader="none" w:pos="7340" w:val="left"/>
        </w:tabs>
        <w:rPr>
          <w:sz w:val="20"/>
          <w:szCs w:val="20"/>
          <w:color w:val="auto"/>
        </w:rPr>
      </w:pPr>
      <w:r>
        <w:rPr>
          <w:rFonts w:ascii="Arial" w:cs="Arial" w:eastAsia="Arial" w:hAnsi="Arial"/>
          <w:sz w:val="18"/>
          <w:szCs w:val="18"/>
          <w:color w:val="auto"/>
        </w:rPr>
        <w:t>Date: March 20,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26035</wp:posOffset>
            </wp:positionV>
            <wp:extent cx="363474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0"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Jonathan E. Lim, M.D.</w:t>
      </w:r>
    </w:p>
    <w:p>
      <w:pPr>
        <w:spacing w:after="0" w:line="171"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Chairman, Chief Executive Officer and Co-Founder</w:t>
      </w:r>
    </w:p>
    <w:p>
      <w:pPr>
        <w:spacing w:after="0" w:line="32"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956945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40" w:firstLine="562"/>
        <w:spacing w:after="0" w:line="253" w:lineRule="auto"/>
        <w:rPr>
          <w:sz w:val="20"/>
          <w:szCs w:val="20"/>
          <w:color w:val="auto"/>
        </w:rPr>
      </w:pPr>
      <w:r>
        <w:rPr>
          <w:rFonts w:ascii="Arial" w:cs="Arial" w:eastAsia="Arial" w:hAnsi="Arial"/>
          <w:sz w:val="18"/>
          <w:szCs w:val="18"/>
          <w:color w:val="auto"/>
        </w:rPr>
        <w:t>In connection with the Annual Report on Form 10-K of Erasca, Inc. (the “Company”) for the year ended December 31, 2024 as filed with the Securities and Exchange Commission on the date hereof (the “Report”), I certify, pursuant to 18 U.S.C. § 1350, as adopted pursuant to § 906 of the Sarbanes-Oxley Act of 2002, that, to the best of my knowledge:</w:t>
      </w:r>
    </w:p>
    <w:p>
      <w:pPr>
        <w:spacing w:after="0" w:line="169" w:lineRule="exact"/>
        <w:rPr>
          <w:sz w:val="20"/>
          <w:szCs w:val="20"/>
          <w:color w:val="auto"/>
        </w:rPr>
      </w:pPr>
    </w:p>
    <w:p>
      <w:pPr>
        <w:ind w:left="940" w:right="240" w:hanging="370"/>
        <w:spacing w:after="0" w:line="271" w:lineRule="auto"/>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3" w:lineRule="exact"/>
        <w:rPr>
          <w:rFonts w:ascii="Arial" w:cs="Arial" w:eastAsia="Arial" w:hAnsi="Arial"/>
          <w:sz w:val="18"/>
          <w:szCs w:val="18"/>
          <w:color w:val="auto"/>
        </w:rPr>
      </w:pPr>
    </w:p>
    <w:p>
      <w:pPr>
        <w:ind w:left="940" w:right="20" w:hanging="370"/>
        <w:spacing w:after="0" w:line="271" w:lineRule="auto"/>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ind w:left="60"/>
        <w:spacing w:after="0"/>
        <w:tabs>
          <w:tab w:leader="none" w:pos="5100" w:val="left"/>
          <w:tab w:leader="none" w:pos="7360" w:val="left"/>
        </w:tabs>
        <w:rPr>
          <w:sz w:val="20"/>
          <w:szCs w:val="20"/>
          <w:color w:val="auto"/>
        </w:rPr>
      </w:pPr>
      <w:r>
        <w:rPr>
          <w:rFonts w:ascii="Arial" w:cs="Arial" w:eastAsia="Arial" w:hAnsi="Arial"/>
          <w:sz w:val="18"/>
          <w:szCs w:val="18"/>
          <w:color w:val="auto"/>
        </w:rPr>
        <w:t>Date: March 20,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David M. Chacko, M.D.</w:t>
      </w:r>
    </w:p>
    <w:p>
      <w:pPr>
        <w:spacing w:after="0" w:line="212"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Chief Financial Officer and Chief Business Officer</w:t>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949325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8" w:name="page179"/>
    <w:bookmarkEnd w:id="1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1)"/>
      <w:numFmt w:val="lowerRoman"/>
      <w:start w:val="2"/>
    </w:lvl>
  </w:abstractNum>
  <w:abstractNum w:abstractNumId="13">
    <w:nsid w:val="1D4ED43B"/>
    <w:multiLevelType w:val="hybridMultilevel"/>
    <w:lvl w:ilvl="0">
      <w:lvlJc w:val="left"/>
      <w:lvlText w:val="(%1)"/>
      <w:numFmt w:val="lowerRoman"/>
      <w:start w:val="2"/>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lvl w:ilvl="1">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lowerRoman"/>
      <w:start w:val="2"/>
    </w:lvl>
  </w:abstractNum>
  <w:abstractNum w:abstractNumId="59">
    <w:nsid w:val="4AD084E9"/>
    <w:multiLevelType w:val="hybridMultilevel"/>
    <w:lvl w:ilvl="0">
      <w:lvlJc w:val="left"/>
      <w:lvlText w:val="#"/>
      <w:numFmt w:val="bullet"/>
      <w:start w:val="1"/>
    </w:lvl>
    <w:lvl w:ilvl="1">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lvl w:ilvl="1">
      <w:lvlJc w:val="left"/>
      <w:lvlText w:val="o"/>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lvl w:ilvl="1">
      <w:lvlJc w:val="left"/>
      <w:lvlText w:val="•"/>
      <w:numFmt w:val="bullet"/>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66" Type="http://schemas.openxmlformats.org/officeDocument/2006/relationships/image" Target="media/image338.png"/><Relationship Id="rId368" Type="http://schemas.openxmlformats.org/officeDocument/2006/relationships/image" Target="media/image339.png"/><Relationship Id="rId369" Type="http://schemas.openxmlformats.org/officeDocument/2006/relationships/image" Target="media/image340.png"/><Relationship Id="rId370" Type="http://schemas.openxmlformats.org/officeDocument/2006/relationships/image" Target="media/image341.png"/><Relationship Id="rId371" Type="http://schemas.openxmlformats.org/officeDocument/2006/relationships/image" Target="media/image342.png"/><Relationship Id="rId372" Type="http://schemas.openxmlformats.org/officeDocument/2006/relationships/image" Target="media/image343.png"/><Relationship Id="rId373" Type="http://schemas.openxmlformats.org/officeDocument/2006/relationships/image" Target="media/image344.png"/><Relationship Id="rId374" Type="http://schemas.openxmlformats.org/officeDocument/2006/relationships/image" Target="media/image345.png"/><Relationship Id="rId375" Type="http://schemas.openxmlformats.org/officeDocument/2006/relationships/image" Target="media/image346.png"/><Relationship Id="rId376" Type="http://schemas.openxmlformats.org/officeDocument/2006/relationships/image" Target="media/image347.png"/><Relationship Id="rId377" Type="http://schemas.openxmlformats.org/officeDocument/2006/relationships/image" Target="media/image348.png"/><Relationship Id="rId378" Type="http://schemas.openxmlformats.org/officeDocument/2006/relationships/image" Target="media/image349.png"/><Relationship Id="rId379" Type="http://schemas.openxmlformats.org/officeDocument/2006/relationships/image" Target="media/image350.png"/><Relationship Id="rId380" Type="http://schemas.openxmlformats.org/officeDocument/2006/relationships/image" Target="media/image351.png"/><Relationship Id="rId381" Type="http://schemas.openxmlformats.org/officeDocument/2006/relationships/image" Target="media/image352.png"/><Relationship Id="rId382" Type="http://schemas.openxmlformats.org/officeDocument/2006/relationships/image" Target="media/image353.png"/><Relationship Id="rId383" Type="http://schemas.openxmlformats.org/officeDocument/2006/relationships/image" Target="media/image354.png"/><Relationship Id="rId384" Type="http://schemas.openxmlformats.org/officeDocument/2006/relationships/image" Target="media/image355.png"/><Relationship Id="rId385" Type="http://schemas.openxmlformats.org/officeDocument/2006/relationships/image" Target="media/image356.png"/><Relationship Id="rId386" Type="http://schemas.openxmlformats.org/officeDocument/2006/relationships/image" Target="media/image357.png"/><Relationship Id="rId387" Type="http://schemas.openxmlformats.org/officeDocument/2006/relationships/image" Target="media/image358.png"/><Relationship Id="rId388" Type="http://schemas.openxmlformats.org/officeDocument/2006/relationships/image" Target="media/image359.png"/><Relationship Id="rId389" Type="http://schemas.openxmlformats.org/officeDocument/2006/relationships/image" Target="media/image360.png"/><Relationship Id="rId390" Type="http://schemas.openxmlformats.org/officeDocument/2006/relationships/image" Target="media/image361.png"/><Relationship Id="rId391" Type="http://schemas.openxmlformats.org/officeDocument/2006/relationships/image" Target="media/image362.png"/><Relationship Id="rId392" Type="http://schemas.openxmlformats.org/officeDocument/2006/relationships/image" Target="media/image363.png"/><Relationship Id="rId393" Type="http://schemas.openxmlformats.org/officeDocument/2006/relationships/image" Target="media/image364.png"/><Relationship Id="rId345" Type="http://schemas.openxmlformats.org/officeDocument/2006/relationships/hyperlink" Target="https://www.sec.gov/Archives/edgar/data/1761918/000119312521219642/d81810dex31.htm" TargetMode="External"/><Relationship Id="rId346" Type="http://schemas.openxmlformats.org/officeDocument/2006/relationships/hyperlink" Target="https://www.sec.gov/Archives/edgar/data/1761918/000119312521219642/d81810dex32.htm" TargetMode="External"/><Relationship Id="rId347" Type="http://schemas.openxmlformats.org/officeDocument/2006/relationships/hyperlink" Target="https://www.sec.gov/Archives/edgar/data/1761918/000119312521200537/d176019dex41.htm" TargetMode="External"/><Relationship Id="rId348" Type="http://schemas.openxmlformats.org/officeDocument/2006/relationships/hyperlink" Target="https://www.sec.gov/Archives/edgar/data/1761918/000119312521200537/d176019dex42.htm" TargetMode="External"/><Relationship Id="rId349" Type="http://schemas.openxmlformats.org/officeDocument/2006/relationships/hyperlink" Target="https://www.sec.gov/Archives/edgar/data/1761918/000095017022004557/eras-ex4_3.htm" TargetMode="External"/><Relationship Id="rId350" Type="http://schemas.openxmlformats.org/officeDocument/2006/relationships/hyperlink" Target="https://www.sec.gov/Archives/edgar/data/1761918/000119312521212361/d176019dex102.htm" TargetMode="External"/><Relationship Id="rId351" Type="http://schemas.openxmlformats.org/officeDocument/2006/relationships/hyperlink" Target="https://www.sec.gov/Archives/edgar/data/1761918/000119312521212361/d176019dex103.htm" TargetMode="External"/><Relationship Id="rId352" Type="http://schemas.openxmlformats.org/officeDocument/2006/relationships/hyperlink" Target="https://www.sec.gov/Archives/edgar/data/1761918/000119312521212361/d176019dex104.htm" TargetMode="External"/><Relationship Id="rId353" Type="http://schemas.openxmlformats.org/officeDocument/2006/relationships/hyperlink" Target="https://www.sec.gov/Archives/edgar/data/1761918/000119312521200537/d176019dex109.htm" TargetMode="External"/><Relationship Id="rId354" Type="http://schemas.openxmlformats.org/officeDocument/2006/relationships/hyperlink" Target="https://www.sec.gov/Archives/edgar/data/1761918/000119312521200537/d176019dex1010.htm" TargetMode="External"/><Relationship Id="rId355" Type="http://schemas.openxmlformats.org/officeDocument/2006/relationships/hyperlink" Target="https://www.sec.gov/Archives/edgar/data/1761918/000119312521212361/d176019dex1013.htm" TargetMode="External"/><Relationship Id="rId356" Type="http://schemas.openxmlformats.org/officeDocument/2006/relationships/hyperlink" Target="https://www.sec.gov/Archives/edgar/data/1761918/000119312521212361/d176019dex1014.htm" TargetMode="External"/><Relationship Id="rId357" Type="http://schemas.openxmlformats.org/officeDocument/2006/relationships/hyperlink" Target="https://www.sec.gov/Archives/edgar/data/1761918/000095017023041333/eras-ex10_1.htm" TargetMode="External"/><Relationship Id="rId358" Type="http://schemas.openxmlformats.org/officeDocument/2006/relationships/hyperlink" Target="https://www.sec.gov/Archives/edgar/data/1761918/000119312521212361/d176019dex1016.htm" TargetMode="External"/><Relationship Id="rId359" Type="http://schemas.openxmlformats.org/officeDocument/2006/relationships/hyperlink" Target="https://www.sec.gov/Archives/edgar/data/1761918/000119312521212361/d176019dex1017.htm" TargetMode="External"/><Relationship Id="rId360" Type="http://schemas.openxmlformats.org/officeDocument/2006/relationships/hyperlink" Target="https://www.sec.gov/Archives/edgar/data/1761918/000095017022009720/eras-ex10_2.htm" TargetMode="External"/><Relationship Id="rId361" Type="http://schemas.openxmlformats.org/officeDocument/2006/relationships/hyperlink" Target="https://www.sec.gov/Archives/edgar/data/1761918/000119312522218726/d354047dex12.htm" TargetMode="External"/><Relationship Id="rId362" Type="http://schemas.openxmlformats.org/officeDocument/2006/relationships/hyperlink" Target="https://www.sec.gov/Archives/edgar/data/1761918/000095017023009496/eras-ex10_20.htm" TargetMode="External"/><Relationship Id="rId363" Type="http://schemas.openxmlformats.org/officeDocument/2006/relationships/hyperlink" Target="https://www.sec.gov/Archives/edgar/data/1761918/000095017024037193/eras-ex10_18.htm" TargetMode="External"/><Relationship Id="rId364" Type="http://schemas.openxmlformats.org/officeDocument/2006/relationships/hyperlink" Target="https://www.sec.gov/Archives/edgar/data/1761918/000095017024095437/eras-ex10_1.htm" TargetMode="External"/><Relationship Id="rId365" Type="http://schemas.openxmlformats.org/officeDocument/2006/relationships/hyperlink" Target="https://www.sec.gov/Archives/edgar/data/1761918/000095017024095437/eras-ex10_2.htm" TargetMode="External"/><Relationship Id="rId367" Type="http://schemas.openxmlformats.org/officeDocument/2006/relationships/hyperlink" Target="https://www.sec.gov/Archives/edgar/data/1761918/000095017024037193/eras-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2025-03-20T15:42:32Z</dcterms:created>
  <dcterms:modified xsi:type="dcterms:W3CDTF">2025-03-20T15:42:32Z</dcterms:modified>
</cp:coreProperties>
</file>