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111125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700" w:right="1520" w:hanging="3679"/>
        <w:spacing w:after="0" w:line="320" w:lineRule="auto"/>
        <w:tabs>
          <w:tab w:leader="none" w:pos="47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left="2840" w:right="1540" w:hanging="2819"/>
        <w:spacing w:after="0" w:line="312" w:lineRule="auto"/>
        <w:tabs>
          <w:tab w:leader="none" w:pos="47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 to ______________</w:t>
      </w:r>
    </w:p>
    <w:p>
      <w:pPr>
        <w:spacing w:after="0" w:line="1" w:lineRule="exact"/>
        <w:rPr>
          <w:rFonts w:ascii="MS PGothic" w:cs="MS PGothic" w:eastAsia="MS PGothic" w:hAnsi="MS PGothic"/>
          <w:sz w:val="18"/>
          <w:szCs w:val="18"/>
          <w:color w:val="auto"/>
          <w:highlight w:val="black"/>
        </w:rPr>
      </w:pPr>
    </w:p>
    <w:p>
      <w:pPr>
        <w:ind w:left="40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001-40602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ERASCA,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p>
      <w:pPr>
        <w:spacing w:after="0" w:line="248"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Delaware</w:t>
      </w:r>
    </w:p>
    <w:p>
      <w:pPr>
        <w:ind w:left="1940"/>
        <w:spacing w:after="0" w:line="230" w:lineRule="auto"/>
        <w:rPr>
          <w:sz w:val="20"/>
          <w:szCs w:val="20"/>
          <w:color w:val="auto"/>
        </w:rPr>
      </w:pPr>
      <w:r>
        <w:rPr>
          <w:rFonts w:ascii="Arial" w:cs="Arial" w:eastAsia="Arial" w:hAnsi="Arial"/>
          <w:sz w:val="13"/>
          <w:szCs w:val="13"/>
          <w:b w:val="1"/>
          <w:bCs w:val="1"/>
          <w:color w:val="auto"/>
        </w:rPr>
        <w:t>(State or other jurisdiction of</w:t>
      </w: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4" w:lineRule="exact"/>
        <w:rPr>
          <w:sz w:val="24"/>
          <w:szCs w:val="24"/>
          <w:color w:val="auto"/>
        </w:rPr>
      </w:pPr>
    </w:p>
    <w:p>
      <w:pPr>
        <w:jc w:val="center"/>
        <w:ind w:right="1560"/>
        <w:spacing w:after="0"/>
        <w:rPr>
          <w:sz w:val="20"/>
          <w:szCs w:val="20"/>
          <w:color w:val="auto"/>
        </w:rPr>
      </w:pPr>
      <w:r>
        <w:rPr>
          <w:rFonts w:ascii="Arial" w:cs="Arial" w:eastAsia="Arial" w:hAnsi="Arial"/>
          <w:sz w:val="17"/>
          <w:szCs w:val="17"/>
          <w:b w:val="1"/>
          <w:bCs w:val="1"/>
          <w:color w:val="auto"/>
        </w:rPr>
        <w:t>3115 Merryfield Row, Suite 300</w:t>
      </w:r>
    </w:p>
    <w:p>
      <w:pPr>
        <w:spacing w:after="0" w:line="21"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San Diego, CA</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83-1217027</w:t>
      </w:r>
    </w:p>
    <w:p>
      <w:pPr>
        <w:spacing w:after="0" w:line="7"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214"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92121</w:t>
      </w:r>
    </w:p>
    <w:p>
      <w:pPr>
        <w:spacing w:after="0" w:line="8" w:lineRule="exact"/>
        <w:rPr>
          <w:sz w:val="24"/>
          <w:szCs w:val="24"/>
          <w:color w:val="auto"/>
        </w:rPr>
      </w:pPr>
    </w:p>
    <w:p>
      <w:pPr>
        <w:sectPr>
          <w:pgSz w:w="11900" w:h="16838" w:orient="portrait"/>
          <w:cols w:equalWidth="0" w:num="2">
            <w:col w:w="7180" w:space="720"/>
            <w:col w:w="3340"/>
          </w:cols>
          <w:pgMar w:left="320" w:top="1149" w:right="339" w:bottom="1440" w:gutter="0" w:footer="0" w:header="0"/>
          <w:type w:val="continuous"/>
        </w:sectPr>
      </w:pPr>
    </w:p>
    <w:p>
      <w:pPr>
        <w:ind w:left="1640"/>
        <w:spacing w:after="0"/>
        <w:tabs>
          <w:tab w:leader="none" w:pos="810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2"/>
          <w:szCs w:val="12"/>
          <w:b w:val="1"/>
          <w:bCs w:val="1"/>
          <w:color w:val="auto"/>
        </w:rPr>
        <w:t>(Zip Code)</w:t>
      </w:r>
    </w:p>
    <w:p>
      <w:pPr>
        <w:spacing w:after="0" w:line="40"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(858) 465-6511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0"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71"/>
        </w:trPr>
        <w:tc>
          <w:tcPr>
            <w:tcW w:w="428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8"/>
        </w:trPr>
        <w:tc>
          <w:tcPr>
            <w:tcW w:w="4280" w:type="dxa"/>
            <w:vAlign w:val="bottom"/>
          </w:tcPr>
          <w:p>
            <w:pPr>
              <w:spacing w:after="0"/>
              <w:rPr>
                <w:sz w:val="20"/>
                <w:szCs w:val="20"/>
                <w:color w:val="auto"/>
              </w:rPr>
            </w:pPr>
            <w:r>
              <w:rPr>
                <w:rFonts w:ascii="Arial" w:cs="Arial" w:eastAsia="Arial" w:hAnsi="Arial"/>
                <w:sz w:val="16"/>
                <w:szCs w:val="16"/>
                <w:color w:val="auto"/>
              </w:rPr>
              <w:t>Common Stock, $0.0001 par value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ERAS</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68" w:lineRule="exact"/>
        <w:rPr>
          <w:sz w:val="24"/>
          <w:szCs w:val="24"/>
          <w:color w:val="auto"/>
        </w:rPr>
      </w:pPr>
    </w:p>
    <w:p>
      <w:pPr>
        <w:ind w:right="120"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40"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80" w:firstLine="599"/>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spacing w:after="0"/>
              <w:rPr>
                <w:sz w:val="23"/>
                <w:szCs w:val="23"/>
                <w:color w:val="auto"/>
              </w:rPr>
            </w:pPr>
          </w:p>
        </w:tc>
        <w:tc>
          <w:tcPr>
            <w:tcW w:w="360" w:type="dxa"/>
            <w:vAlign w:val="bottom"/>
          </w:tcPr>
          <w:p>
            <w:pPr>
              <w:spacing w:after="0"/>
              <w:rPr>
                <w:sz w:val="23"/>
                <w:szCs w:val="23"/>
                <w:color w:val="auto"/>
              </w:rPr>
            </w:pPr>
          </w:p>
        </w:tc>
      </w:tr>
    </w:tbl>
    <w:p>
      <w:pPr>
        <w:spacing w:after="0" w:line="47" w:lineRule="exact"/>
        <w:rPr>
          <w:sz w:val="24"/>
          <w:szCs w:val="24"/>
          <w:color w:val="auto"/>
        </w:rPr>
      </w:pPr>
    </w:p>
    <w:p>
      <w:pPr>
        <w:ind w:right="60" w:firstLine="59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1180"/>
        <w:spacing w:after="0" w:line="25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5, 2025, the registrant had 283,670,139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660" w:type="dxa"/>
            <w:vAlign w:val="bottom"/>
            <w:gridSpan w:val="19"/>
            <w:vMerge w:val="restart"/>
          </w:tcPr>
          <w:p>
            <w:pPr>
              <w:spacing w:after="0"/>
              <w:rPr>
                <w:sz w:val="20"/>
                <w:szCs w:val="20"/>
                <w:color w:val="auto"/>
              </w:rPr>
            </w:pPr>
            <w:r>
              <w:rPr>
                <w:rFonts w:ascii="Arial" w:cs="Arial" w:eastAsia="Arial" w:hAnsi="Arial"/>
                <w:sz w:val="18"/>
                <w:szCs w:val="18"/>
                <w:color w:val="auto"/>
              </w:rPr>
              <w:t>FINANCIAL INFORMATION</w:t>
            </w:r>
          </w:p>
        </w:tc>
        <w:tc>
          <w:tcPr>
            <w:tcW w:w="6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7"/>
        </w:trPr>
        <w:tc>
          <w:tcPr>
            <w:tcW w:w="920" w:type="dxa"/>
            <w:vAlign w:val="bottom"/>
            <w:gridSpan w:val="2"/>
            <w:vMerge w:val="continue"/>
          </w:tcPr>
          <w:p>
            <w:pPr>
              <w:spacing w:after="0"/>
              <w:rPr>
                <w:sz w:val="15"/>
                <w:szCs w:val="15"/>
                <w:color w:val="auto"/>
              </w:rPr>
            </w:pPr>
          </w:p>
        </w:tc>
        <w:tc>
          <w:tcPr>
            <w:tcW w:w="9660" w:type="dxa"/>
            <w:vAlign w:val="bottom"/>
            <w:gridSpan w:val="19"/>
            <w:vMerge w:val="continue"/>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20" w:type="dxa"/>
            <w:vAlign w:val="bottom"/>
            <w:gridSpan w:val="2"/>
          </w:tcPr>
          <w:p>
            <w:pPr>
              <w:spacing w:after="0" w:line="195" w:lineRule="exact"/>
              <w:rPr>
                <w:sz w:val="20"/>
                <w:szCs w:val="20"/>
                <w:color w:val="auto"/>
              </w:rPr>
            </w:pPr>
            <w:r>
              <w:rPr>
                <w:rFonts w:ascii="Arial" w:cs="Arial" w:eastAsia="Arial" w:hAnsi="Arial"/>
                <w:sz w:val="18"/>
                <w:szCs w:val="18"/>
                <w:color w:val="auto"/>
              </w:rPr>
              <w:t>Item 1.</w:t>
            </w:r>
          </w:p>
        </w:tc>
        <w:tc>
          <w:tcPr>
            <w:tcW w:w="9660" w:type="dxa"/>
            <w:vAlign w:val="bottom"/>
            <w:gridSpan w:val="19"/>
          </w:tcPr>
          <w:p>
            <w:pPr>
              <w:spacing w:after="0" w:line="195" w:lineRule="exact"/>
              <w:rPr>
                <w:sz w:val="20"/>
                <w:szCs w:val="20"/>
                <w:color w:val="auto"/>
              </w:rPr>
            </w:pPr>
            <w:r>
              <w:rPr>
                <w:rFonts w:ascii="Arial" w:cs="Arial" w:eastAsia="Arial" w:hAnsi="Arial"/>
                <w:sz w:val="18"/>
                <w:szCs w:val="18"/>
                <w:color w:val="0563C1"/>
              </w:rPr>
              <w:t>Financial Statements (Unaudited)</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left w:val="single" w:sz="8" w:color="0000EE"/>
            </w:tcBorders>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7000" w:type="dxa"/>
            <w:vAlign w:val="bottom"/>
            <w:gridSpan w:val="9"/>
            <w:vMerge w:val="restart"/>
          </w:tcPr>
          <w:p>
            <w:pPr>
              <w:ind w:left="100"/>
              <w:spacing w:after="0" w:line="202" w:lineRule="exact"/>
              <w:rPr>
                <w:sz w:val="20"/>
                <w:szCs w:val="20"/>
                <w:color w:val="auto"/>
              </w:rPr>
            </w:pPr>
            <w:r>
              <w:rPr>
                <w:rFonts w:ascii="Arial" w:cs="Arial" w:eastAsia="Arial" w:hAnsi="Arial"/>
                <w:sz w:val="18"/>
                <w:szCs w:val="18"/>
                <w:color w:val="0563C1"/>
              </w:rPr>
              <w:t>Sheets as of June 30, 2025 and December 31, 2024</w:t>
            </w: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60" w:type="dxa"/>
            <w:vAlign w:val="bottom"/>
            <w:gridSpan w:val="10"/>
          </w:tcPr>
          <w:p>
            <w:pPr>
              <w:spacing w:after="0" w:line="182" w:lineRule="exact"/>
              <w:rPr>
                <w:sz w:val="20"/>
                <w:szCs w:val="20"/>
                <w:color w:val="auto"/>
              </w:rPr>
            </w:pPr>
            <w:r>
              <w:rPr>
                <w:rFonts w:ascii="Arial" w:cs="Arial" w:eastAsia="Arial" w:hAnsi="Arial"/>
                <w:sz w:val="18"/>
                <w:szCs w:val="18"/>
                <w:color w:val="0563C1"/>
                <w:w w:val="96"/>
              </w:rPr>
              <w:t>Condensed Consolidated Balance</w:t>
            </w:r>
          </w:p>
        </w:tc>
        <w:tc>
          <w:tcPr>
            <w:tcW w:w="7000" w:type="dxa"/>
            <w:vAlign w:val="bottom"/>
            <w:gridSpan w:val="9"/>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left w:val="single" w:sz="8" w:color="0000EE"/>
            </w:tcBorders>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920" w:type="dxa"/>
            <w:vAlign w:val="bottom"/>
            <w:gridSpan w:val="2"/>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10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60" w:type="dxa"/>
            <w:vAlign w:val="bottom"/>
            <w:gridSpan w:val="19"/>
          </w:tcPr>
          <w:p>
            <w:pPr>
              <w:spacing w:after="0" w:line="182" w:lineRule="exact"/>
              <w:rPr>
                <w:sz w:val="20"/>
                <w:szCs w:val="20"/>
                <w:color w:val="auto"/>
              </w:rPr>
            </w:pPr>
            <w:r>
              <w:rPr>
                <w:rFonts w:ascii="Arial" w:cs="Arial" w:eastAsia="Arial" w:hAnsi="Arial"/>
                <w:sz w:val="18"/>
                <w:szCs w:val="18"/>
                <w:color w:val="0563C1"/>
              </w:rPr>
              <w:t>Condensed Consolidated Statements of Operations and Comprehensive Loss for the three and six months ended June</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Borders>
              <w:top w:val="single" w:sz="8" w:color="0563C1"/>
              <w:bottom w:val="single" w:sz="8" w:color="0563C1"/>
            </w:tcBorders>
            <w:gridSpan w:val="6"/>
          </w:tcPr>
          <w:p>
            <w:pPr>
              <w:spacing w:after="0" w:line="182" w:lineRule="exact"/>
              <w:rPr>
                <w:sz w:val="20"/>
                <w:szCs w:val="20"/>
                <w:color w:val="auto"/>
              </w:rPr>
            </w:pPr>
            <w:r>
              <w:rPr>
                <w:rFonts w:ascii="Arial" w:cs="Arial" w:eastAsia="Arial" w:hAnsi="Arial"/>
                <w:sz w:val="18"/>
                <w:szCs w:val="18"/>
                <w:color w:val="0563C1"/>
                <w:w w:val="98"/>
              </w:rPr>
              <w:t>30, 2025 and 2024</w:t>
            </w:r>
          </w:p>
        </w:tc>
        <w:tc>
          <w:tcPr>
            <w:tcW w:w="8020" w:type="dxa"/>
            <w:vAlign w:val="bottom"/>
            <w:tcBorders>
              <w:top w:val="single" w:sz="8" w:color="0563C1"/>
            </w:tcBorders>
            <w:gridSpan w:val="12"/>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60" w:type="dxa"/>
            <w:vAlign w:val="bottom"/>
            <w:gridSpan w:val="19"/>
          </w:tcPr>
          <w:p>
            <w:pPr>
              <w:spacing w:after="0" w:line="182" w:lineRule="exact"/>
              <w:rPr>
                <w:sz w:val="20"/>
                <w:szCs w:val="20"/>
                <w:color w:val="auto"/>
              </w:rPr>
            </w:pPr>
            <w:r>
              <w:rPr>
                <w:rFonts w:ascii="Arial" w:cs="Arial" w:eastAsia="Arial" w:hAnsi="Arial"/>
                <w:sz w:val="18"/>
                <w:szCs w:val="18"/>
                <w:color w:val="0563C1"/>
              </w:rPr>
              <w:t>Condensed Consolidated Statements of Stockholders’ Equity for the three and six months ended June 30, 2025 and</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Borders>
              <w:top w:val="single" w:sz="8" w:color="0563C1"/>
              <w:bottom w:val="single" w:sz="8" w:color="0563C1"/>
            </w:tcBorders>
          </w:tcPr>
          <w:p>
            <w:pPr>
              <w:spacing w:after="0" w:line="182" w:lineRule="exact"/>
              <w:rPr>
                <w:sz w:val="20"/>
                <w:szCs w:val="20"/>
                <w:color w:val="auto"/>
              </w:rPr>
            </w:pPr>
            <w:r>
              <w:rPr>
                <w:rFonts w:ascii="Arial" w:cs="Arial" w:eastAsia="Arial" w:hAnsi="Arial"/>
                <w:sz w:val="18"/>
                <w:szCs w:val="18"/>
                <w:color w:val="0563C1"/>
                <w:w w:val="94"/>
              </w:rPr>
              <w:t>2024</w:t>
            </w:r>
          </w:p>
        </w:tc>
        <w:tc>
          <w:tcPr>
            <w:tcW w:w="220" w:type="dxa"/>
            <w:vAlign w:val="bottom"/>
            <w:tcBorders>
              <w:top w:val="single" w:sz="8" w:color="0563C1"/>
            </w:tcBorders>
          </w:tcPr>
          <w:p>
            <w:pPr>
              <w:spacing w:after="0"/>
              <w:rPr>
                <w:sz w:val="15"/>
                <w:szCs w:val="15"/>
                <w:color w:val="auto"/>
              </w:rPr>
            </w:pPr>
          </w:p>
        </w:tc>
        <w:tc>
          <w:tcPr>
            <w:tcW w:w="380" w:type="dxa"/>
            <w:vAlign w:val="bottom"/>
            <w:tcBorders>
              <w:top w:val="single" w:sz="8" w:color="0563C1"/>
            </w:tcBorders>
          </w:tcPr>
          <w:p>
            <w:pPr>
              <w:spacing w:after="0"/>
              <w:rPr>
                <w:sz w:val="15"/>
                <w:szCs w:val="15"/>
                <w:color w:val="auto"/>
              </w:rPr>
            </w:pPr>
          </w:p>
        </w:tc>
        <w:tc>
          <w:tcPr>
            <w:tcW w:w="400" w:type="dxa"/>
            <w:vAlign w:val="bottom"/>
            <w:tcBorders>
              <w:top w:val="single" w:sz="8" w:color="0563C1"/>
            </w:tcBorders>
          </w:tcPr>
          <w:p>
            <w:pPr>
              <w:spacing w:after="0"/>
              <w:rPr>
                <w:sz w:val="15"/>
                <w:szCs w:val="15"/>
                <w:color w:val="auto"/>
              </w:rPr>
            </w:pPr>
          </w:p>
        </w:tc>
        <w:tc>
          <w:tcPr>
            <w:tcW w:w="80" w:type="dxa"/>
            <w:vAlign w:val="bottom"/>
            <w:tcBorders>
              <w:top w:val="single" w:sz="8" w:color="0563C1"/>
            </w:tcBorders>
          </w:tcPr>
          <w:p>
            <w:pPr>
              <w:spacing w:after="0"/>
              <w:rPr>
                <w:sz w:val="15"/>
                <w:szCs w:val="15"/>
                <w:color w:val="auto"/>
              </w:rPr>
            </w:pPr>
          </w:p>
        </w:tc>
        <w:tc>
          <w:tcPr>
            <w:tcW w:w="20" w:type="dxa"/>
            <w:vAlign w:val="bottom"/>
            <w:tcBorders>
              <w:top w:val="single" w:sz="8" w:color="0563C1"/>
            </w:tcBorders>
          </w:tcPr>
          <w:p>
            <w:pPr>
              <w:spacing w:after="0"/>
              <w:rPr>
                <w:sz w:val="15"/>
                <w:szCs w:val="15"/>
                <w:color w:val="auto"/>
              </w:rPr>
            </w:pPr>
          </w:p>
        </w:tc>
        <w:tc>
          <w:tcPr>
            <w:tcW w:w="420" w:type="dxa"/>
            <w:vAlign w:val="bottom"/>
            <w:tcBorders>
              <w:top w:val="single" w:sz="8" w:color="0563C1"/>
            </w:tcBorders>
          </w:tcPr>
          <w:p>
            <w:pPr>
              <w:spacing w:after="0"/>
              <w:rPr>
                <w:sz w:val="15"/>
                <w:szCs w:val="15"/>
                <w:color w:val="auto"/>
              </w:rPr>
            </w:pPr>
          </w:p>
        </w:tc>
        <w:tc>
          <w:tcPr>
            <w:tcW w:w="60" w:type="dxa"/>
            <w:vAlign w:val="bottom"/>
            <w:tcBorders>
              <w:top w:val="single" w:sz="8" w:color="0563C1"/>
            </w:tcBorders>
          </w:tcPr>
          <w:p>
            <w:pPr>
              <w:spacing w:after="0"/>
              <w:rPr>
                <w:sz w:val="15"/>
                <w:szCs w:val="15"/>
                <w:color w:val="auto"/>
              </w:rPr>
            </w:pPr>
          </w:p>
        </w:tc>
        <w:tc>
          <w:tcPr>
            <w:tcW w:w="560" w:type="dxa"/>
            <w:vAlign w:val="bottom"/>
            <w:tcBorders>
              <w:top w:val="single" w:sz="8" w:color="0563C1"/>
            </w:tcBorders>
          </w:tcPr>
          <w:p>
            <w:pPr>
              <w:spacing w:after="0"/>
              <w:rPr>
                <w:sz w:val="15"/>
                <w:szCs w:val="15"/>
                <w:color w:val="auto"/>
              </w:rPr>
            </w:pPr>
          </w:p>
        </w:tc>
        <w:tc>
          <w:tcPr>
            <w:tcW w:w="120" w:type="dxa"/>
            <w:vAlign w:val="bottom"/>
            <w:tcBorders>
              <w:top w:val="single" w:sz="8" w:color="0563C1"/>
            </w:tcBorders>
          </w:tcPr>
          <w:p>
            <w:pPr>
              <w:spacing w:after="0"/>
              <w:rPr>
                <w:sz w:val="15"/>
                <w:szCs w:val="15"/>
                <w:color w:val="auto"/>
              </w:rPr>
            </w:pPr>
          </w:p>
        </w:tc>
        <w:tc>
          <w:tcPr>
            <w:tcW w:w="1800" w:type="dxa"/>
            <w:vAlign w:val="bottom"/>
            <w:tcBorders>
              <w:top w:val="single" w:sz="8" w:color="0563C1"/>
            </w:tcBorders>
          </w:tcPr>
          <w:p>
            <w:pPr>
              <w:spacing w:after="0"/>
              <w:rPr>
                <w:sz w:val="15"/>
                <w:szCs w:val="15"/>
                <w:color w:val="auto"/>
              </w:rPr>
            </w:pPr>
          </w:p>
        </w:tc>
        <w:tc>
          <w:tcPr>
            <w:tcW w:w="240" w:type="dxa"/>
            <w:vAlign w:val="bottom"/>
            <w:tcBorders>
              <w:top w:val="single" w:sz="8" w:color="0563C1"/>
            </w:tcBorders>
          </w:tcPr>
          <w:p>
            <w:pPr>
              <w:spacing w:after="0"/>
              <w:rPr>
                <w:sz w:val="15"/>
                <w:szCs w:val="15"/>
                <w:color w:val="auto"/>
              </w:rPr>
            </w:pPr>
          </w:p>
        </w:tc>
        <w:tc>
          <w:tcPr>
            <w:tcW w:w="140" w:type="dxa"/>
            <w:vAlign w:val="bottom"/>
            <w:tcBorders>
              <w:top w:val="single" w:sz="8" w:color="0563C1"/>
            </w:tcBorders>
          </w:tcPr>
          <w:p>
            <w:pPr>
              <w:spacing w:after="0"/>
              <w:rPr>
                <w:sz w:val="15"/>
                <w:szCs w:val="15"/>
                <w:color w:val="auto"/>
              </w:rPr>
            </w:pPr>
          </w:p>
        </w:tc>
        <w:tc>
          <w:tcPr>
            <w:tcW w:w="2100" w:type="dxa"/>
            <w:vAlign w:val="bottom"/>
            <w:tcBorders>
              <w:top w:val="single" w:sz="8" w:color="0563C1"/>
            </w:tcBorders>
          </w:tcPr>
          <w:p>
            <w:pPr>
              <w:spacing w:after="0"/>
              <w:rPr>
                <w:sz w:val="15"/>
                <w:szCs w:val="15"/>
                <w:color w:val="auto"/>
              </w:rPr>
            </w:pPr>
          </w:p>
        </w:tc>
        <w:tc>
          <w:tcPr>
            <w:tcW w:w="140" w:type="dxa"/>
            <w:vAlign w:val="bottom"/>
            <w:tcBorders>
              <w:top w:val="single" w:sz="8" w:color="0563C1"/>
            </w:tcBorders>
          </w:tcPr>
          <w:p>
            <w:pPr>
              <w:spacing w:after="0"/>
              <w:rPr>
                <w:sz w:val="15"/>
                <w:szCs w:val="15"/>
                <w:color w:val="auto"/>
              </w:rPr>
            </w:pPr>
          </w:p>
        </w:tc>
        <w:tc>
          <w:tcPr>
            <w:tcW w:w="1100" w:type="dxa"/>
            <w:vAlign w:val="bottom"/>
            <w:tcBorders>
              <w:top w:val="single" w:sz="8" w:color="0563C1"/>
            </w:tcBorders>
          </w:tcPr>
          <w:p>
            <w:pPr>
              <w:spacing w:after="0"/>
              <w:rPr>
                <w:sz w:val="15"/>
                <w:szCs w:val="15"/>
                <w:color w:val="auto"/>
              </w:rPr>
            </w:pPr>
          </w:p>
        </w:tc>
        <w:tc>
          <w:tcPr>
            <w:tcW w:w="1100" w:type="dxa"/>
            <w:vAlign w:val="bottom"/>
            <w:tcBorders>
              <w:top w:val="single" w:sz="8" w:color="0563C1"/>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60" w:type="dxa"/>
            <w:vAlign w:val="bottom"/>
            <w:gridSpan w:val="19"/>
          </w:tcPr>
          <w:p>
            <w:pPr>
              <w:spacing w:after="0" w:line="182" w:lineRule="exact"/>
              <w:rPr>
                <w:sz w:val="20"/>
                <w:szCs w:val="20"/>
                <w:color w:val="auto"/>
              </w:rPr>
            </w:pPr>
            <w:r>
              <w:rPr>
                <w:rFonts w:ascii="Arial" w:cs="Arial" w:eastAsia="Arial" w:hAnsi="Arial"/>
                <w:sz w:val="18"/>
                <w:szCs w:val="18"/>
                <w:color w:val="0563C1"/>
              </w:rPr>
              <w:t>Condensed Consolidated Statements of Cash Flows for the six months ended June 30, 2025 and 2024</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left w:val="single" w:sz="8" w:color="0000EE"/>
            </w:tcBorders>
            <w:gridSpan w:val="2"/>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920" w:type="dxa"/>
            <w:vAlign w:val="bottom"/>
            <w:gridSpan w:val="2"/>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240" w:type="dxa"/>
            <w:vAlign w:val="bottom"/>
            <w:gridSpan w:val="2"/>
            <w:shd w:val="clear" w:color="auto" w:fill="0563C1"/>
          </w:tcPr>
          <w:p>
            <w:pPr>
              <w:spacing w:after="0" w:line="20" w:lineRule="exact"/>
              <w:rPr>
                <w:sz w:val="1"/>
                <w:szCs w:val="1"/>
                <w:color w:val="auto"/>
              </w:rPr>
            </w:pPr>
          </w:p>
        </w:tc>
        <w:tc>
          <w:tcPr>
            <w:tcW w:w="1100" w:type="dxa"/>
            <w:vAlign w:val="bottom"/>
            <w:shd w:val="clear" w:color="auto" w:fill="0563C1"/>
          </w:tcPr>
          <w:p>
            <w:pPr>
              <w:spacing w:after="0" w:line="20" w:lineRule="exact"/>
              <w:rPr>
                <w:sz w:val="1"/>
                <w:szCs w:val="1"/>
                <w:color w:val="auto"/>
              </w:rPr>
            </w:pPr>
          </w:p>
        </w:tc>
        <w:tc>
          <w:tcPr>
            <w:tcW w:w="1480" w:type="dxa"/>
            <w:vAlign w:val="bottom"/>
            <w:gridSpan w:val="3"/>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180" w:type="dxa"/>
            <w:vAlign w:val="bottom"/>
            <w:gridSpan w:val="16"/>
          </w:tcPr>
          <w:p>
            <w:pPr>
              <w:spacing w:after="0" w:line="182" w:lineRule="exact"/>
              <w:rPr>
                <w:sz w:val="20"/>
                <w:szCs w:val="20"/>
                <w:color w:val="auto"/>
              </w:rPr>
            </w:pPr>
            <w:r>
              <w:rPr>
                <w:rFonts w:ascii="Arial" w:cs="Arial" w:eastAsia="Arial" w:hAnsi="Arial"/>
                <w:sz w:val="18"/>
                <w:szCs w:val="18"/>
                <w:color w:val="0563C1"/>
              </w:rPr>
              <w:t>Notes to Condensed Consolidated Financial Statements</w:t>
            </w:r>
          </w:p>
        </w:tc>
        <w:tc>
          <w:tcPr>
            <w:tcW w:w="1480" w:type="dxa"/>
            <w:vAlign w:val="bottom"/>
            <w:gridSpan w:val="3"/>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620" w:type="dxa"/>
            <w:vAlign w:val="bottom"/>
            <w:tcBorders>
              <w:left w:val="single" w:sz="8" w:color="0000EE"/>
            </w:tcBorders>
            <w:gridSpan w:val="2"/>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920" w:type="dxa"/>
            <w:vAlign w:val="bottom"/>
            <w:gridSpan w:val="2"/>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line="20" w:lineRule="exact"/>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9660" w:type="dxa"/>
            <w:vAlign w:val="bottom"/>
            <w:gridSpan w:val="19"/>
          </w:tcPr>
          <w:p>
            <w:pPr>
              <w:spacing w:after="0" w:line="182" w:lineRule="exact"/>
              <w:rPr>
                <w:sz w:val="20"/>
                <w:szCs w:val="20"/>
                <w:color w:val="auto"/>
              </w:rPr>
            </w:pPr>
            <w:r>
              <w:rPr>
                <w:rFonts w:ascii="Arial" w:cs="Arial" w:eastAsia="Arial" w:hAnsi="Arial"/>
                <w:sz w:val="18"/>
                <w:szCs w:val="18"/>
                <w:color w:val="0563C1"/>
              </w:rPr>
              <w:t>Management’s Discussion and Analysis of Financial Condition and Results of Operations</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3.</w:t>
            </w:r>
          </w:p>
        </w:tc>
        <w:tc>
          <w:tcPr>
            <w:tcW w:w="620" w:type="dxa"/>
            <w:vAlign w:val="bottom"/>
            <w:tcBorders>
              <w:left w:val="single" w:sz="8" w:color="0000EE"/>
            </w:tcBorders>
            <w:gridSpan w:val="2"/>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2160" w:type="dxa"/>
            <w:vAlign w:val="bottom"/>
            <w:gridSpan w:val="3"/>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240" w:type="dxa"/>
            <w:vAlign w:val="bottom"/>
            <w:gridSpan w:val="2"/>
            <w:shd w:val="clear" w:color="auto" w:fill="0563C1"/>
          </w:tcPr>
          <w:p>
            <w:pPr>
              <w:spacing w:after="0" w:line="20" w:lineRule="exact"/>
              <w:rPr>
                <w:sz w:val="1"/>
                <w:szCs w:val="1"/>
                <w:color w:val="auto"/>
              </w:rPr>
            </w:pPr>
          </w:p>
        </w:tc>
        <w:tc>
          <w:tcPr>
            <w:tcW w:w="2580" w:type="dxa"/>
            <w:vAlign w:val="bottom"/>
            <w:gridSpan w:val="4"/>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line="20" w:lineRule="exact"/>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7080" w:type="dxa"/>
            <w:vAlign w:val="bottom"/>
            <w:gridSpan w:val="15"/>
          </w:tcPr>
          <w:p>
            <w:pPr>
              <w:spacing w:after="0" w:line="182" w:lineRule="exact"/>
              <w:rPr>
                <w:sz w:val="20"/>
                <w:szCs w:val="20"/>
                <w:color w:val="auto"/>
              </w:rPr>
            </w:pPr>
            <w:r>
              <w:rPr>
                <w:rFonts w:ascii="Arial" w:cs="Arial" w:eastAsia="Arial" w:hAnsi="Arial"/>
                <w:sz w:val="18"/>
                <w:szCs w:val="18"/>
                <w:color w:val="0563C1"/>
              </w:rPr>
              <w:t>Quantitative and Qualitative Disclosures About Market Risk</w:t>
            </w:r>
          </w:p>
        </w:tc>
        <w:tc>
          <w:tcPr>
            <w:tcW w:w="2580" w:type="dxa"/>
            <w:vAlign w:val="bottom"/>
            <w:gridSpan w:val="4"/>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4.</w:t>
            </w:r>
          </w:p>
        </w:tc>
        <w:tc>
          <w:tcPr>
            <w:tcW w:w="620" w:type="dxa"/>
            <w:vAlign w:val="bottom"/>
            <w:tcBorders>
              <w:left w:val="single" w:sz="8" w:color="0000EE"/>
            </w:tcBorders>
            <w:gridSpan w:val="2"/>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2160" w:type="dxa"/>
            <w:vAlign w:val="bottom"/>
            <w:gridSpan w:val="3"/>
            <w:shd w:val="clear" w:color="auto" w:fill="0563C1"/>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820" w:type="dxa"/>
            <w:vAlign w:val="bottom"/>
            <w:gridSpan w:val="6"/>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line="20" w:lineRule="exact"/>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4700" w:type="dxa"/>
            <w:vAlign w:val="bottom"/>
            <w:gridSpan w:val="12"/>
          </w:tcPr>
          <w:p>
            <w:pPr>
              <w:spacing w:after="0" w:line="182" w:lineRule="exact"/>
              <w:rPr>
                <w:sz w:val="20"/>
                <w:szCs w:val="20"/>
                <w:color w:val="auto"/>
              </w:rPr>
            </w:pPr>
            <w:r>
              <w:rPr>
                <w:rFonts w:ascii="Arial" w:cs="Arial" w:eastAsia="Arial" w:hAnsi="Arial"/>
                <w:sz w:val="18"/>
                <w:szCs w:val="18"/>
                <w:color w:val="0563C1"/>
              </w:rPr>
              <w:t>Controls and Procedures</w:t>
            </w:r>
          </w:p>
        </w:tc>
        <w:tc>
          <w:tcPr>
            <w:tcW w:w="140" w:type="dxa"/>
            <w:vAlign w:val="bottom"/>
            <w:vMerge w:val="continue"/>
          </w:tcPr>
          <w:p>
            <w:pPr>
              <w:spacing w:after="0"/>
              <w:rPr>
                <w:sz w:val="15"/>
                <w:szCs w:val="15"/>
                <w:color w:val="auto"/>
              </w:rPr>
            </w:pPr>
          </w:p>
        </w:tc>
        <w:tc>
          <w:tcPr>
            <w:tcW w:w="4820" w:type="dxa"/>
            <w:vAlign w:val="bottom"/>
            <w:gridSpan w:val="6"/>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Borders>
              <w:left w:val="single" w:sz="8" w:color="0000EE"/>
            </w:tcBorders>
            <w:gridSpan w:val="2"/>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300" w:type="dxa"/>
            <w:vAlign w:val="bottom"/>
            <w:gridSpan w:val="4"/>
            <w:vMerge w:val="restart"/>
          </w:tcPr>
          <w:p>
            <w:pPr>
              <w:spacing w:after="0" w:line="20" w:lineRule="exact"/>
              <w:rPr>
                <w:sz w:val="1"/>
                <w:szCs w:val="1"/>
                <w:color w:val="auto"/>
              </w:rPr>
            </w:pPr>
          </w:p>
        </w:tc>
        <w:tc>
          <w:tcPr>
            <w:tcW w:w="4820" w:type="dxa"/>
            <w:vAlign w:val="bottom"/>
            <w:gridSpan w:val="6"/>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20" w:type="dxa"/>
            <w:vAlign w:val="bottom"/>
            <w:gridSpan w:val="2"/>
            <w:vMerge w:val="continue"/>
          </w:tcPr>
          <w:p>
            <w:pPr>
              <w:spacing w:after="0"/>
              <w:rPr>
                <w:sz w:val="16"/>
                <w:szCs w:val="16"/>
                <w:color w:val="auto"/>
              </w:rPr>
            </w:pPr>
          </w:p>
        </w:tc>
        <w:tc>
          <w:tcPr>
            <w:tcW w:w="1980" w:type="dxa"/>
            <w:vAlign w:val="bottom"/>
            <w:gridSpan w:val="8"/>
          </w:tcPr>
          <w:p>
            <w:pPr>
              <w:spacing w:after="0" w:line="191" w:lineRule="exact"/>
              <w:rPr>
                <w:sz w:val="20"/>
                <w:szCs w:val="20"/>
                <w:color w:val="auto"/>
              </w:rPr>
            </w:pPr>
            <w:r>
              <w:rPr>
                <w:rFonts w:ascii="Arial" w:cs="Arial" w:eastAsia="Arial" w:hAnsi="Arial"/>
                <w:sz w:val="18"/>
                <w:szCs w:val="18"/>
                <w:color w:val="auto"/>
              </w:rPr>
              <w:t>OTHER INFORMATION</w:t>
            </w:r>
          </w:p>
        </w:tc>
        <w:tc>
          <w:tcPr>
            <w:tcW w:w="560" w:type="dxa"/>
            <w:vAlign w:val="bottom"/>
            <w:vMerge w:val="continue"/>
          </w:tcPr>
          <w:p>
            <w:pPr>
              <w:spacing w:after="0"/>
              <w:rPr>
                <w:sz w:val="16"/>
                <w:szCs w:val="16"/>
                <w:color w:val="auto"/>
              </w:rPr>
            </w:pPr>
          </w:p>
        </w:tc>
        <w:tc>
          <w:tcPr>
            <w:tcW w:w="2300" w:type="dxa"/>
            <w:vAlign w:val="bottom"/>
            <w:gridSpan w:val="4"/>
            <w:vMerge w:val="continue"/>
          </w:tcPr>
          <w:p>
            <w:pPr>
              <w:spacing w:after="0"/>
              <w:rPr>
                <w:sz w:val="16"/>
                <w:szCs w:val="16"/>
                <w:color w:val="auto"/>
              </w:rPr>
            </w:pPr>
          </w:p>
        </w:tc>
        <w:tc>
          <w:tcPr>
            <w:tcW w:w="4820" w:type="dxa"/>
            <w:vAlign w:val="bottom"/>
            <w:gridSpan w:val="6"/>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20" w:type="dxa"/>
            <w:vAlign w:val="bottom"/>
            <w:gridSpan w:val="2"/>
          </w:tcPr>
          <w:p>
            <w:pPr>
              <w:spacing w:after="0" w:line="195" w:lineRule="exact"/>
              <w:rPr>
                <w:sz w:val="20"/>
                <w:szCs w:val="20"/>
                <w:color w:val="auto"/>
              </w:rPr>
            </w:pPr>
            <w:r>
              <w:rPr>
                <w:rFonts w:ascii="Arial" w:cs="Arial" w:eastAsia="Arial" w:hAnsi="Arial"/>
                <w:sz w:val="18"/>
                <w:szCs w:val="18"/>
                <w:color w:val="auto"/>
              </w:rPr>
              <w:t>Item 1.</w:t>
            </w:r>
          </w:p>
        </w:tc>
        <w:tc>
          <w:tcPr>
            <w:tcW w:w="9660" w:type="dxa"/>
            <w:vAlign w:val="bottom"/>
            <w:gridSpan w:val="19"/>
          </w:tcPr>
          <w:p>
            <w:pPr>
              <w:spacing w:after="0" w:line="195" w:lineRule="exact"/>
              <w:rPr>
                <w:sz w:val="20"/>
                <w:szCs w:val="20"/>
                <w:color w:val="auto"/>
              </w:rPr>
            </w:pPr>
            <w:r>
              <w:rPr>
                <w:rFonts w:ascii="Arial" w:cs="Arial" w:eastAsia="Arial" w:hAnsi="Arial"/>
                <w:sz w:val="18"/>
                <w:szCs w:val="18"/>
                <w:color w:val="0563C1"/>
              </w:rPr>
              <w:t>Legal Proceedings</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1A.</w:t>
            </w:r>
          </w:p>
        </w:tc>
        <w:tc>
          <w:tcPr>
            <w:tcW w:w="620" w:type="dxa"/>
            <w:vAlign w:val="bottom"/>
            <w:tcBorders>
              <w:left w:val="single" w:sz="8" w:color="0000EE"/>
            </w:tcBorders>
            <w:gridSpan w:val="2"/>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gridSpan w:val="2"/>
            <w:vMerge w:val="restart"/>
          </w:tcPr>
          <w:p>
            <w:pPr>
              <w:spacing w:after="0" w:line="20" w:lineRule="exact"/>
              <w:rPr>
                <w:sz w:val="1"/>
                <w:szCs w:val="1"/>
                <w:color w:val="auto"/>
              </w:rPr>
            </w:pPr>
          </w:p>
        </w:tc>
        <w:tc>
          <w:tcPr>
            <w:tcW w:w="620" w:type="dxa"/>
            <w:vAlign w:val="bottom"/>
            <w:gridSpan w:val="2"/>
            <w:vMerge w:val="restart"/>
          </w:tcPr>
          <w:p>
            <w:pPr>
              <w:spacing w:after="0" w:line="20" w:lineRule="exact"/>
              <w:rPr>
                <w:sz w:val="1"/>
                <w:szCs w:val="1"/>
                <w:color w:val="auto"/>
              </w:rPr>
            </w:pPr>
          </w:p>
        </w:tc>
        <w:tc>
          <w:tcPr>
            <w:tcW w:w="2300" w:type="dxa"/>
            <w:vAlign w:val="bottom"/>
            <w:gridSpan w:val="4"/>
            <w:vMerge w:val="restart"/>
          </w:tcPr>
          <w:p>
            <w:pPr>
              <w:spacing w:after="0" w:line="20" w:lineRule="exact"/>
              <w:rPr>
                <w:sz w:val="1"/>
                <w:szCs w:val="1"/>
                <w:color w:val="auto"/>
              </w:rPr>
            </w:pPr>
          </w:p>
        </w:tc>
        <w:tc>
          <w:tcPr>
            <w:tcW w:w="4820" w:type="dxa"/>
            <w:vAlign w:val="bottom"/>
            <w:gridSpan w:val="6"/>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line="20" w:lineRule="exact"/>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1480" w:type="dxa"/>
            <w:vAlign w:val="bottom"/>
            <w:gridSpan w:val="5"/>
          </w:tcPr>
          <w:p>
            <w:pPr>
              <w:spacing w:after="0" w:line="182" w:lineRule="exact"/>
              <w:rPr>
                <w:sz w:val="20"/>
                <w:szCs w:val="20"/>
                <w:color w:val="auto"/>
              </w:rPr>
            </w:pPr>
            <w:r>
              <w:rPr>
                <w:rFonts w:ascii="Arial" w:cs="Arial" w:eastAsia="Arial" w:hAnsi="Arial"/>
                <w:sz w:val="18"/>
                <w:szCs w:val="18"/>
                <w:color w:val="0563C1"/>
              </w:rPr>
              <w:t>Risk Factors</w:t>
            </w:r>
          </w:p>
        </w:tc>
        <w:tc>
          <w:tcPr>
            <w:tcW w:w="440" w:type="dxa"/>
            <w:vAlign w:val="bottom"/>
            <w:gridSpan w:val="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300" w:type="dxa"/>
            <w:vAlign w:val="bottom"/>
            <w:gridSpan w:val="4"/>
            <w:vMerge w:val="continue"/>
          </w:tcPr>
          <w:p>
            <w:pPr>
              <w:spacing w:after="0"/>
              <w:rPr>
                <w:sz w:val="15"/>
                <w:szCs w:val="15"/>
                <w:color w:val="auto"/>
              </w:rPr>
            </w:pPr>
          </w:p>
        </w:tc>
        <w:tc>
          <w:tcPr>
            <w:tcW w:w="4820" w:type="dxa"/>
            <w:vAlign w:val="bottom"/>
            <w:gridSpan w:val="6"/>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620" w:type="dxa"/>
            <w:vAlign w:val="bottom"/>
            <w:tcBorders>
              <w:left w:val="single" w:sz="8" w:color="0000EE"/>
            </w:tcBorders>
            <w:gridSpan w:val="2"/>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8660" w:type="dxa"/>
            <w:vAlign w:val="bottom"/>
            <w:gridSpan w:val="16"/>
            <w:vMerge w:val="restart"/>
          </w:tcPr>
          <w:p>
            <w:pPr>
              <w:ind w:left="80"/>
              <w:spacing w:after="0" w:line="202" w:lineRule="exact"/>
              <w:rPr>
                <w:sz w:val="20"/>
                <w:szCs w:val="20"/>
                <w:color w:val="auto"/>
              </w:rPr>
            </w:pPr>
            <w:r>
              <w:rPr>
                <w:rFonts w:ascii="Arial" w:cs="Arial" w:eastAsia="Arial" w:hAnsi="Arial"/>
                <w:sz w:val="18"/>
                <w:szCs w:val="18"/>
                <w:color w:val="0563C1"/>
              </w:rPr>
              <w:t>Sales of Equity Securities and Use of Proceeds</w:t>
            </w: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line="20" w:lineRule="exact"/>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1000" w:type="dxa"/>
            <w:vAlign w:val="bottom"/>
            <w:gridSpan w:val="3"/>
          </w:tcPr>
          <w:p>
            <w:pPr>
              <w:spacing w:after="0" w:line="182" w:lineRule="exact"/>
              <w:rPr>
                <w:sz w:val="20"/>
                <w:szCs w:val="20"/>
                <w:color w:val="auto"/>
              </w:rPr>
            </w:pPr>
            <w:r>
              <w:rPr>
                <w:rFonts w:ascii="Arial" w:cs="Arial" w:eastAsia="Arial" w:hAnsi="Arial"/>
                <w:sz w:val="18"/>
                <w:szCs w:val="18"/>
                <w:color w:val="0563C1"/>
                <w:w w:val="95"/>
              </w:rPr>
              <w:t>Unregistered</w:t>
            </w:r>
          </w:p>
        </w:tc>
        <w:tc>
          <w:tcPr>
            <w:tcW w:w="8660" w:type="dxa"/>
            <w:vAlign w:val="bottom"/>
            <w:gridSpan w:val="16"/>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3.</w:t>
            </w:r>
          </w:p>
        </w:tc>
        <w:tc>
          <w:tcPr>
            <w:tcW w:w="620" w:type="dxa"/>
            <w:vAlign w:val="bottom"/>
            <w:tcBorders>
              <w:left w:val="single" w:sz="8" w:color="0000EE"/>
            </w:tcBorders>
            <w:gridSpan w:val="2"/>
            <w:shd w:val="clear" w:color="auto" w:fill="0563C1"/>
          </w:tcPr>
          <w:p>
            <w:pPr>
              <w:spacing w:after="0" w:line="20" w:lineRule="exact"/>
              <w:rPr>
                <w:sz w:val="1"/>
                <w:szCs w:val="1"/>
                <w:color w:val="auto"/>
              </w:rPr>
            </w:pPr>
          </w:p>
        </w:tc>
        <w:tc>
          <w:tcPr>
            <w:tcW w:w="780" w:type="dxa"/>
            <w:vAlign w:val="bottom"/>
            <w:gridSpan w:val="2"/>
            <w:shd w:val="clear" w:color="auto" w:fill="0563C1"/>
          </w:tcPr>
          <w:p>
            <w:pPr>
              <w:spacing w:after="0" w:line="20" w:lineRule="exact"/>
              <w:rPr>
                <w:sz w:val="1"/>
                <w:szCs w:val="1"/>
                <w:color w:val="auto"/>
              </w:rPr>
            </w:pPr>
          </w:p>
        </w:tc>
        <w:tc>
          <w:tcPr>
            <w:tcW w:w="520" w:type="dxa"/>
            <w:vAlign w:val="bottom"/>
            <w:gridSpan w:val="3"/>
            <w:shd w:val="clear" w:color="auto" w:fill="0563C1"/>
          </w:tcPr>
          <w:p>
            <w:pPr>
              <w:spacing w:after="0" w:line="20" w:lineRule="exact"/>
              <w:rPr>
                <w:sz w:val="1"/>
                <w:szCs w:val="1"/>
                <w:color w:val="auto"/>
              </w:rPr>
            </w:pPr>
          </w:p>
        </w:tc>
        <w:tc>
          <w:tcPr>
            <w:tcW w:w="620" w:type="dxa"/>
            <w:vAlign w:val="bottom"/>
            <w:gridSpan w:val="2"/>
            <w:shd w:val="clear" w:color="auto" w:fill="0563C1"/>
          </w:tcPr>
          <w:p>
            <w:pPr>
              <w:spacing w:after="0" w:line="20" w:lineRule="exact"/>
              <w:rPr>
                <w:sz w:val="1"/>
                <w:szCs w:val="1"/>
                <w:color w:val="auto"/>
              </w:rPr>
            </w:pPr>
          </w:p>
        </w:tc>
        <w:tc>
          <w:tcPr>
            <w:tcW w:w="2300" w:type="dxa"/>
            <w:vAlign w:val="bottom"/>
            <w:gridSpan w:val="4"/>
            <w:shd w:val="clear" w:color="auto" w:fill="0563C1"/>
          </w:tcPr>
          <w:p>
            <w:pPr>
              <w:spacing w:after="0" w:line="20" w:lineRule="exact"/>
              <w:rPr>
                <w:sz w:val="1"/>
                <w:szCs w:val="1"/>
                <w:color w:val="auto"/>
              </w:rPr>
            </w:pPr>
          </w:p>
        </w:tc>
        <w:tc>
          <w:tcPr>
            <w:tcW w:w="4820" w:type="dxa"/>
            <w:vAlign w:val="bottom"/>
            <w:gridSpan w:val="6"/>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line="20" w:lineRule="exact"/>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4840" w:type="dxa"/>
            <w:vAlign w:val="bottom"/>
            <w:gridSpan w:val="13"/>
          </w:tcPr>
          <w:p>
            <w:pPr>
              <w:spacing w:after="0" w:line="182" w:lineRule="exact"/>
              <w:rPr>
                <w:sz w:val="20"/>
                <w:szCs w:val="20"/>
                <w:color w:val="auto"/>
              </w:rPr>
            </w:pPr>
            <w:r>
              <w:rPr>
                <w:rFonts w:ascii="Arial" w:cs="Arial" w:eastAsia="Arial" w:hAnsi="Arial"/>
                <w:sz w:val="18"/>
                <w:szCs w:val="18"/>
                <w:color w:val="0563C1"/>
              </w:rPr>
              <w:t>Defaults Upon Senior Securities</w:t>
            </w:r>
          </w:p>
        </w:tc>
        <w:tc>
          <w:tcPr>
            <w:tcW w:w="4820" w:type="dxa"/>
            <w:vAlign w:val="bottom"/>
            <w:gridSpan w:val="6"/>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4.</w:t>
            </w:r>
          </w:p>
        </w:tc>
        <w:tc>
          <w:tcPr>
            <w:tcW w:w="620" w:type="dxa"/>
            <w:vAlign w:val="bottom"/>
            <w:tcBorders>
              <w:left w:val="single" w:sz="8" w:color="0000EE"/>
            </w:tcBorders>
            <w:gridSpan w:val="2"/>
            <w:shd w:val="clear" w:color="auto" w:fill="0563C1"/>
          </w:tcPr>
          <w:p>
            <w:pPr>
              <w:spacing w:after="0" w:line="20" w:lineRule="exact"/>
              <w:rPr>
                <w:sz w:val="1"/>
                <w:szCs w:val="1"/>
                <w:color w:val="auto"/>
              </w:rPr>
            </w:pPr>
          </w:p>
        </w:tc>
        <w:tc>
          <w:tcPr>
            <w:tcW w:w="780" w:type="dxa"/>
            <w:vAlign w:val="bottom"/>
            <w:gridSpan w:val="2"/>
            <w:shd w:val="clear" w:color="auto" w:fill="0563C1"/>
          </w:tcPr>
          <w:p>
            <w:pPr>
              <w:spacing w:after="0" w:line="20" w:lineRule="exact"/>
              <w:rPr>
                <w:sz w:val="1"/>
                <w:szCs w:val="1"/>
                <w:color w:val="auto"/>
              </w:rPr>
            </w:pPr>
          </w:p>
        </w:tc>
        <w:tc>
          <w:tcPr>
            <w:tcW w:w="520" w:type="dxa"/>
            <w:vAlign w:val="bottom"/>
            <w:gridSpan w:val="3"/>
            <w:shd w:val="clear" w:color="auto" w:fill="0563C1"/>
          </w:tcPr>
          <w:p>
            <w:pPr>
              <w:spacing w:after="0" w:line="20" w:lineRule="exact"/>
              <w:rPr>
                <w:sz w:val="1"/>
                <w:szCs w:val="1"/>
                <w:color w:val="auto"/>
              </w:rPr>
            </w:pPr>
          </w:p>
        </w:tc>
        <w:tc>
          <w:tcPr>
            <w:tcW w:w="620" w:type="dxa"/>
            <w:vAlign w:val="bottom"/>
            <w:gridSpan w:val="2"/>
            <w:shd w:val="clear" w:color="auto" w:fill="0563C1"/>
          </w:tcPr>
          <w:p>
            <w:pPr>
              <w:spacing w:after="0" w:line="20" w:lineRule="exact"/>
              <w:rPr>
                <w:sz w:val="1"/>
                <w:szCs w:val="1"/>
                <w:color w:val="auto"/>
              </w:rPr>
            </w:pPr>
          </w:p>
        </w:tc>
        <w:tc>
          <w:tcPr>
            <w:tcW w:w="7120" w:type="dxa"/>
            <w:vAlign w:val="bottom"/>
            <w:gridSpan w:val="10"/>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line="20" w:lineRule="exact"/>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2540" w:type="dxa"/>
            <w:vAlign w:val="bottom"/>
            <w:gridSpan w:val="9"/>
          </w:tcPr>
          <w:p>
            <w:pPr>
              <w:spacing w:after="0" w:line="182" w:lineRule="exact"/>
              <w:rPr>
                <w:sz w:val="20"/>
                <w:szCs w:val="20"/>
                <w:color w:val="auto"/>
              </w:rPr>
            </w:pPr>
            <w:r>
              <w:rPr>
                <w:rFonts w:ascii="Arial" w:cs="Arial" w:eastAsia="Arial" w:hAnsi="Arial"/>
                <w:sz w:val="18"/>
                <w:szCs w:val="18"/>
                <w:color w:val="0563C1"/>
              </w:rPr>
              <w:t>Mine Safety Disclosures</w:t>
            </w:r>
          </w:p>
        </w:tc>
        <w:tc>
          <w:tcPr>
            <w:tcW w:w="7120" w:type="dxa"/>
            <w:vAlign w:val="bottom"/>
            <w:gridSpan w:val="10"/>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5.</w:t>
            </w:r>
          </w:p>
        </w:tc>
        <w:tc>
          <w:tcPr>
            <w:tcW w:w="620" w:type="dxa"/>
            <w:vAlign w:val="bottom"/>
            <w:tcBorders>
              <w:left w:val="single" w:sz="8" w:color="0000EE"/>
            </w:tcBorders>
            <w:gridSpan w:val="2"/>
            <w:shd w:val="clear" w:color="auto" w:fill="0563C1"/>
          </w:tcPr>
          <w:p>
            <w:pPr>
              <w:spacing w:after="0" w:line="20" w:lineRule="exact"/>
              <w:rPr>
                <w:sz w:val="1"/>
                <w:szCs w:val="1"/>
                <w:color w:val="auto"/>
              </w:rPr>
            </w:pPr>
          </w:p>
        </w:tc>
        <w:tc>
          <w:tcPr>
            <w:tcW w:w="780" w:type="dxa"/>
            <w:vAlign w:val="bottom"/>
            <w:gridSpan w:val="2"/>
            <w:shd w:val="clear" w:color="auto" w:fill="0563C1"/>
          </w:tcPr>
          <w:p>
            <w:pPr>
              <w:spacing w:after="0" w:line="20" w:lineRule="exact"/>
              <w:rPr>
                <w:sz w:val="1"/>
                <w:szCs w:val="1"/>
                <w:color w:val="auto"/>
              </w:rPr>
            </w:pPr>
          </w:p>
        </w:tc>
        <w:tc>
          <w:tcPr>
            <w:tcW w:w="520" w:type="dxa"/>
            <w:vAlign w:val="bottom"/>
            <w:gridSpan w:val="3"/>
            <w:shd w:val="clear" w:color="auto" w:fill="0563C1"/>
          </w:tcPr>
          <w:p>
            <w:pPr>
              <w:spacing w:after="0" w:line="20" w:lineRule="exact"/>
              <w:rPr>
                <w:sz w:val="1"/>
                <w:szCs w:val="1"/>
                <w:color w:val="auto"/>
              </w:rPr>
            </w:pPr>
          </w:p>
        </w:tc>
        <w:tc>
          <w:tcPr>
            <w:tcW w:w="7740" w:type="dxa"/>
            <w:vAlign w:val="bottom"/>
            <w:gridSpan w:val="12"/>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line="20" w:lineRule="exact"/>
              <w:rPr>
                <w:sz w:val="1"/>
                <w:szCs w:val="1"/>
                <w:color w:val="auto"/>
              </w:rPr>
            </w:pPr>
          </w:p>
        </w:tc>
      </w:tr>
      <w:tr>
        <w:trPr>
          <w:trHeight w:val="182"/>
        </w:trPr>
        <w:tc>
          <w:tcPr>
            <w:tcW w:w="920" w:type="dxa"/>
            <w:vAlign w:val="bottom"/>
            <w:gridSpan w:val="2"/>
            <w:vMerge w:val="continue"/>
          </w:tcPr>
          <w:p>
            <w:pPr>
              <w:spacing w:after="0"/>
              <w:rPr>
                <w:sz w:val="15"/>
                <w:szCs w:val="15"/>
                <w:color w:val="auto"/>
              </w:rPr>
            </w:pPr>
          </w:p>
        </w:tc>
        <w:tc>
          <w:tcPr>
            <w:tcW w:w="1920" w:type="dxa"/>
            <w:vAlign w:val="bottom"/>
            <w:gridSpan w:val="7"/>
          </w:tcPr>
          <w:p>
            <w:pPr>
              <w:spacing w:after="0" w:line="182" w:lineRule="exact"/>
              <w:rPr>
                <w:sz w:val="20"/>
                <w:szCs w:val="20"/>
                <w:color w:val="auto"/>
              </w:rPr>
            </w:pPr>
            <w:r>
              <w:rPr>
                <w:rFonts w:ascii="Arial" w:cs="Arial" w:eastAsia="Arial" w:hAnsi="Arial"/>
                <w:sz w:val="18"/>
                <w:szCs w:val="18"/>
                <w:color w:val="0563C1"/>
              </w:rPr>
              <w:t>Other Information</w:t>
            </w:r>
          </w:p>
        </w:tc>
        <w:tc>
          <w:tcPr>
            <w:tcW w:w="7740" w:type="dxa"/>
            <w:vAlign w:val="bottom"/>
            <w:gridSpan w:val="1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6.</w:t>
            </w:r>
          </w:p>
        </w:tc>
        <w:tc>
          <w:tcPr>
            <w:tcW w:w="620" w:type="dxa"/>
            <w:vAlign w:val="bottom"/>
            <w:tcBorders>
              <w:left w:val="single" w:sz="8" w:color="0000EE"/>
            </w:tcBorders>
            <w:gridSpan w:val="2"/>
            <w:shd w:val="clear" w:color="auto" w:fill="0563C1"/>
          </w:tcPr>
          <w:p>
            <w:pPr>
              <w:spacing w:after="0" w:line="20" w:lineRule="exact"/>
              <w:rPr>
                <w:sz w:val="1"/>
                <w:szCs w:val="1"/>
                <w:color w:val="auto"/>
              </w:rPr>
            </w:pPr>
          </w:p>
        </w:tc>
        <w:tc>
          <w:tcPr>
            <w:tcW w:w="780" w:type="dxa"/>
            <w:vAlign w:val="bottom"/>
            <w:gridSpan w:val="2"/>
            <w:shd w:val="clear" w:color="auto" w:fill="0563C1"/>
          </w:tcPr>
          <w:p>
            <w:pPr>
              <w:spacing w:after="0" w:line="20" w:lineRule="exact"/>
              <w:rPr>
                <w:sz w:val="1"/>
                <w:szCs w:val="1"/>
                <w:color w:val="auto"/>
              </w:rPr>
            </w:pPr>
          </w:p>
        </w:tc>
        <w:tc>
          <w:tcPr>
            <w:tcW w:w="8260" w:type="dxa"/>
            <w:vAlign w:val="bottom"/>
            <w:gridSpan w:val="15"/>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line="20" w:lineRule="exact"/>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1400" w:type="dxa"/>
            <w:vAlign w:val="bottom"/>
            <w:gridSpan w:val="4"/>
          </w:tcPr>
          <w:p>
            <w:pPr>
              <w:spacing w:after="0" w:line="182" w:lineRule="exact"/>
              <w:rPr>
                <w:sz w:val="20"/>
                <w:szCs w:val="20"/>
                <w:color w:val="auto"/>
              </w:rPr>
            </w:pPr>
            <w:r>
              <w:rPr>
                <w:rFonts w:ascii="Arial" w:cs="Arial" w:eastAsia="Arial" w:hAnsi="Arial"/>
                <w:sz w:val="18"/>
                <w:szCs w:val="18"/>
                <w:color w:val="0563C1"/>
              </w:rPr>
              <w:t>Exhibits</w:t>
            </w:r>
          </w:p>
        </w:tc>
        <w:tc>
          <w:tcPr>
            <w:tcW w:w="8260" w:type="dxa"/>
            <w:vAlign w:val="bottom"/>
            <w:gridSpan w:val="15"/>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gridSpan w:val="2"/>
          </w:tcPr>
          <w:p>
            <w:pPr>
              <w:spacing w:after="0" w:line="182" w:lineRule="exact"/>
              <w:rPr>
                <w:sz w:val="20"/>
                <w:szCs w:val="20"/>
                <w:color w:val="auto"/>
              </w:rPr>
            </w:pPr>
            <w:r>
              <w:rPr>
                <w:rFonts w:ascii="Arial" w:cs="Arial" w:eastAsia="Arial" w:hAnsi="Arial"/>
                <w:sz w:val="18"/>
                <w:szCs w:val="18"/>
                <w:color w:val="0563C1"/>
              </w:rPr>
              <w:t>Signatures</w:t>
            </w:r>
          </w:p>
        </w:tc>
        <w:tc>
          <w:tcPr>
            <w:tcW w:w="400" w:type="dxa"/>
            <w:vAlign w:val="bottom"/>
            <w:tcBorders>
              <w:top w:val="single" w:sz="8" w:color="0563C1"/>
            </w:tcBorders>
          </w:tcPr>
          <w:p>
            <w:pPr>
              <w:spacing w:after="0"/>
              <w:rPr>
                <w:sz w:val="15"/>
                <w:szCs w:val="15"/>
                <w:color w:val="auto"/>
              </w:rPr>
            </w:pPr>
          </w:p>
        </w:tc>
        <w:tc>
          <w:tcPr>
            <w:tcW w:w="220" w:type="dxa"/>
            <w:vAlign w:val="bottom"/>
            <w:tcBorders>
              <w:top w:val="single" w:sz="8" w:color="0563C1"/>
            </w:tcBorders>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86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7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64"/>
        </w:trPr>
        <w:tc>
          <w:tcPr>
            <w:tcW w:w="7740" w:type="dxa"/>
            <w:vAlign w:val="bottom"/>
          </w:tcPr>
          <w:p>
            <w:pPr>
              <w:jc w:val="center"/>
              <w:ind w:left="3410"/>
              <w:spacing w:after="0"/>
              <w:rPr>
                <w:sz w:val="20"/>
                <w:szCs w:val="20"/>
                <w:color w:val="auto"/>
              </w:rPr>
            </w:pPr>
            <w:r>
              <w:rPr>
                <w:rFonts w:ascii="Arial" w:cs="Arial" w:eastAsia="Arial" w:hAnsi="Arial"/>
                <w:sz w:val="18"/>
                <w:szCs w:val="18"/>
                <w:b w:val="1"/>
                <w:bCs w:val="1"/>
                <w:color w:val="auto"/>
                <w:w w:val="99"/>
              </w:rPr>
              <w:t>Erasca, Inc.</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740" w:type="dxa"/>
            <w:vAlign w:val="bottom"/>
          </w:tcPr>
          <w:p>
            <w:pPr>
              <w:jc w:val="center"/>
              <w:ind w:left="3410"/>
              <w:spacing w:after="0" w:line="202" w:lineRule="exact"/>
              <w:rPr>
                <w:sz w:val="20"/>
                <w:szCs w:val="20"/>
                <w:color w:val="auto"/>
              </w:rPr>
            </w:pPr>
            <w:r>
              <w:rPr>
                <w:rFonts w:ascii="Arial" w:cs="Arial" w:eastAsia="Arial" w:hAnsi="Arial"/>
                <w:sz w:val="18"/>
                <w:szCs w:val="18"/>
                <w:b w:val="1"/>
                <w:bCs w:val="1"/>
                <w:color w:val="auto"/>
              </w:rPr>
              <w:t>Condensed Consolidated Balance Sheets</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gridSpan w:val="2"/>
          </w:tcPr>
          <w:p>
            <w:pPr>
              <w:jc w:val="right"/>
              <w:ind w:right="70"/>
              <w:spacing w:after="0" w:line="202" w:lineRule="exact"/>
              <w:rPr>
                <w:sz w:val="20"/>
                <w:szCs w:val="20"/>
                <w:color w:val="auto"/>
              </w:rPr>
            </w:pPr>
            <w:r>
              <w:rPr>
                <w:rFonts w:ascii="Arial" w:cs="Arial" w:eastAsia="Arial" w:hAnsi="Arial"/>
                <w:sz w:val="18"/>
                <w:szCs w:val="18"/>
                <w:b w:val="1"/>
                <w:bCs w:val="1"/>
                <w:color w:val="auto"/>
              </w:rPr>
              <w:t>(In thousands, except share and par value amounts)</w:t>
            </w: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7"/>
        </w:trPr>
        <w:tc>
          <w:tcPr>
            <w:tcW w:w="7740" w:type="dxa"/>
            <w:vAlign w:val="bottom"/>
          </w:tcPr>
          <w:p>
            <w:pPr>
              <w:jc w:val="center"/>
              <w:ind w:left="3410"/>
              <w:spacing w:after="0"/>
              <w:rPr>
                <w:sz w:val="20"/>
                <w:szCs w:val="20"/>
                <w:color w:val="auto"/>
              </w:rPr>
            </w:pPr>
            <w:r>
              <w:rPr>
                <w:rFonts w:ascii="Arial" w:cs="Arial" w:eastAsia="Arial" w:hAnsi="Arial"/>
                <w:sz w:val="18"/>
                <w:szCs w:val="18"/>
                <w:b w:val="1"/>
                <w:bCs w:val="1"/>
                <w:color w:val="auto"/>
                <w:w w:val="99"/>
              </w:rPr>
              <w:t>(Unaudited)</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61"/>
        </w:trPr>
        <w:tc>
          <w:tcPr>
            <w:tcW w:w="7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77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66,143</w:t>
            </w:r>
          </w:p>
        </w:tc>
        <w:tc>
          <w:tcPr>
            <w:tcW w:w="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67,739</w:t>
            </w: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8"/>
                <w:szCs w:val="18"/>
                <w:color w:val="auto"/>
              </w:rPr>
              <w:t>Short-term marketable securities</w:t>
            </w: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234,518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230,570</w:t>
            </w:r>
          </w:p>
        </w:tc>
      </w:tr>
      <w:tr>
        <w:trPr>
          <w:trHeight w:val="203"/>
        </w:trPr>
        <w:tc>
          <w:tcPr>
            <w:tcW w:w="77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9,999</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10,484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line="196" w:lineRule="exact"/>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310,660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308,793</w:t>
            </w: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Long-term marketable securities</w:t>
            </w:r>
          </w:p>
        </w:tc>
        <w:tc>
          <w:tcPr>
            <w:tcW w:w="2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86,088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142,164</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7"/>
                <w:szCs w:val="17"/>
                <w:color w:val="auto"/>
              </w:rPr>
            </w:pPr>
          </w:p>
        </w:tc>
        <w:tc>
          <w:tcPr>
            <w:tcW w:w="1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14,825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16,321</w:t>
            </w: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assets</w:t>
            </w:r>
          </w:p>
        </w:tc>
        <w:tc>
          <w:tcPr>
            <w:tcW w:w="2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30,814</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32,218</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408</w:t>
            </w:r>
          </w:p>
        </w:tc>
      </w:tr>
      <w:tr>
        <w:trPr>
          <w:trHeight w:val="203"/>
        </w:trPr>
        <w:tc>
          <w:tcPr>
            <w:tcW w:w="77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2,591</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2,622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line="196" w:lineRule="exact"/>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445,386</w:t>
            </w:r>
          </w:p>
        </w:tc>
        <w:tc>
          <w:tcPr>
            <w:tcW w:w="160" w:type="dxa"/>
            <w:vAlign w:val="bottom"/>
          </w:tcPr>
          <w:p>
            <w:pPr>
              <w:spacing w:after="0"/>
              <w:rPr>
                <w:sz w:val="17"/>
                <w:szCs w:val="17"/>
                <w:color w:val="auto"/>
              </w:rPr>
            </w:pPr>
          </w:p>
        </w:tc>
        <w:tc>
          <w:tcPr>
            <w:tcW w:w="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502,526</w:t>
            </w: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4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1,663</w:t>
            </w:r>
          </w:p>
        </w:tc>
        <w:tc>
          <w:tcPr>
            <w:tcW w:w="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468</w:t>
            </w: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7"/>
                <w:szCs w:val="17"/>
                <w:color w:val="auto"/>
              </w:rPr>
            </w:pPr>
          </w:p>
        </w:tc>
        <w:tc>
          <w:tcPr>
            <w:tcW w:w="1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21,779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26,308</w:t>
            </w:r>
          </w:p>
        </w:tc>
      </w:tr>
      <w:tr>
        <w:trPr>
          <w:trHeight w:val="202"/>
        </w:trPr>
        <w:tc>
          <w:tcPr>
            <w:tcW w:w="77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liabilities</w:t>
            </w:r>
          </w:p>
        </w:tc>
        <w:tc>
          <w:tcPr>
            <w:tcW w:w="2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4,709</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4,619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line="196" w:lineRule="exact"/>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7"/>
                <w:szCs w:val="17"/>
                <w:color w:val="auto"/>
              </w:rPr>
            </w:pPr>
          </w:p>
        </w:tc>
        <w:tc>
          <w:tcPr>
            <w:tcW w:w="14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28,151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31,395</w:t>
            </w: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2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44,714</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47,270</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362</w:t>
            </w: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liabilities</w:t>
            </w:r>
          </w:p>
        </w:tc>
        <w:tc>
          <w:tcPr>
            <w:tcW w:w="2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73,128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79,027</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 (Note 12)</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4"/>
        </w:trPr>
        <w:tc>
          <w:tcPr>
            <w:tcW w:w="7740" w:type="dxa"/>
            <w:vAlign w:val="bottom"/>
          </w:tcPr>
          <w:p>
            <w:pPr>
              <w:spacing w:after="0" w:line="183" w:lineRule="exact"/>
              <w:rPr>
                <w:sz w:val="20"/>
                <w:szCs w:val="20"/>
                <w:color w:val="auto"/>
              </w:rPr>
            </w:pPr>
            <w:r>
              <w:rPr>
                <w:rFonts w:ascii="Arial" w:cs="Arial" w:eastAsia="Arial" w:hAnsi="Arial"/>
                <w:sz w:val="18"/>
                <w:szCs w:val="18"/>
                <w:color w:val="auto"/>
              </w:rPr>
              <w:t>Preferred stock, $0.0001 par value; 80,000,000 shares authorized at June 30, 2025 and</w:t>
            </w: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December 31, 2024; no shares issued and outstanding at June 30, 2025 and December 31,</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7740" w:type="dxa"/>
            <w:vAlign w:val="bottom"/>
          </w:tcPr>
          <w:p>
            <w:pPr>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84"/>
        </w:trPr>
        <w:tc>
          <w:tcPr>
            <w:tcW w:w="77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Common stock, $0.0001 par value; 800,000,000 shares authorized at June 30, 2025 and</w:t>
            </w: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December 31, 2024; 283,650,139 and 283,218,344 shares issued and outstanding at June 30,</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2025 and December 31, 2024, respectively</w:t>
            </w:r>
          </w:p>
        </w:tc>
        <w:tc>
          <w:tcPr>
            <w:tcW w:w="2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7"/>
                <w:szCs w:val="17"/>
                <w:color w:val="auto"/>
              </w:rPr>
            </w:pPr>
          </w:p>
        </w:tc>
        <w:tc>
          <w:tcPr>
            <w:tcW w:w="1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1,204,320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1,190,729</w:t>
            </w: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Accumulated other comprehensive income</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405</w:t>
            </w:r>
          </w:p>
        </w:tc>
      </w:tr>
      <w:tr>
        <w:trPr>
          <w:trHeight w:val="202"/>
        </w:trPr>
        <w:tc>
          <w:tcPr>
            <w:tcW w:w="774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(832,505)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(767,663)</w:t>
            </w:r>
          </w:p>
        </w:tc>
      </w:tr>
      <w:tr>
        <w:trPr>
          <w:trHeight w:val="196"/>
        </w:trPr>
        <w:tc>
          <w:tcPr>
            <w:tcW w:w="77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372,258</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423,499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445,386</w:t>
            </w:r>
          </w:p>
        </w:tc>
        <w:tc>
          <w:tcPr>
            <w:tcW w:w="160" w:type="dxa"/>
            <w:vAlign w:val="bottom"/>
          </w:tcPr>
          <w:p>
            <w:pPr>
              <w:spacing w:after="0"/>
              <w:rPr>
                <w:sz w:val="17"/>
                <w:szCs w:val="17"/>
                <w:color w:val="auto"/>
              </w:rPr>
            </w:pPr>
          </w:p>
        </w:tc>
        <w:tc>
          <w:tcPr>
            <w:tcW w:w="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502,526</w:t>
            </w: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-3830955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-3830955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-3051175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-2245360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-161925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Erasca,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2025</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21,170</w:t>
            </w:r>
          </w:p>
        </w:tc>
        <w:tc>
          <w:tcPr>
            <w:tcW w:w="140" w:type="dxa"/>
            <w:vAlign w:val="bottom"/>
          </w:tcPr>
          <w:p>
            <w:pPr>
              <w:spacing w:after="0"/>
              <w:rPr>
                <w:sz w:val="17"/>
                <w:szCs w:val="17"/>
                <w:color w:val="auto"/>
              </w:rPr>
            </w:pP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33,032</w:t>
            </w:r>
          </w:p>
        </w:tc>
        <w:tc>
          <w:tcPr>
            <w:tcW w:w="140" w:type="dxa"/>
            <w:vAlign w:val="bottom"/>
          </w:tcPr>
          <w:p>
            <w:pPr>
              <w:spacing w:after="0"/>
              <w:rPr>
                <w:sz w:val="17"/>
                <w:szCs w:val="17"/>
                <w:color w:val="auto"/>
              </w:rPr>
            </w:pPr>
          </w:p>
        </w:tc>
        <w:tc>
          <w:tcPr>
            <w:tcW w:w="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47,139</w:t>
            </w:r>
          </w:p>
        </w:tc>
        <w:tc>
          <w:tcPr>
            <w:tcW w:w="22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61,606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In-process research and development</w:t>
            </w: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7,500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22,500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7,500</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9,455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12,250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19,116</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22,527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38,125</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67,782</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73,755</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106,633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7"/>
                <w:szCs w:val="17"/>
                <w:color w:val="auto"/>
              </w:rPr>
            </w:pPr>
          </w:p>
        </w:tc>
        <w:tc>
          <w:tcPr>
            <w:tcW w:w="14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(38,125)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(67,782)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(73,755)</w:t>
            </w:r>
          </w:p>
        </w:tc>
        <w:tc>
          <w:tcPr>
            <w:tcW w:w="260" w:type="dxa"/>
            <w:vAlign w:val="bottom"/>
          </w:tcPr>
          <w:p>
            <w:pPr>
              <w:spacing w:after="0"/>
              <w:rPr>
                <w:sz w:val="17"/>
                <w:szCs w:val="17"/>
                <w:color w:val="auto"/>
              </w:rPr>
            </w:pPr>
          </w:p>
        </w:tc>
        <w:tc>
          <w:tcPr>
            <w:tcW w:w="1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(106,633)</w:t>
            </w:r>
          </w:p>
        </w:tc>
        <w:tc>
          <w:tcPr>
            <w:tcW w:w="0" w:type="dxa"/>
            <w:vAlign w:val="bottom"/>
          </w:tcPr>
          <w:p>
            <w:pPr>
              <w:spacing w:after="0"/>
              <w:rPr>
                <w:sz w:val="1"/>
                <w:szCs w:val="1"/>
                <w:color w:val="auto"/>
              </w:rPr>
            </w:pPr>
          </w:p>
        </w:tc>
      </w:tr>
      <w:tr>
        <w:trPr>
          <w:trHeight w:val="203"/>
        </w:trPr>
        <w:tc>
          <w:tcPr>
            <w:tcW w:w="4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4,330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5,041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9,070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8,941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expense, net</w:t>
            </w: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(460)</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(157)</w:t>
            </w:r>
          </w:p>
        </w:tc>
        <w:tc>
          <w:tcPr>
            <w:tcW w:w="2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196"/>
        </w:trPr>
        <w:tc>
          <w:tcPr>
            <w:tcW w:w="47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Total other income (expense), net</w:t>
            </w:r>
          </w:p>
        </w:tc>
        <w:tc>
          <w:tcPr>
            <w:tcW w:w="2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4,249</w:t>
            </w: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4,581</w:t>
            </w: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8,913</w:t>
            </w: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8,415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(33,876)</w:t>
            </w:r>
          </w:p>
        </w:tc>
        <w:tc>
          <w:tcPr>
            <w:tcW w:w="380" w:type="dxa"/>
            <w:vAlign w:val="bottom"/>
            <w:gridSpan w:val="2"/>
            <w:shd w:val="clear" w:color="auto" w:fill="CFF0FC"/>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(63,201)</w:t>
            </w:r>
          </w:p>
        </w:tc>
        <w:tc>
          <w:tcPr>
            <w:tcW w:w="320" w:type="dxa"/>
            <w:vAlign w:val="bottom"/>
            <w:gridSpan w:val="2"/>
            <w:shd w:val="clear" w:color="auto" w:fill="CFF0FC"/>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color w:val="auto"/>
              </w:rPr>
              <w:t>(64,842)</w:t>
            </w:r>
          </w:p>
        </w:tc>
        <w:tc>
          <w:tcPr>
            <w:tcW w:w="260" w:type="dxa"/>
            <w:vAlign w:val="bottom"/>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(98,218)</w:t>
            </w: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00" w:type="dxa"/>
            <w:vAlign w:val="bottom"/>
          </w:tcPr>
          <w:p>
            <w:pPr>
              <w:spacing w:after="0" w:line="182" w:lineRule="exact"/>
              <w:rPr>
                <w:sz w:val="20"/>
                <w:szCs w:val="20"/>
                <w:color w:val="auto"/>
              </w:rPr>
            </w:pPr>
            <w:r>
              <w:rPr>
                <w:rFonts w:ascii="Arial" w:cs="Arial" w:eastAsia="Arial" w:hAnsi="Arial"/>
                <w:sz w:val="18"/>
                <w:szCs w:val="18"/>
                <w:color w:val="auto"/>
              </w:rPr>
              <w:t>Net loss per share, basic and diluted</w:t>
            </w: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(0.12)</w:t>
            </w:r>
          </w:p>
        </w:tc>
        <w:tc>
          <w:tcPr>
            <w:tcW w:w="38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(0.29)</w:t>
            </w:r>
          </w:p>
        </w:tc>
        <w:tc>
          <w:tcPr>
            <w:tcW w:w="32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(0.23)</w:t>
            </w: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700" w:type="dxa"/>
            <w:vAlign w:val="bottom"/>
            <w:shd w:val="clear" w:color="auto" w:fill="CFF0FC"/>
          </w:tcPr>
          <w:p>
            <w:pPr>
              <w:spacing w:after="0" w:line="164" w:lineRule="exact"/>
              <w:rPr>
                <w:sz w:val="20"/>
                <w:szCs w:val="20"/>
                <w:color w:val="auto"/>
              </w:rPr>
            </w:pPr>
            <w:r>
              <w:rPr>
                <w:rFonts w:ascii="Arial" w:cs="Arial" w:eastAsia="Arial" w:hAnsi="Arial"/>
                <w:sz w:val="18"/>
                <w:szCs w:val="18"/>
                <w:color w:val="auto"/>
              </w:rPr>
              <w:t>Weighted-average shares of common stock used in</w:t>
            </w:r>
          </w:p>
        </w:tc>
        <w:tc>
          <w:tcPr>
            <w:tcW w:w="200" w:type="dxa"/>
            <w:vAlign w:val="bottom"/>
            <w:shd w:val="clear" w:color="auto" w:fill="CFF0FC"/>
          </w:tcPr>
          <w:p>
            <w:pPr>
              <w:spacing w:after="0"/>
              <w:rPr>
                <w:sz w:val="14"/>
                <w:szCs w:val="14"/>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283,355,730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217,806,567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283,308,273</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184,484,154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700" w:type="dxa"/>
            <w:vAlign w:val="bottom"/>
            <w:tcBorders>
              <w:bottom w:val="single" w:sz="8" w:color="CFF0FC"/>
            </w:tcBorders>
            <w:shd w:val="clear" w:color="auto" w:fill="CFF0FC"/>
          </w:tcPr>
          <w:p>
            <w:pPr>
              <w:spacing w:after="0" w:line="161" w:lineRule="exact"/>
              <w:rPr>
                <w:sz w:val="20"/>
                <w:szCs w:val="20"/>
                <w:color w:val="auto"/>
              </w:rPr>
            </w:pPr>
            <w:r>
              <w:rPr>
                <w:rFonts w:ascii="Arial" w:cs="Arial" w:eastAsia="Arial" w:hAnsi="Arial"/>
                <w:sz w:val="18"/>
                <w:szCs w:val="18"/>
                <w:color w:val="auto"/>
              </w:rPr>
              <w:t>computing net loss per share, basic and diluted</w:t>
            </w: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700" w:type="dxa"/>
            <w:vAlign w:val="bottom"/>
          </w:tcPr>
          <w:p>
            <w:pPr>
              <w:spacing w:after="0" w:line="183" w:lineRule="exact"/>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Unrealized (loss) gain on marketable securities, net</w:t>
            </w: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(213)</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Pr>
          <w:p>
            <w:pPr>
              <w:spacing w:after="0" w:line="182" w:lineRule="exact"/>
              <w:rPr>
                <w:sz w:val="20"/>
                <w:szCs w:val="20"/>
                <w:color w:val="auto"/>
              </w:rPr>
            </w:pPr>
            <w:r>
              <w:rPr>
                <w:rFonts w:ascii="Arial" w:cs="Arial" w:eastAsia="Arial" w:hAnsi="Arial"/>
                <w:sz w:val="18"/>
                <w:szCs w:val="18"/>
                <w:color w:val="auto"/>
              </w:rPr>
              <w:t>Comprehensive loss</w:t>
            </w: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(34,089)</w:t>
            </w:r>
          </w:p>
        </w:tc>
        <w:tc>
          <w:tcPr>
            <w:tcW w:w="38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(63,187)</w:t>
            </w:r>
          </w:p>
        </w:tc>
        <w:tc>
          <w:tcPr>
            <w:tcW w:w="32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(64,832)</w:t>
            </w: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(98,491)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-1654175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-1654175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-1654175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-1654175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-1130935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-1130935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-1130935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-856615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-839470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-856615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-839470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-856615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-839470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-445135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-427990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-445135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-427990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-445135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-427990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-162560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-162560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-162560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Erasca,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1920" w:type="dxa"/>
            <w:vAlign w:val="bottom"/>
            <w:gridSpan w:val="5"/>
            <w:vMerge w:val="restart"/>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3"/>
                <w:szCs w:val="13"/>
                <w:color w:val="auto"/>
              </w:rPr>
            </w:pPr>
          </w:p>
        </w:tc>
        <w:tc>
          <w:tcPr>
            <w:tcW w:w="1920" w:type="dxa"/>
            <w:vAlign w:val="bottom"/>
            <w:tcBorders>
              <w:bottom w:val="single" w:sz="8" w:color="auto"/>
            </w:tcBorders>
            <w:gridSpan w:val="5"/>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rPr>
              <w:t>Comprehensive</w:t>
            </w:r>
          </w:p>
        </w:tc>
        <w:tc>
          <w:tcPr>
            <w:tcW w:w="130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94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68"/>
              <w:spacing w:after="0" w:line="155"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rPr>
              <w:t>Income (Loss)</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48"/>
              <w:spacing w:after="0" w:line="155" w:lineRule="exact"/>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68"/>
              <w:spacing w:after="0" w:line="155"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at December 31, 2024</w:t>
            </w: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283,218,344</w:t>
            </w:r>
          </w:p>
        </w:tc>
        <w:tc>
          <w:tcPr>
            <w:tcW w:w="32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w:t>
            </w:r>
          </w:p>
        </w:tc>
        <w:tc>
          <w:tcPr>
            <w:tcW w:w="36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1,190,729</w:t>
            </w:r>
          </w:p>
        </w:tc>
        <w:tc>
          <w:tcPr>
            <w:tcW w:w="32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405</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(767,663)</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423,499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80"/>
              <w:spacing w:after="0"/>
              <w:rPr>
                <w:sz w:val="20"/>
                <w:szCs w:val="20"/>
                <w:color w:val="auto"/>
              </w:rPr>
            </w:pPr>
            <w:r>
              <w:rPr>
                <w:rFonts w:ascii="Arial" w:cs="Arial" w:eastAsia="Arial" w:hAnsi="Arial"/>
                <w:sz w:val="14"/>
                <w:szCs w:val="14"/>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4"/>
                <w:szCs w:val="14"/>
                <w:color w:val="auto"/>
              </w:rPr>
              <w:t>47,372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ind w:left="80"/>
              <w:spacing w:after="0"/>
              <w:rPr>
                <w:sz w:val="20"/>
                <w:szCs w:val="20"/>
                <w:color w:val="auto"/>
              </w:rPr>
            </w:pPr>
            <w:r>
              <w:rPr>
                <w:rFonts w:ascii="Arial" w:cs="Arial" w:eastAsia="Arial" w:hAnsi="Arial"/>
                <w:sz w:val="14"/>
                <w:szCs w:val="14"/>
                <w:color w:val="auto"/>
              </w:rPr>
              <w:t>Stock-based compensation expense</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6,713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80"/>
              <w:spacing w:after="0"/>
              <w:rPr>
                <w:sz w:val="20"/>
                <w:szCs w:val="20"/>
                <w:color w:val="auto"/>
              </w:rPr>
            </w:pPr>
            <w:r>
              <w:rPr>
                <w:rFonts w:ascii="Arial" w:cs="Arial" w:eastAsia="Arial" w:hAnsi="Arial"/>
                <w:sz w:val="14"/>
                <w:szCs w:val="14"/>
                <w:color w:val="auto"/>
              </w:rPr>
              <w:t>Net loss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(30,966)</w:t>
            </w:r>
          </w:p>
        </w:tc>
        <w:tc>
          <w:tcPr>
            <w:tcW w:w="12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(30,966)</w:t>
            </w:r>
          </w:p>
        </w:tc>
        <w:tc>
          <w:tcPr>
            <w:tcW w:w="0" w:type="dxa"/>
            <w:vAlign w:val="bottom"/>
          </w:tcPr>
          <w:p>
            <w:pPr>
              <w:spacing w:after="0"/>
              <w:rPr>
                <w:sz w:val="1"/>
                <w:szCs w:val="1"/>
                <w:color w:val="auto"/>
              </w:rPr>
            </w:pPr>
          </w:p>
        </w:tc>
      </w:tr>
      <w:tr>
        <w:trPr>
          <w:trHeight w:val="162"/>
        </w:trPr>
        <w:tc>
          <w:tcPr>
            <w:tcW w:w="35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4"/>
                <w:szCs w:val="14"/>
                <w:color w:val="auto"/>
              </w:rPr>
              <w:t>Unrealized gain on marketable securities, net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223</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line="155" w:lineRule="exact"/>
              <w:rPr>
                <w:sz w:val="20"/>
                <w:szCs w:val="20"/>
                <w:color w:val="auto"/>
              </w:rPr>
            </w:pPr>
            <w:r>
              <w:rPr>
                <w:rFonts w:ascii="Arial" w:cs="Arial" w:eastAsia="Arial" w:hAnsi="Arial"/>
                <w:sz w:val="14"/>
                <w:szCs w:val="14"/>
                <w:color w:val="auto"/>
              </w:rPr>
              <w:t>Balance at March 31, 2025</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283,265,716</w:t>
            </w:r>
          </w:p>
        </w:tc>
        <w:tc>
          <w:tcPr>
            <w:tcW w:w="3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28</w:t>
            </w:r>
          </w:p>
        </w:tc>
        <w:tc>
          <w:tcPr>
            <w:tcW w:w="3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1,197,475</w:t>
            </w:r>
          </w:p>
        </w:tc>
        <w:tc>
          <w:tcPr>
            <w:tcW w:w="3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628</w:t>
            </w:r>
          </w:p>
        </w:tc>
        <w:tc>
          <w:tcPr>
            <w:tcW w:w="220" w:type="dxa"/>
            <w:vAlign w:val="bottom"/>
          </w:tcPr>
          <w:p>
            <w:pPr>
              <w:spacing w:after="0"/>
              <w:rPr>
                <w:sz w:val="13"/>
                <w:szCs w:val="13"/>
                <w:color w:val="auto"/>
              </w:rPr>
            </w:pP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(798,629)</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399,502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80" w:type="dxa"/>
            <w:vAlign w:val="bottom"/>
            <w:shd w:val="clear" w:color="auto" w:fill="CFF0FC"/>
          </w:tcPr>
          <w:p>
            <w:pPr>
              <w:ind w:left="80"/>
              <w:spacing w:after="0" w:line="143" w:lineRule="exact"/>
              <w:rPr>
                <w:sz w:val="20"/>
                <w:szCs w:val="20"/>
                <w:color w:val="auto"/>
              </w:rPr>
            </w:pPr>
            <w:r>
              <w:rPr>
                <w:rFonts w:ascii="Arial" w:cs="Arial" w:eastAsia="Arial" w:hAnsi="Arial"/>
                <w:sz w:val="14"/>
                <w:szCs w:val="14"/>
                <w:color w:val="auto"/>
              </w:rPr>
              <w:t>Exercise of stock options</w:t>
            </w:r>
          </w:p>
        </w:tc>
        <w:tc>
          <w:tcPr>
            <w:tcW w:w="9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63,332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43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43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80" w:type="dxa"/>
            <w:vAlign w:val="bottom"/>
          </w:tcPr>
          <w:p>
            <w:pPr>
              <w:ind w:left="80"/>
              <w:spacing w:after="0" w:line="153" w:lineRule="exact"/>
              <w:rPr>
                <w:sz w:val="20"/>
                <w:szCs w:val="20"/>
                <w:color w:val="auto"/>
              </w:rPr>
            </w:pPr>
            <w:r>
              <w:rPr>
                <w:rFonts w:ascii="Arial" w:cs="Arial" w:eastAsia="Arial" w:hAnsi="Arial"/>
                <w:sz w:val="14"/>
                <w:szCs w:val="14"/>
                <w:color w:val="auto"/>
              </w:rPr>
              <w:t>Issuance of common stock under the Employee</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580" w:type="dxa"/>
            <w:vAlign w:val="bottom"/>
          </w:tcPr>
          <w:p>
            <w:pPr>
              <w:ind w:left="80"/>
              <w:spacing w:after="0"/>
              <w:rPr>
                <w:sz w:val="20"/>
                <w:szCs w:val="20"/>
                <w:color w:val="auto"/>
              </w:rPr>
            </w:pPr>
            <w:r>
              <w:rPr>
                <w:rFonts w:ascii="Arial" w:cs="Arial" w:eastAsia="Arial" w:hAnsi="Arial"/>
                <w:sz w:val="14"/>
                <w:szCs w:val="14"/>
                <w:color w:val="auto"/>
              </w:rPr>
              <w:t>Stock Purchase Plan</w:t>
            </w:r>
          </w:p>
        </w:tc>
        <w:tc>
          <w:tcPr>
            <w:tcW w:w="940" w:type="dxa"/>
            <w:vAlign w:val="bottom"/>
          </w:tcPr>
          <w:p>
            <w:pPr>
              <w:jc w:val="right"/>
              <w:spacing w:after="0"/>
              <w:rPr>
                <w:sz w:val="20"/>
                <w:szCs w:val="20"/>
                <w:color w:val="auto"/>
              </w:rPr>
            </w:pPr>
            <w:r>
              <w:rPr>
                <w:rFonts w:ascii="Arial" w:cs="Arial" w:eastAsia="Arial" w:hAnsi="Arial"/>
                <w:sz w:val="14"/>
                <w:szCs w:val="14"/>
                <w:color w:val="auto"/>
              </w:rPr>
              <w:t>321,091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ind w:left="80"/>
              <w:spacing w:after="0"/>
              <w:rPr>
                <w:sz w:val="20"/>
                <w:szCs w:val="20"/>
                <w:color w:val="auto"/>
              </w:rPr>
            </w:pPr>
            <w:r>
              <w:rPr>
                <w:rFonts w:ascii="Arial" w:cs="Arial" w:eastAsia="Arial" w:hAnsi="Arial"/>
                <w:sz w:val="14"/>
                <w:szCs w:val="14"/>
                <w:color w:val="auto"/>
              </w:rPr>
              <w:t>Stock-based compensation expense</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6,398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6,398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80"/>
              <w:spacing w:after="0"/>
              <w:rPr>
                <w:sz w:val="20"/>
                <w:szCs w:val="20"/>
                <w:color w:val="auto"/>
              </w:rPr>
            </w:pPr>
            <w:r>
              <w:rPr>
                <w:rFonts w:ascii="Arial" w:cs="Arial" w:eastAsia="Arial" w:hAnsi="Arial"/>
                <w:sz w:val="14"/>
                <w:szCs w:val="14"/>
                <w:color w:val="auto"/>
              </w:rPr>
              <w:t>Net loss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(33,876)</w:t>
            </w:r>
          </w:p>
        </w:tc>
        <w:tc>
          <w:tcPr>
            <w:tcW w:w="12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(33,876)</w:t>
            </w: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ind w:left="80"/>
              <w:spacing w:after="0"/>
              <w:rPr>
                <w:sz w:val="20"/>
                <w:szCs w:val="20"/>
                <w:color w:val="auto"/>
              </w:rPr>
            </w:pPr>
            <w:r>
              <w:rPr>
                <w:rFonts w:ascii="Arial" w:cs="Arial" w:eastAsia="Arial" w:hAnsi="Arial"/>
                <w:sz w:val="14"/>
                <w:szCs w:val="14"/>
                <w:color w:val="auto"/>
              </w:rPr>
              <w:t>Unrealized loss on marketable securities, net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(213)</w:t>
            </w: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80" w:type="dxa"/>
            <w:vAlign w:val="bottom"/>
          </w:tcPr>
          <w:p>
            <w:pPr>
              <w:spacing w:after="0" w:line="155" w:lineRule="exact"/>
              <w:rPr>
                <w:sz w:val="20"/>
                <w:szCs w:val="20"/>
                <w:color w:val="auto"/>
              </w:rPr>
            </w:pPr>
            <w:r>
              <w:rPr>
                <w:rFonts w:ascii="Arial" w:cs="Arial" w:eastAsia="Arial" w:hAnsi="Arial"/>
                <w:sz w:val="14"/>
                <w:szCs w:val="14"/>
                <w:color w:val="auto"/>
              </w:rPr>
              <w:t>Balance at June 30, 2025</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283,650,139</w:t>
            </w:r>
          </w:p>
        </w:tc>
        <w:tc>
          <w:tcPr>
            <w:tcW w:w="220" w:type="dxa"/>
            <w:vAlign w:val="bottom"/>
            <w:gridSpan w:val="2"/>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28</w:t>
            </w:r>
          </w:p>
        </w:tc>
        <w:tc>
          <w:tcPr>
            <w:tcW w:w="3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1,204,320</w:t>
            </w:r>
          </w:p>
        </w:tc>
        <w:tc>
          <w:tcPr>
            <w:tcW w:w="3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415</w:t>
            </w:r>
          </w:p>
        </w:tc>
        <w:tc>
          <w:tcPr>
            <w:tcW w:w="220" w:type="dxa"/>
            <w:vAlign w:val="bottom"/>
          </w:tcPr>
          <w:p>
            <w:pPr>
              <w:spacing w:after="0"/>
              <w:rPr>
                <w:sz w:val="13"/>
                <w:szCs w:val="13"/>
                <w:color w:val="auto"/>
              </w:rPr>
            </w:pP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(832,505)</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372,258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1920" w:type="dxa"/>
            <w:vAlign w:val="bottom"/>
            <w:gridSpan w:val="5"/>
            <w:vMerge w:val="restart"/>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3580" w:type="dxa"/>
            <w:vAlign w:val="bottom"/>
          </w:tcPr>
          <w:p>
            <w:pPr>
              <w:spacing w:after="0"/>
              <w:rPr>
                <w:sz w:val="13"/>
                <w:szCs w:val="13"/>
                <w:color w:val="auto"/>
              </w:rPr>
            </w:pPr>
          </w:p>
        </w:tc>
        <w:tc>
          <w:tcPr>
            <w:tcW w:w="1920" w:type="dxa"/>
            <w:vAlign w:val="bottom"/>
            <w:tcBorders>
              <w:bottom w:val="single" w:sz="8" w:color="auto"/>
            </w:tcBorders>
            <w:gridSpan w:val="5"/>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rPr>
              <w:t>Comprehensive</w:t>
            </w:r>
          </w:p>
        </w:tc>
        <w:tc>
          <w:tcPr>
            <w:tcW w:w="130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94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68"/>
              <w:spacing w:after="0" w:line="155"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rPr>
              <w:t>Income (Loss)</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48"/>
              <w:spacing w:after="0" w:line="155" w:lineRule="exact"/>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68"/>
              <w:spacing w:after="0" w:line="155"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at December 31, 2023</w:t>
            </w: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151,462,103</w:t>
            </w:r>
          </w:p>
        </w:tc>
        <w:tc>
          <w:tcPr>
            <w:tcW w:w="32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w:t>
            </w:r>
          </w:p>
        </w:tc>
        <w:tc>
          <w:tcPr>
            <w:tcW w:w="36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922,607</w:t>
            </w:r>
          </w:p>
        </w:tc>
        <w:tc>
          <w:tcPr>
            <w:tcW w:w="32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77</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(606,013)</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316,686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80"/>
              <w:spacing w:after="0"/>
              <w:rPr>
                <w:sz w:val="20"/>
                <w:szCs w:val="20"/>
                <w:color w:val="auto"/>
              </w:rPr>
            </w:pPr>
            <w:r>
              <w:rPr>
                <w:rFonts w:ascii="Arial" w:cs="Arial" w:eastAsia="Arial" w:hAnsi="Arial"/>
                <w:sz w:val="14"/>
                <w:szCs w:val="14"/>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4"/>
                <w:szCs w:val="14"/>
                <w:color w:val="auto"/>
              </w:rPr>
              <w:t>35,035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ind w:left="80"/>
              <w:spacing w:after="0"/>
              <w:rPr>
                <w:sz w:val="20"/>
                <w:szCs w:val="20"/>
                <w:color w:val="auto"/>
              </w:rPr>
            </w:pPr>
            <w:r>
              <w:rPr>
                <w:rFonts w:ascii="Arial" w:cs="Arial" w:eastAsia="Arial" w:hAnsi="Arial"/>
                <w:sz w:val="14"/>
                <w:szCs w:val="14"/>
                <w:color w:val="auto"/>
              </w:rPr>
              <w:t>Vesting of early exercised stock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80"/>
              <w:spacing w:after="0"/>
              <w:rPr>
                <w:sz w:val="20"/>
                <w:szCs w:val="20"/>
                <w:color w:val="auto"/>
              </w:rPr>
            </w:pPr>
            <w:r>
              <w:rPr>
                <w:rFonts w:ascii="Arial" w:cs="Arial" w:eastAsia="Arial" w:hAnsi="Arial"/>
                <w:sz w:val="14"/>
                <w:szCs w:val="14"/>
                <w:color w:val="auto"/>
              </w:rPr>
              <w:t>Stock-based compensation expense</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6,848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6,848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ind w:left="80"/>
              <w:spacing w:after="0"/>
              <w:rPr>
                <w:sz w:val="20"/>
                <w:szCs w:val="20"/>
                <w:color w:val="auto"/>
              </w:rPr>
            </w:pPr>
            <w:r>
              <w:rPr>
                <w:rFonts w:ascii="Arial" w:cs="Arial" w:eastAsia="Arial" w:hAnsi="Arial"/>
                <w:sz w:val="14"/>
                <w:szCs w:val="14"/>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(35,017)</w:t>
            </w: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(35,017)</w:t>
            </w:r>
          </w:p>
        </w:tc>
        <w:tc>
          <w:tcPr>
            <w:tcW w:w="0" w:type="dxa"/>
            <w:vAlign w:val="bottom"/>
          </w:tcPr>
          <w:p>
            <w:pPr>
              <w:spacing w:after="0"/>
              <w:rPr>
                <w:sz w:val="1"/>
                <w:szCs w:val="1"/>
                <w:color w:val="auto"/>
              </w:rPr>
            </w:pPr>
          </w:p>
        </w:tc>
      </w:tr>
      <w:tr>
        <w:trPr>
          <w:trHeight w:val="162"/>
        </w:trPr>
        <w:tc>
          <w:tcPr>
            <w:tcW w:w="3580" w:type="dxa"/>
            <w:vAlign w:val="bottom"/>
          </w:tcPr>
          <w:p>
            <w:pPr>
              <w:ind w:left="80"/>
              <w:spacing w:after="0"/>
              <w:rPr>
                <w:sz w:val="20"/>
                <w:szCs w:val="20"/>
                <w:color w:val="auto"/>
              </w:rPr>
            </w:pPr>
            <w:r>
              <w:rPr>
                <w:rFonts w:ascii="Arial" w:cs="Arial" w:eastAsia="Arial" w:hAnsi="Arial"/>
                <w:sz w:val="14"/>
                <w:szCs w:val="14"/>
                <w:color w:val="auto"/>
              </w:rPr>
              <w:t>Unrealized loss on marketable securities, net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(287)</w:t>
            </w:r>
          </w:p>
        </w:tc>
        <w:tc>
          <w:tcPr>
            <w:tcW w:w="2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5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at March 31, 2024</w:t>
            </w: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151,497,138</w:t>
            </w:r>
          </w:p>
        </w:tc>
        <w:tc>
          <w:tcPr>
            <w:tcW w:w="220" w:type="dxa"/>
            <w:vAlign w:val="bottom"/>
            <w:gridSpan w:val="2"/>
            <w:shd w:val="clear" w:color="auto" w:fill="CFF0FC"/>
          </w:tcPr>
          <w:p>
            <w:pPr>
              <w:spacing w:after="0"/>
              <w:rPr>
                <w:sz w:val="17"/>
                <w:szCs w:val="17"/>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w:t>
            </w:r>
          </w:p>
        </w:tc>
        <w:tc>
          <w:tcPr>
            <w:tcW w:w="36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929,634</w:t>
            </w:r>
          </w:p>
        </w:tc>
        <w:tc>
          <w:tcPr>
            <w:tcW w:w="32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(210)</w:t>
            </w:r>
          </w:p>
        </w:tc>
        <w:tc>
          <w:tcPr>
            <w:tcW w:w="2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(641,030)</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288,409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580" w:type="dxa"/>
            <w:vAlign w:val="bottom"/>
            <w:tcBorders>
              <w:top w:val="single" w:sz="8" w:color="CFF0FC"/>
            </w:tcBorders>
          </w:tcPr>
          <w:p>
            <w:pPr>
              <w:ind w:left="80"/>
              <w:spacing w:after="0" w:line="133" w:lineRule="exact"/>
              <w:rPr>
                <w:sz w:val="20"/>
                <w:szCs w:val="20"/>
                <w:color w:val="auto"/>
              </w:rPr>
            </w:pPr>
            <w:r>
              <w:rPr>
                <w:rFonts w:ascii="Arial" w:cs="Arial" w:eastAsia="Arial" w:hAnsi="Arial"/>
                <w:sz w:val="14"/>
                <w:szCs w:val="14"/>
                <w:color w:val="auto"/>
              </w:rPr>
              <w:t>Issuance of common stock in private placement, net</w:t>
            </w: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80" w:type="dxa"/>
            <w:vAlign w:val="bottom"/>
          </w:tcPr>
          <w:p>
            <w:pPr>
              <w:ind w:left="80"/>
              <w:spacing w:after="0"/>
              <w:rPr>
                <w:sz w:val="20"/>
                <w:szCs w:val="20"/>
                <w:color w:val="auto"/>
              </w:rPr>
            </w:pPr>
            <w:r>
              <w:rPr>
                <w:rFonts w:ascii="Arial" w:cs="Arial" w:eastAsia="Arial" w:hAnsi="Arial"/>
                <w:sz w:val="14"/>
                <w:szCs w:val="14"/>
                <w:color w:val="auto"/>
              </w:rPr>
              <w:t>of $1,396 in fees and expenses</w:t>
            </w:r>
          </w:p>
        </w:tc>
        <w:tc>
          <w:tcPr>
            <w:tcW w:w="940" w:type="dxa"/>
            <w:vAlign w:val="bottom"/>
          </w:tcPr>
          <w:p>
            <w:pPr>
              <w:jc w:val="right"/>
              <w:spacing w:after="0"/>
              <w:rPr>
                <w:sz w:val="20"/>
                <w:szCs w:val="20"/>
                <w:color w:val="auto"/>
              </w:rPr>
            </w:pPr>
            <w:r>
              <w:rPr>
                <w:rFonts w:ascii="Arial" w:cs="Arial" w:eastAsia="Arial" w:hAnsi="Arial"/>
                <w:sz w:val="14"/>
                <w:szCs w:val="14"/>
                <w:color w:val="auto"/>
              </w:rPr>
              <w:t>21,844,660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43,602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43,604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80" w:type="dxa"/>
            <w:vAlign w:val="bottom"/>
            <w:shd w:val="clear" w:color="auto" w:fill="CFF0FC"/>
          </w:tcPr>
          <w:p>
            <w:pPr>
              <w:ind w:left="80"/>
              <w:spacing w:after="0" w:line="153" w:lineRule="exact"/>
              <w:rPr>
                <w:sz w:val="20"/>
                <w:szCs w:val="20"/>
                <w:color w:val="auto"/>
              </w:rPr>
            </w:pPr>
            <w:r>
              <w:rPr>
                <w:rFonts w:ascii="Arial" w:cs="Arial" w:eastAsia="Arial" w:hAnsi="Arial"/>
                <w:sz w:val="14"/>
                <w:szCs w:val="14"/>
                <w:color w:val="auto"/>
              </w:rPr>
              <w:t>Issuance of common stock in underwritten offering,</w:t>
            </w: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580" w:type="dxa"/>
            <w:vAlign w:val="bottom"/>
            <w:shd w:val="clear" w:color="auto" w:fill="CFF0FC"/>
          </w:tcPr>
          <w:p>
            <w:pPr>
              <w:ind w:left="80"/>
              <w:spacing w:after="0"/>
              <w:rPr>
                <w:sz w:val="20"/>
                <w:szCs w:val="20"/>
                <w:color w:val="auto"/>
              </w:rPr>
            </w:pPr>
            <w:r>
              <w:rPr>
                <w:rFonts w:ascii="Arial" w:cs="Arial" w:eastAsia="Arial" w:hAnsi="Arial"/>
                <w:sz w:val="14"/>
                <w:szCs w:val="14"/>
                <w:color w:val="auto"/>
              </w:rPr>
              <w:t>net of $9,574 in discounts and offering costs</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99,459,458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174,416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174,426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80"/>
              <w:spacing w:after="0"/>
              <w:rPr>
                <w:sz w:val="20"/>
                <w:szCs w:val="20"/>
                <w:color w:val="auto"/>
              </w:rPr>
            </w:pPr>
            <w:r>
              <w:rPr>
                <w:rFonts w:ascii="Arial" w:cs="Arial" w:eastAsia="Arial" w:hAnsi="Arial"/>
                <w:sz w:val="14"/>
                <w:szCs w:val="14"/>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4"/>
                <w:szCs w:val="14"/>
                <w:color w:val="auto"/>
              </w:rPr>
              <w:t>110,258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80" w:type="dxa"/>
            <w:vAlign w:val="bottom"/>
            <w:shd w:val="clear" w:color="auto" w:fill="CFF0FC"/>
          </w:tcPr>
          <w:p>
            <w:pPr>
              <w:ind w:left="80"/>
              <w:spacing w:after="0" w:line="153" w:lineRule="exact"/>
              <w:rPr>
                <w:sz w:val="20"/>
                <w:szCs w:val="20"/>
                <w:color w:val="auto"/>
              </w:rPr>
            </w:pPr>
            <w:r>
              <w:rPr>
                <w:rFonts w:ascii="Arial" w:cs="Arial" w:eastAsia="Arial" w:hAnsi="Arial"/>
                <w:sz w:val="14"/>
                <w:szCs w:val="14"/>
                <w:color w:val="auto"/>
              </w:rPr>
              <w:t>Issuance of common stock under the Employee</w:t>
            </w: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580" w:type="dxa"/>
            <w:vAlign w:val="bottom"/>
            <w:shd w:val="clear" w:color="auto" w:fill="CFF0FC"/>
          </w:tcPr>
          <w:p>
            <w:pPr>
              <w:ind w:left="80"/>
              <w:spacing w:after="0"/>
              <w:rPr>
                <w:sz w:val="20"/>
                <w:szCs w:val="20"/>
                <w:color w:val="auto"/>
              </w:rPr>
            </w:pPr>
            <w:r>
              <w:rPr>
                <w:rFonts w:ascii="Arial" w:cs="Arial" w:eastAsia="Arial" w:hAnsi="Arial"/>
                <w:sz w:val="14"/>
                <w:szCs w:val="14"/>
                <w:color w:val="auto"/>
              </w:rPr>
              <w:t>Stock Purchase Plan</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252,444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80"/>
              <w:spacing w:after="0"/>
              <w:rPr>
                <w:sz w:val="20"/>
                <w:szCs w:val="20"/>
                <w:color w:val="auto"/>
              </w:rPr>
            </w:pPr>
            <w:r>
              <w:rPr>
                <w:rFonts w:ascii="Arial" w:cs="Arial" w:eastAsia="Arial" w:hAnsi="Arial"/>
                <w:sz w:val="14"/>
                <w:szCs w:val="14"/>
                <w:color w:val="auto"/>
              </w:rPr>
              <w:t>Vesting of early exercised stock options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ind w:left="80"/>
              <w:spacing w:after="0"/>
              <w:rPr>
                <w:sz w:val="20"/>
                <w:szCs w:val="20"/>
                <w:color w:val="auto"/>
              </w:rPr>
            </w:pPr>
            <w:r>
              <w:rPr>
                <w:rFonts w:ascii="Arial" w:cs="Arial" w:eastAsia="Arial" w:hAnsi="Arial"/>
                <w:sz w:val="14"/>
                <w:szCs w:val="14"/>
                <w:color w:val="auto"/>
              </w:rPr>
              <w:t>Stock-based compensation expense</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7,180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7,180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80"/>
              <w:spacing w:after="0"/>
              <w:rPr>
                <w:sz w:val="20"/>
                <w:szCs w:val="20"/>
                <w:color w:val="auto"/>
              </w:rPr>
            </w:pPr>
            <w:r>
              <w:rPr>
                <w:rFonts w:ascii="Arial" w:cs="Arial" w:eastAsia="Arial" w:hAnsi="Arial"/>
                <w:sz w:val="14"/>
                <w:szCs w:val="14"/>
                <w:color w:val="auto"/>
              </w:rPr>
              <w:t>Net loss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(63,201)</w:t>
            </w:r>
          </w:p>
        </w:tc>
        <w:tc>
          <w:tcPr>
            <w:tcW w:w="12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(63,201)</w:t>
            </w:r>
          </w:p>
        </w:tc>
        <w:tc>
          <w:tcPr>
            <w:tcW w:w="0" w:type="dxa"/>
            <w:vAlign w:val="bottom"/>
          </w:tcPr>
          <w:p>
            <w:pPr>
              <w:spacing w:after="0"/>
              <w:rPr>
                <w:sz w:val="1"/>
                <w:szCs w:val="1"/>
                <w:color w:val="auto"/>
              </w:rPr>
            </w:pPr>
          </w:p>
        </w:tc>
      </w:tr>
      <w:tr>
        <w:trPr>
          <w:trHeight w:val="162"/>
        </w:trPr>
        <w:tc>
          <w:tcPr>
            <w:tcW w:w="35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4"/>
                <w:szCs w:val="14"/>
                <w:color w:val="auto"/>
              </w:rPr>
              <w:t>Unrealized gain on marketable securities, net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line="155" w:lineRule="exact"/>
              <w:rPr>
                <w:sz w:val="20"/>
                <w:szCs w:val="20"/>
                <w:color w:val="auto"/>
              </w:rPr>
            </w:pPr>
            <w:r>
              <w:rPr>
                <w:rFonts w:ascii="Arial" w:cs="Arial" w:eastAsia="Arial" w:hAnsi="Arial"/>
                <w:sz w:val="14"/>
                <w:szCs w:val="14"/>
                <w:color w:val="auto"/>
              </w:rPr>
              <w:t>Balance at June 30, 2024</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273,163,958</w:t>
            </w:r>
          </w:p>
        </w:tc>
        <w:tc>
          <w:tcPr>
            <w:tcW w:w="3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27</w:t>
            </w:r>
          </w:p>
        </w:tc>
        <w:tc>
          <w:tcPr>
            <w:tcW w:w="3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1,155,487</w:t>
            </w:r>
          </w:p>
        </w:tc>
        <w:tc>
          <w:tcPr>
            <w:tcW w:w="3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(196)</w:t>
            </w: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(704,231)</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451,087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-3470910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-3470910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-3470910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-3470910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-3470910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-3470910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-2716530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-2716530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-2716530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-2716530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-2716530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-2716530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-1293495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-1276350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-1293495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-1276350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-1293495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-1276350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-1293495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-1276350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-1293495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-1276350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-136525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-136525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-136525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-136525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-136525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Erasca,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Six Months Ended June 30,</w:t>
            </w:r>
          </w:p>
        </w:tc>
      </w:tr>
      <w:tr>
        <w:trPr>
          <w:trHeight w:val="196"/>
        </w:trPr>
        <w:tc>
          <w:tcPr>
            <w:tcW w:w="77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(64,842)</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(98,218)</w:t>
            </w: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1,609</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2,131</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13,111</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14,028</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In-process research and development expenses</w:t>
            </w:r>
          </w:p>
        </w:tc>
        <w:tc>
          <w:tcPr>
            <w:tcW w:w="3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7,500</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22,500</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Accretion on marketable securities, net</w:t>
            </w:r>
          </w:p>
        </w:tc>
        <w:tc>
          <w:tcPr>
            <w:tcW w:w="3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(3,485)</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(4,719)</w:t>
            </w: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Impairment charge on operating lease assets and property and equipment</w:t>
            </w:r>
          </w:p>
        </w:tc>
        <w:tc>
          <w:tcPr>
            <w:tcW w:w="320" w:type="dxa"/>
            <w:vAlign w:val="bottom"/>
          </w:tcPr>
          <w:p>
            <w:pPr>
              <w:spacing w:after="0"/>
              <w:rPr>
                <w:sz w:val="17"/>
                <w:szCs w:val="17"/>
                <w:color w:val="auto"/>
              </w:rPr>
            </w:pPr>
          </w:p>
        </w:tc>
        <w:tc>
          <w:tcPr>
            <w:tcW w:w="15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4,653</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Impairment charge on investment in equity securities</w:t>
            </w:r>
          </w:p>
        </w:tc>
        <w:tc>
          <w:tcPr>
            <w:tcW w:w="3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402</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Prepaid expenses and other current and long-term assets</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516</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(840)</w:t>
            </w:r>
          </w:p>
        </w:tc>
      </w:tr>
      <w:tr>
        <w:trPr>
          <w:trHeight w:val="203"/>
        </w:trPr>
        <w:tc>
          <w:tcPr>
            <w:tcW w:w="7720" w:type="dxa"/>
            <w:vAlign w:val="bottom"/>
          </w:tcPr>
          <w:p>
            <w:pPr>
              <w:ind w:left="600"/>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1,195</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(77)</w:t>
            </w:r>
          </w:p>
        </w:tc>
      </w:tr>
      <w:tr>
        <w:trPr>
          <w:trHeight w:val="203"/>
        </w:trPr>
        <w:tc>
          <w:tcPr>
            <w:tcW w:w="772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Accrued expenses and other current and long-term liabilities</w:t>
            </w:r>
          </w:p>
        </w:tc>
        <w:tc>
          <w:tcPr>
            <w:tcW w:w="3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(6,628)</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(2,313)</w:t>
            </w:r>
          </w:p>
        </w:tc>
      </w:tr>
      <w:tr>
        <w:trPr>
          <w:trHeight w:val="203"/>
        </w:trPr>
        <w:tc>
          <w:tcPr>
            <w:tcW w:w="7720" w:type="dxa"/>
            <w:vAlign w:val="bottom"/>
          </w:tcPr>
          <w:p>
            <w:pPr>
              <w:ind w:left="600"/>
              <w:spacing w:after="0" w:line="202" w:lineRule="exact"/>
              <w:rPr>
                <w:sz w:val="20"/>
                <w:szCs w:val="20"/>
                <w:color w:val="auto"/>
              </w:rPr>
            </w:pPr>
            <w:r>
              <w:rPr>
                <w:rFonts w:ascii="Arial" w:cs="Arial" w:eastAsia="Arial" w:hAnsi="Arial"/>
                <w:sz w:val="18"/>
                <w:szCs w:val="18"/>
                <w:color w:val="auto"/>
              </w:rPr>
              <w:t>Operating lease assets and liabilities, net</w:t>
            </w:r>
          </w:p>
        </w:tc>
        <w:tc>
          <w:tcPr>
            <w:tcW w:w="320" w:type="dxa"/>
            <w:vAlign w:val="bottom"/>
          </w:tcPr>
          <w:p>
            <w:pPr>
              <w:spacing w:after="0"/>
              <w:rPr>
                <w:sz w:val="17"/>
                <w:szCs w:val="17"/>
                <w:color w:val="auto"/>
              </w:rPr>
            </w:pPr>
          </w:p>
        </w:tc>
        <w:tc>
          <w:tcPr>
            <w:tcW w:w="15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(1,062)</w:t>
            </w: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(52,086)</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(62,434)</w:t>
            </w:r>
          </w:p>
        </w:tc>
      </w:tr>
      <w:tr>
        <w:trPr>
          <w:trHeight w:val="405"/>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Purchases of marketable securities</w:t>
            </w:r>
          </w:p>
        </w:tc>
        <w:tc>
          <w:tcPr>
            <w:tcW w:w="3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(67,204)</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(144,333)</w:t>
            </w: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Maturities of marketable securities</w:t>
            </w:r>
          </w:p>
        </w:tc>
        <w:tc>
          <w:tcPr>
            <w:tcW w:w="3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122,827</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90,250</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In-process research and development</w:t>
            </w:r>
          </w:p>
        </w:tc>
        <w:tc>
          <w:tcPr>
            <w:tcW w:w="3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(5,500)</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(22,500)</w:t>
            </w: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7"/>
                <w:szCs w:val="17"/>
                <w:color w:val="auto"/>
              </w:rPr>
            </w:pPr>
          </w:p>
        </w:tc>
        <w:tc>
          <w:tcPr>
            <w:tcW w:w="15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(113)</w:t>
            </w:r>
          </w:p>
        </w:tc>
        <w:tc>
          <w:tcPr>
            <w:tcW w:w="34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(55)</w:t>
            </w:r>
          </w:p>
        </w:tc>
      </w:tr>
      <w:tr>
        <w:trPr>
          <w:trHeight w:val="20"/>
        </w:trPr>
        <w:tc>
          <w:tcPr>
            <w:tcW w:w="7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50,010</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(76,638)</w:t>
            </w:r>
          </w:p>
        </w:tc>
      </w:tr>
      <w:tr>
        <w:trPr>
          <w:trHeight w:val="405"/>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Proceeds from issuance of common stock in private placement, net of fees and expenses</w:t>
            </w:r>
          </w:p>
        </w:tc>
        <w:tc>
          <w:tcPr>
            <w:tcW w:w="3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43,637</w:t>
            </w:r>
          </w:p>
        </w:tc>
        <w:tc>
          <w:tcPr>
            <w:tcW w:w="100" w:type="dxa"/>
            <w:vAlign w:val="bottom"/>
            <w:shd w:val="clear" w:color="auto" w:fill="CFF0FC"/>
          </w:tcPr>
          <w:p>
            <w:pPr>
              <w:spacing w:after="0"/>
              <w:rPr>
                <w:sz w:val="17"/>
                <w:szCs w:val="17"/>
                <w:color w:val="auto"/>
              </w:rPr>
            </w:pPr>
          </w:p>
        </w:tc>
      </w:tr>
      <w:tr>
        <w:trPr>
          <w:trHeight w:val="184"/>
        </w:trPr>
        <w:tc>
          <w:tcPr>
            <w:tcW w:w="7720" w:type="dxa"/>
            <w:vAlign w:val="bottom"/>
          </w:tcPr>
          <w:p>
            <w:pPr>
              <w:spacing w:after="0" w:line="183" w:lineRule="exact"/>
              <w:rPr>
                <w:sz w:val="20"/>
                <w:szCs w:val="20"/>
                <w:color w:val="auto"/>
              </w:rPr>
            </w:pPr>
            <w:r>
              <w:rPr>
                <w:rFonts w:ascii="Arial" w:cs="Arial" w:eastAsia="Arial" w:hAnsi="Arial"/>
                <w:sz w:val="18"/>
                <w:szCs w:val="18"/>
                <w:color w:val="auto"/>
              </w:rPr>
              <w:t>Proceeds from issuance of common stock in underwritten offering, net of discounts and</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7720" w:type="dxa"/>
            <w:vAlign w:val="bottom"/>
          </w:tcPr>
          <w:p>
            <w:pPr>
              <w:spacing w:after="0"/>
              <w:rPr>
                <w:sz w:val="20"/>
                <w:szCs w:val="20"/>
                <w:color w:val="auto"/>
              </w:rPr>
            </w:pPr>
            <w:r>
              <w:rPr>
                <w:rFonts w:ascii="Arial" w:cs="Arial" w:eastAsia="Arial" w:hAnsi="Arial"/>
                <w:sz w:val="18"/>
                <w:szCs w:val="18"/>
                <w:color w:val="auto"/>
              </w:rPr>
              <w:t>offering costs</w:t>
            </w:r>
          </w:p>
        </w:tc>
        <w:tc>
          <w:tcPr>
            <w:tcW w:w="32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174,638</w:t>
            </w:r>
          </w:p>
        </w:tc>
        <w:tc>
          <w:tcPr>
            <w:tcW w:w="100" w:type="dxa"/>
            <w:vAlign w:val="bottom"/>
          </w:tcPr>
          <w:p>
            <w:pPr>
              <w:spacing w:after="0"/>
              <w:rPr>
                <w:sz w:val="19"/>
                <w:szCs w:val="19"/>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Proceeds from the exercise of stock options</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Proceeds from issuance of common stock under the Employee Stock Purchase Plan</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404</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395</w:t>
            </w:r>
          </w:p>
        </w:tc>
        <w:tc>
          <w:tcPr>
            <w:tcW w:w="100" w:type="dxa"/>
            <w:vAlign w:val="bottom"/>
          </w:tcPr>
          <w:p>
            <w:pPr>
              <w:spacing w:after="0"/>
              <w:rPr>
                <w:sz w:val="17"/>
                <w:szCs w:val="17"/>
                <w:color w:val="auto"/>
              </w:rPr>
            </w:pPr>
          </w:p>
        </w:tc>
      </w:tr>
      <w:tr>
        <w:trPr>
          <w:trHeight w:val="19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financing activities</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480</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218,799</w:t>
            </w:r>
          </w:p>
        </w:tc>
        <w:tc>
          <w:tcPr>
            <w:tcW w:w="100" w:type="dxa"/>
            <w:vAlign w:val="bottom"/>
            <w:shd w:val="clear" w:color="auto" w:fill="CFF0FC"/>
          </w:tcPr>
          <w:p>
            <w:pPr>
              <w:spacing w:after="0"/>
              <w:rPr>
                <w:sz w:val="17"/>
                <w:szCs w:val="17"/>
                <w:color w:val="auto"/>
              </w:rPr>
            </w:pPr>
          </w:p>
        </w:tc>
      </w:tr>
      <w:tr>
        <w:trPr>
          <w:trHeight w:val="405"/>
        </w:trPr>
        <w:tc>
          <w:tcPr>
            <w:tcW w:w="7720" w:type="dxa"/>
            <w:vAlign w:val="bottom"/>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20" w:type="dxa"/>
            <w:vAlign w:val="bottom"/>
          </w:tcPr>
          <w:p>
            <w:pPr>
              <w:spacing w:after="0"/>
              <w:rPr>
                <w:sz w:val="24"/>
                <w:szCs w:val="24"/>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(1,596)</w:t>
            </w: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79,727</w:t>
            </w:r>
          </w:p>
        </w:tc>
        <w:tc>
          <w:tcPr>
            <w:tcW w:w="100" w:type="dxa"/>
            <w:vAlign w:val="bottom"/>
          </w:tcPr>
          <w:p>
            <w:pPr>
              <w:spacing w:after="0"/>
              <w:rPr>
                <w:sz w:val="24"/>
                <w:szCs w:val="24"/>
                <w:color w:val="auto"/>
              </w:rPr>
            </w:pPr>
          </w:p>
        </w:tc>
      </w:tr>
      <w:tr>
        <w:trPr>
          <w:trHeight w:val="203"/>
        </w:trPr>
        <w:tc>
          <w:tcPr>
            <w:tcW w:w="77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Cash, cash equivalents and restricted cash at beginning of the period</w:t>
            </w:r>
          </w:p>
        </w:tc>
        <w:tc>
          <w:tcPr>
            <w:tcW w:w="3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68,147</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93,483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spacing w:after="0" w:line="182" w:lineRule="exact"/>
              <w:rPr>
                <w:sz w:val="20"/>
                <w:szCs w:val="20"/>
                <w:color w:val="auto"/>
              </w:rPr>
            </w:pPr>
            <w:r>
              <w:rPr>
                <w:rFonts w:ascii="Arial" w:cs="Arial" w:eastAsia="Arial" w:hAnsi="Arial"/>
                <w:sz w:val="18"/>
                <w:szCs w:val="18"/>
                <w:color w:val="auto"/>
              </w:rPr>
              <w:t>Cash, cash equivalents and restricted cash at end of the period</w:t>
            </w:r>
          </w:p>
        </w:tc>
        <w:tc>
          <w:tcPr>
            <w:tcW w:w="32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66,551</w:t>
            </w:r>
          </w:p>
        </w:tc>
        <w:tc>
          <w:tcPr>
            <w:tcW w:w="26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173,210</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182" w:lineRule="exact"/>
              <w:rPr>
                <w:sz w:val="20"/>
                <w:szCs w:val="20"/>
                <w:color w:val="auto"/>
              </w:rPr>
            </w:pPr>
            <w:r>
              <w:rPr>
                <w:rFonts w:ascii="Arial" w:cs="Arial" w:eastAsia="Arial" w:hAnsi="Arial"/>
                <w:sz w:val="18"/>
                <w:szCs w:val="18"/>
                <w:color w:val="auto"/>
              </w:rPr>
              <w:t>Amounts accrued for in-process research and development</w:t>
            </w:r>
          </w:p>
        </w:tc>
        <w:tc>
          <w:tcPr>
            <w:tcW w:w="32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2,000</w:t>
            </w:r>
          </w:p>
        </w:tc>
        <w:tc>
          <w:tcPr>
            <w:tcW w:w="260" w:type="dxa"/>
            <w:vAlign w:val="bottom"/>
          </w:tcPr>
          <w:p>
            <w:pPr>
              <w:spacing w:after="0"/>
              <w:rPr>
                <w:sz w:val="17"/>
                <w:szCs w:val="17"/>
                <w:color w:val="auto"/>
              </w:rPr>
            </w:pP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r>
      <w:tr>
        <w:trPr>
          <w:trHeight w:val="20"/>
        </w:trPr>
        <w:tc>
          <w:tcPr>
            <w:tcW w:w="7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Vesting of early exercised options</w:t>
            </w:r>
          </w:p>
        </w:tc>
        <w:tc>
          <w:tcPr>
            <w:tcW w:w="32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7720" w:type="dxa"/>
            <w:vAlign w:val="bottom"/>
          </w:tcPr>
          <w:p>
            <w:pPr>
              <w:spacing w:after="0" w:line="182" w:lineRule="exact"/>
              <w:rPr>
                <w:sz w:val="20"/>
                <w:szCs w:val="20"/>
                <w:color w:val="auto"/>
              </w:rPr>
            </w:pPr>
            <w:r>
              <w:rPr>
                <w:rFonts w:ascii="Arial" w:cs="Arial" w:eastAsia="Arial" w:hAnsi="Arial"/>
                <w:sz w:val="18"/>
                <w:szCs w:val="18"/>
                <w:color w:val="auto"/>
              </w:rPr>
              <w:t>Amounts accrued for offering costs</w:t>
            </w:r>
          </w:p>
        </w:tc>
        <w:tc>
          <w:tcPr>
            <w:tcW w:w="32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80"/>
              <w:spacing w:after="0" w:line="182"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245</w:t>
            </w:r>
          </w:p>
        </w:tc>
        <w:tc>
          <w:tcPr>
            <w:tcW w:w="100" w:type="dxa"/>
            <w:vAlign w:val="bottom"/>
          </w:tcPr>
          <w:p>
            <w:pPr>
              <w:spacing w:after="0"/>
              <w:rPr>
                <w:sz w:val="15"/>
                <w:szCs w:val="15"/>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Amounts accrued for deferred offering costs</w:t>
            </w:r>
          </w:p>
        </w:tc>
        <w:tc>
          <w:tcPr>
            <w:tcW w:w="32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7720" w:type="dxa"/>
            <w:vAlign w:val="bottom"/>
          </w:tcPr>
          <w:p>
            <w:pPr>
              <w:spacing w:after="0" w:line="182" w:lineRule="exact"/>
              <w:rPr>
                <w:sz w:val="20"/>
                <w:szCs w:val="20"/>
                <w:color w:val="auto"/>
              </w:rPr>
            </w:pPr>
            <w:r>
              <w:rPr>
                <w:rFonts w:ascii="Arial" w:cs="Arial" w:eastAsia="Arial" w:hAnsi="Arial"/>
                <w:sz w:val="18"/>
                <w:szCs w:val="18"/>
                <w:color w:val="auto"/>
              </w:rPr>
              <w:t>Obligation accrued for investment in equity securities</w:t>
            </w:r>
          </w:p>
        </w:tc>
        <w:tc>
          <w:tcPr>
            <w:tcW w:w="32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80"/>
              <w:spacing w:after="0" w:line="182"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235</w:t>
            </w:r>
          </w:p>
        </w:tc>
        <w:tc>
          <w:tcPr>
            <w:tcW w:w="100" w:type="dxa"/>
            <w:vAlign w:val="bottom"/>
          </w:tcPr>
          <w:p>
            <w:pPr>
              <w:spacing w:after="0"/>
              <w:rPr>
                <w:sz w:val="15"/>
                <w:szCs w:val="15"/>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-1191260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-1191260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-488315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-471170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-179705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Erasca,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nature of operations</w:t>
      </w:r>
    </w:p>
    <w:p>
      <w:pPr>
        <w:spacing w:after="0" w:line="1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Erasca, Inc. (Erasca or the Company) is a clinical-stage precision oncology company singularly focused on discovering, developing, and commercializing therapies for patients with RAS/MAPK pathway-driven cancers. The Company has assembled a RAS/MAPK pathway-focused pipeline comprising modality-agnostic programs aligned with its three therapeutic strategies of: (1) targeting key upstream and downstream signaling nodes in the RAS/MAPK pathway; (2) targeting RAS directly; and (3) targeting escape routes that emerge in response to treatment. The Company was incorporated under the laws of the State of Delaware on July 2, 2018, as Erasca, Inc., and is headquartered in San Diego, California. In September 2020, the Company established a wholly-owned Australian subsidiary, Erasca Australia Pty Ltd (Erasca Australia), in order to conduct clinical activities in Australia for its development candidates. In November 2020, the Company entered into an agreement and plan of merger with Asana BioSciences, LLC (Asana) and ASN Product Development, Inc. (ASN) (the Asana Merger Agreement), pursuant to which ASN became the Company's wholly-owned subsidiary. In March 2021, the Company established a wholly-owned subsidiary, Erasca Ventures, LLC (Erasca Ventures), to make equity investments in early-stage biotechnology companies that are aligned with the Company’s mission and strategy.</w:t>
      </w:r>
    </w:p>
    <w:p>
      <w:pPr>
        <w:spacing w:after="0" w:line="17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Since inception, the Company has devoted substantially all of its efforts and resources to organizing and staffing the Company, business planning, raising capital, identifying, acquiring and in-licensing the Company’s product candidates, establishing its intellectual property portfolio, conducting research, preclinical studies, and clinical trials, establishing arrangements with third parties for the manufacture of its product candidates and related raw materials, and providing general and administrative support for these operations. As of June 30, 2025, the Company had $386.7 million in cash, cash equivalents and marketable securities. As of June 30, 2025, the Company had an accumulated deficit of $832.5 million. The Company has incurred significant operating losses and negative cash flows from operations. From its inception through June 30, 2025, the Company’s financial support has primarily been provided from the sale of its convertible preferred stock and the sale of its common stock in its initial public offering (IPO), underwritten offerings, a private placement of common stock, and an "at the market" offering (ATM Offering).</w:t>
      </w:r>
    </w:p>
    <w:p>
      <w:pPr>
        <w:spacing w:after="0" w:line="17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Company expects to use its cash, cash equivalents and marketable securities to fund research and development, working capital, and other general corporate purposes. The Company does not expect to generate any revenues from product sales unless and until the Company successfully completes development and obtains regulatory approval for any of its product candidates, which will not be for at least the next several years, if ever. Accordingly, until such time as the Company can generate significant revenue from sales of its product candidates, if ever, the Company expects to finance its cash needs through equity offerings, debt financings, or other capital sources, including potential collaborations, licenses or other similar arrangements. However, the Company may not be able to secure additional financing or enter into such other arrangements in a timely manner or on favorable terms, if at all. The Company’s failure to raise capital or enter into such other arrangements when needed would have a negative impact on the Company’s financial condition and could force the Company to delay, limit, reduce or terminate its research and development programs or other operations, or grant rights to develop and market product candidates that the Company would otherwise prefer to develop and market itself. The Company believes its cash, cash equivalents and marketable securities as of June 30, 2025 will be sufficient for the Company to fund operations for at least one year from the issuance date of these condensed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9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(US GAAP) for interim financial information and pursuant to Form 10-Q and Article 10 of Regulation S-X of the Securities and Exchange Commission (SEC). Accordingly, they do not include all of the information and notes required by US GAAP for complete financial statements. Any reference in these notes to applicable guidance is meant to refer to US GAAP as found in the Accounting Standards Codification (ASC) and Accounting Standards Updates (ASU) promulgated by the Financial Accounting Standards Board (FASB). The Company’s condensed consolidated financial statements include the accounts of the Company and its wholly-owned subsidiaries, Erasca Australia, ASN, and Erasca Ventures. All intercompany balances and transactions have been eliminated.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9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preparation of the Company’s condensed consolidated financial statements in conformity with US GAAP requires the Company to make estimates and assumptions that impact the reported amounts of assets, liabilities, expenses, and the disclosure of contingent assets and liabilities in the condensed consolidated financial statements and accompanying notes. Accounting estimates and management judgments reflected in the condensed consolidated financial statements include, but are not limited to, the accrual of research and development expenses, stock-based compensation expense, the fair value of long-lived assets, the fair value of equity investments and the incremental borrowing rate for determining the operating lease asset and liability. Management evaluates its estimates on an ongoing basis. Although estimates are based on the Company’s historical experience, knowledge of current events, and actions it may undertake in the future, actual results may ultimately materially differ from these estimates and assumptions.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9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accompanying condensed consolidated balance sheet as of June 30, 2025, the condensed consolidated statements of operations and comprehensive loss for the three and six months ended June 30, 2025 and 2024, the condensed consolidated statements of stockholders’ equity for the three and six months ended June 30, 2025 and 2024 and the condensed consolidated statements of cash flows for the six months ended June 30, 2025 and 2024 are unaudited. The unaudited condensed consolidated interim financial statements have been prepared on the same basis as the audited annual consolidated financial statements and, in the opinion of management, reflect all adjustments, which include only normal recurring adjustments, necessary for the fair statement of the Company’s condensed consolidated financial position as of June 30, 2025 and the condensed consolidated results of its operations and cash flows for the three and six months ended June 30, 2025 and 2024. The condensed consolidated financial data and other information disclosed in these notes related to the three and six months ended June 30, 2025 and 2024 are unaudited. The condensed consolidated results for the three and six months ended June 30, 2025 are not necessarily indicative of results to be expected for the year ending December 31, 2025, any other interim periods, or any future year or period. These unaudited condensed consolidated financial statements should be read in conjunction with the Company's audited consolidated financial statements included in its Annual Report on Form 10-K for the year ended December 31, 2024 filed with the SEC on March 20, 2025.</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off-balance sheet risk</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Financial instruments which potentially subject the Company to significant concentration of credit risk consist of cash and cash equivalents and marketable securities.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 The Company’s investment policy includes guidelines for the quality of the related institutions and financial instruments and defines allowable investments that the Company may invest in, which the Company believes minimizes the exposure to concentration of credit risk.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98"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Cash and cash equivalents include cash in readily available checking and savings accounts and money market funds. The Company considers all highly liquid investments with an original maturity of three months or less from the date of purchase to be cash equivalents.</w:t>
      </w:r>
    </w:p>
    <w:p>
      <w:pPr>
        <w:spacing w:after="0" w:line="14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had deposited cash of $408,000 as of June 30, 2025 and December 31, 2024 to secure a letter of credit in connection with the lease of the Company’s facilities (see Note 11). The Company has classified the restricted cash as a noncurrent asset on its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8" w:name="page9"/>
    <w:bookmarkEnd w:id="8"/>
    <w:p>
      <w:pPr>
        <w:ind w:right="320"/>
        <w:spacing w:after="0" w:line="271"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amounts shown in the condensed consolidated statements of cash flows (in thousands):</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4"/>
              <w:spacing w:after="0" w:line="183" w:lineRule="exact"/>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2"/>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23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66,143</w:t>
            </w:r>
          </w:p>
        </w:tc>
        <w:tc>
          <w:tcPr>
            <w:tcW w:w="62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172,802</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2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408</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408</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cash, cash equivalents and restricted cash</w:t>
            </w:r>
          </w:p>
        </w:tc>
        <w:tc>
          <w:tcPr>
            <w:tcW w:w="23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66,551</w:t>
            </w:r>
          </w:p>
        </w:tc>
        <w:tc>
          <w:tcPr>
            <w:tcW w:w="62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173,210</w:t>
            </w:r>
          </w:p>
        </w:tc>
        <w:tc>
          <w:tcPr>
            <w:tcW w:w="100" w:type="dxa"/>
            <w:vAlign w:val="bottom"/>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 and investments</w:t>
      </w:r>
    </w:p>
    <w:p>
      <w:pPr>
        <w:spacing w:after="0" w:line="19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Company classifies all marketable securities as available-for-sale, as the sale of such securities may be required prior to maturity. Management determines the appropriate classification of its marketable securities at the time of purchase. Marketable securities with original maturities beyond three months at the date of purchase and which mature at, or less than 12 months from, the balance sheet date are classified as short-term marketable securities. Available-for-sale securities are carried at fair value, with the unrealized gains and losses reported as accumulated other comprehensive income (loss) until realized. The amortized cost of available-for-sale debt securities is adjusted for amortization of premiums and accretion of discounts to maturity. Such amortization and accretion are included in interest income. The Company regularly reviews all of its marketable securities for declines in fair value. The review includes the consideration of the cause of the impairment, including the creditworthiness of the security issuers, the number of securities in an unrealized loss position, the severity of the unrealized loss(es), whether the Company has the intent to sell the securities and whether it is more likely than not that the Company will be required to sell the securities before the recovery of their amortized cost basis. If the decline in fair value is due to credit-related factors, a loss is recognized in net income; whereas, if the decline in fair value is not due to credit-related factors, the loss is recorded in other comprehensive income (loss). Realized gains and losses on available-for-sale securities are included in other income or expense. The cost of securities sold is based on the specific identification method. Interest and dividends on securities classified as available-for-sale are included in interest income.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related to the Company's available-for-sale securities is presented within prepaid expenses and other current assets on the Company's condensed consolidated balance sheets. For purposes of identifying and measuring credit-related impairments, the Company’s policy is to exclude applicable accrued interest from both the fair value and the amortized cost basis of available-for-sale securities and to not measure an allowance for credit loss for accrued interest. The Company has elected to write-off any uncollectible accrued interest as a reversal of interest income in a timely manner, which the Company considers to be in the period in which it determines the accrued interest will not be collected by the Company. To date, the Company has not written off any accrued interest associated with its available-for-sale securities.</w:t>
      </w:r>
    </w:p>
    <w:p>
      <w:pPr>
        <w:spacing w:after="0" w:line="17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Through its wholly-owned subsidiary, Erasca Ventures, the Company has also invested in equity securities of companies whose securities are not publicly traded and whose fair value is not readily available (see Note 3). These investments are recorded using cost minus impairment, plus or minus changes in their estimated fair values resulting from observable price changes in orderly transactions for the identical or a similar investment of the same issuer. Investments in equity securities without readily determinable fair values are assessed for potential impairment on a quarterly basis based on qualitative factors. These investments are included in other assets in the Company's condensed consolidated balance sheets.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98"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Certain assets and liabilities are carried at fair value under US GAAP.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Financial assets and liabilities carried at fair value are classified and disclosed in one of the following three levels of the fair value hierarchy, of which the first two are considered observable and the last is considered unobservable:</w:t>
      </w:r>
    </w:p>
    <w:p>
      <w:pPr>
        <w:spacing w:after="0" w:line="163"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Level 1—Unadjusted quoted prices in active markets that are accessible at the measurement date for identical, unrestricted assets or liabilities.</w:t>
      </w:r>
    </w:p>
    <w:p>
      <w:pPr>
        <w:spacing w:after="0" w:line="140"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Level 2—Quoted prices for similar assets and liabilities in active markets, quoted prices in markets that are not active, or inputs which are observable, either directly or indirectly, for substantially the full term of the asset or liability.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9" w:name="page10"/>
    <w:bookmarkEnd w:id="9"/>
    <w:p>
      <w:pPr>
        <w:ind w:right="360"/>
        <w:spacing w:after="0" w:line="271" w:lineRule="auto"/>
        <w:rPr>
          <w:sz w:val="20"/>
          <w:szCs w:val="20"/>
          <w:color w:val="auto"/>
        </w:rPr>
      </w:pPr>
      <w:r>
        <w:rPr>
          <w:rFonts w:ascii="Arial" w:cs="Arial" w:eastAsia="Arial" w:hAnsi="Arial"/>
          <w:sz w:val="18"/>
          <w:szCs w:val="18"/>
          <w:color w:val="auto"/>
        </w:rPr>
        <w:t>Level 3—Prices or valuation techniques that require inputs that are both significant to the fair value measurement and unobservable (i.e., supported by little or no market activity).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new accounting pronouncements are issued by the FASB or other standard setting bodies that the Company adopts as of the specified effective date. The Company qualifies as an “emerging growth company” as defined in the Jumpstart Our Business Startups Act of 2012 (JOBS Act)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p>
    <w:p>
      <w:pPr>
        <w:spacing w:after="0" w:line="17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December 2023, the FASB issued ASU 2023-09, Income Taxes (Topic 740): Improvements to Income Tax Disclosures, which is intended to provide enhancements to annual income tax disclosures. In particular, the standard will require more detailed information in the income tax rate reconciliation, as well as the disclosure of income taxes paid disaggregated by jurisdiction, among other enhancements. The standard is effective for the Company in its annual period beginning after December 15, 2025 and early adoption is permitted. The standard allows for adoption on a prospective basis, with a retrospective option. The Company is currently evaluating the impact of the standard on the presentation of its consolidated financial statements and related disclosures.</w:t>
      </w:r>
    </w:p>
    <w:p>
      <w:pPr>
        <w:spacing w:after="0" w:line="16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In November 2024, the FASB issued ASU No. 2024-03, Income Statement - Reporting Comprehensive Income - Expense Disaggregation Disclosures (Subtopic 220-40): Disaggregation of Income Statement Expenses, which is intended to improve the disclosures of expenses by providing more detailed information about the types of expenses in commonly presented expense captions. The standard is effective for annual reporting periods beginning after December 15, 2026, and interim reporting periods beginning after December 15, 2027. Early adoption is permitted. The standard can be applied either prospectively or retrospectively. The Company is currently evaluating the impact of the standard on the presentation of its consolidated financial statements and related disclosures.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9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following tables summarize the Company’s financial assets measured at fair value on a recurring basis and their respective input levels based on the fair value hierarchy (in thousands):</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rPr>
              <w:t>Fair value measurements as of June 30, 2025 using</w:t>
            </w:r>
          </w:p>
        </w:tc>
      </w:tr>
      <w:tr>
        <w:trPr>
          <w:trHeight w:val="168"/>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Borders>
              <w:top w:val="single" w:sz="8" w:color="auto"/>
            </w:tcBorders>
            <w:gridSpan w:val="2"/>
          </w:tcPr>
          <w:p>
            <w:pPr>
              <w:jc w:val="center"/>
              <w:spacing w:after="0" w:line="168" w:lineRule="exact"/>
              <w:rPr>
                <w:sz w:val="20"/>
                <w:szCs w:val="20"/>
                <w:color w:val="auto"/>
              </w:rPr>
            </w:pPr>
            <w:r>
              <w:rPr>
                <w:rFonts w:ascii="Arial" w:cs="Arial" w:eastAsia="Arial" w:hAnsi="Arial"/>
                <w:sz w:val="16"/>
                <w:szCs w:val="16"/>
                <w:b w:val="1"/>
                <w:bCs w:val="1"/>
                <w:color w:val="auto"/>
              </w:rPr>
              <w:t>Quoted prices</w:t>
            </w:r>
          </w:p>
        </w:tc>
        <w:tc>
          <w:tcPr>
            <w:tcW w:w="2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32"/>
              <w:spacing w:after="0"/>
              <w:rPr>
                <w:sz w:val="20"/>
                <w:szCs w:val="20"/>
                <w:color w:val="auto"/>
              </w:rPr>
            </w:pPr>
            <w:r>
              <w:rPr>
                <w:rFonts w:ascii="Arial" w:cs="Arial" w:eastAsia="Arial" w:hAnsi="Arial"/>
                <w:sz w:val="16"/>
                <w:szCs w:val="16"/>
                <w:b w:val="1"/>
                <w:bCs w:val="1"/>
                <w:color w:val="auto"/>
                <w:w w:val="98"/>
              </w:rPr>
              <w:t>in</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92"/>
              <w:spacing w:after="0"/>
              <w:rPr>
                <w:sz w:val="20"/>
                <w:szCs w:val="20"/>
                <w:color w:val="auto"/>
              </w:rPr>
            </w:pPr>
            <w:r>
              <w:rPr>
                <w:rFonts w:ascii="Arial" w:cs="Arial" w:eastAsia="Arial" w:hAnsi="Arial"/>
                <w:sz w:val="16"/>
                <w:szCs w:val="16"/>
                <w:b w:val="1"/>
                <w:bCs w:val="1"/>
                <w:color w:val="auto"/>
              </w:rPr>
              <w:t>Significant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active markets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92"/>
              <w:spacing w:after="0"/>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unobservable</w:t>
            </w:r>
          </w:p>
        </w:tc>
      </w:tr>
      <w:tr>
        <w:trPr>
          <w:trHeight w:val="189"/>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252"/>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52"/>
              <w:spacing w:after="0"/>
              <w:rPr>
                <w:sz w:val="20"/>
                <w:szCs w:val="20"/>
                <w:color w:val="auto"/>
              </w:rPr>
            </w:pPr>
            <w:r>
              <w:rPr>
                <w:rFonts w:ascii="Arial" w:cs="Arial" w:eastAsia="Arial" w:hAnsi="Arial"/>
                <w:sz w:val="16"/>
                <w:szCs w:val="16"/>
                <w:b w:val="1"/>
                <w:bCs w:val="1"/>
                <w:color w:val="auto"/>
              </w:rPr>
              <w:t>for identical</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92"/>
              <w:spacing w:after="0"/>
              <w:rPr>
                <w:sz w:val="20"/>
                <w:szCs w:val="20"/>
                <w:color w:val="auto"/>
              </w:rPr>
            </w:pPr>
            <w:r>
              <w:rPr>
                <w:rFonts w:ascii="Arial" w:cs="Arial" w:eastAsia="Arial" w:hAnsi="Arial"/>
                <w:sz w:val="16"/>
                <w:szCs w:val="16"/>
                <w:b w:val="1"/>
                <w:bCs w:val="1"/>
                <w:color w:val="auto"/>
              </w:rPr>
              <w:t>observable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inputs</w:t>
            </w: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392"/>
              <w:spacing w:after="0"/>
              <w:rPr>
                <w:sz w:val="20"/>
                <w:szCs w:val="20"/>
                <w:color w:val="auto"/>
              </w:rPr>
            </w:pPr>
            <w:r>
              <w:rPr>
                <w:rFonts w:ascii="Arial" w:cs="Arial" w:eastAsia="Arial" w:hAnsi="Arial"/>
                <w:sz w:val="16"/>
                <w:szCs w:val="16"/>
                <w:b w:val="1"/>
                <w:bCs w:val="1"/>
                <w:color w:val="auto"/>
              </w:rPr>
              <w:t>2025</w:t>
            </w:r>
          </w:p>
        </w:tc>
        <w:tc>
          <w:tcPr>
            <w:tcW w:w="28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assets (level 1)</w:t>
            </w:r>
          </w:p>
        </w:tc>
        <w:tc>
          <w:tcPr>
            <w:tcW w:w="26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inputs (level 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(level 3)</w:t>
            </w:r>
          </w:p>
        </w:tc>
      </w:tr>
      <w:tr>
        <w:trPr>
          <w:trHeight w:val="196"/>
        </w:trPr>
        <w:tc>
          <w:tcPr>
            <w:tcW w:w="20" w:type="dxa"/>
            <w:vAlign w:val="bottom"/>
          </w:tcPr>
          <w:p>
            <w:pPr>
              <w:spacing w:after="0"/>
              <w:rPr>
                <w:sz w:val="17"/>
                <w:szCs w:val="17"/>
                <w:color w:val="auto"/>
              </w:rPr>
            </w:pPr>
          </w:p>
        </w:tc>
        <w:tc>
          <w:tcPr>
            <w:tcW w:w="51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120"/>
              <w:spacing w:after="0" w:line="202" w:lineRule="exact"/>
              <w:rPr>
                <w:sz w:val="20"/>
                <w:szCs w:val="20"/>
                <w:color w:val="auto"/>
              </w:rPr>
            </w:pPr>
            <w:r>
              <w:rPr>
                <w:rFonts w:ascii="Arial" w:cs="Arial" w:eastAsia="Arial" w:hAnsi="Arial"/>
                <w:sz w:val="17"/>
                <w:szCs w:val="17"/>
                <w:color w:val="auto"/>
              </w:rPr>
              <w:t>Money market funds</w:t>
            </w:r>
            <w:r>
              <w:rPr>
                <w:rFonts w:ascii="Arial" w:cs="Arial" w:eastAsia="Arial" w:hAnsi="Arial"/>
                <w:sz w:val="23"/>
                <w:szCs w:val="23"/>
                <w:color w:val="auto"/>
                <w:vertAlign w:val="superscript"/>
              </w:rPr>
              <w:t>(1)</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62,337</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62,337</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100" w:type="dxa"/>
            <w:vAlign w:val="bottom"/>
            <w:shd w:val="clear" w:color="auto" w:fill="CFF0FC"/>
          </w:tcPr>
          <w:p>
            <w:pPr>
              <w:ind w:left="120"/>
              <w:spacing w:after="0" w:line="202" w:lineRule="exact"/>
              <w:rPr>
                <w:sz w:val="20"/>
                <w:szCs w:val="20"/>
                <w:color w:val="auto"/>
              </w:rPr>
            </w:pPr>
            <w:r>
              <w:rPr>
                <w:rFonts w:ascii="Arial" w:cs="Arial" w:eastAsia="Arial" w:hAnsi="Arial"/>
                <w:sz w:val="17"/>
                <w:szCs w:val="17"/>
                <w:color w:val="auto"/>
              </w:rPr>
              <w:t>US treasury securities</w:t>
            </w:r>
            <w:r>
              <w:rPr>
                <w:rFonts w:ascii="Arial" w:cs="Arial" w:eastAsia="Arial" w:hAnsi="Arial"/>
                <w:sz w:val="23"/>
                <w:szCs w:val="23"/>
                <w:color w:val="auto"/>
                <w:vertAlign w:val="superscript"/>
              </w:rPr>
              <w:t>(2)</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80,844</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80,844</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100" w:type="dxa"/>
            <w:vAlign w:val="bottom"/>
          </w:tcPr>
          <w:p>
            <w:pPr>
              <w:ind w:left="120"/>
              <w:spacing w:after="0" w:line="202" w:lineRule="exact"/>
              <w:rPr>
                <w:sz w:val="20"/>
                <w:szCs w:val="20"/>
                <w:color w:val="auto"/>
              </w:rPr>
            </w:pPr>
            <w:r>
              <w:rPr>
                <w:rFonts w:ascii="Arial" w:cs="Arial" w:eastAsia="Arial" w:hAnsi="Arial"/>
                <w:sz w:val="17"/>
                <w:szCs w:val="17"/>
                <w:color w:val="auto"/>
              </w:rPr>
              <w:t>US government agency securities</w:t>
            </w:r>
            <w:r>
              <w:rPr>
                <w:rFonts w:ascii="Arial" w:cs="Arial" w:eastAsia="Arial" w:hAnsi="Arial"/>
                <w:sz w:val="23"/>
                <w:szCs w:val="23"/>
                <w:color w:val="auto"/>
                <w:vertAlign w:val="superscript"/>
              </w:rPr>
              <w:t>(2)</w:t>
            </w: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41,904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41,904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100" w:type="dxa"/>
            <w:vAlign w:val="bottom"/>
            <w:shd w:val="clear" w:color="auto" w:fill="CFF0FC"/>
          </w:tcPr>
          <w:p>
            <w:pPr>
              <w:ind w:left="120"/>
              <w:spacing w:after="0" w:line="202" w:lineRule="exact"/>
              <w:rPr>
                <w:sz w:val="20"/>
                <w:szCs w:val="20"/>
                <w:color w:val="auto"/>
              </w:rPr>
            </w:pPr>
            <w:r>
              <w:rPr>
                <w:rFonts w:ascii="Arial" w:cs="Arial" w:eastAsia="Arial" w:hAnsi="Arial"/>
                <w:sz w:val="17"/>
                <w:szCs w:val="17"/>
                <w:color w:val="auto"/>
              </w:rPr>
              <w:t>Corporate debt securities</w:t>
            </w:r>
            <w:r>
              <w:rPr>
                <w:rFonts w:ascii="Arial" w:cs="Arial" w:eastAsia="Arial" w:hAnsi="Arial"/>
                <w:sz w:val="23"/>
                <w:szCs w:val="23"/>
                <w:color w:val="auto"/>
                <w:vertAlign w:val="superscript"/>
              </w:rPr>
              <w:t>(2)</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4,993</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4,993</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100" w:type="dxa"/>
            <w:vAlign w:val="bottom"/>
          </w:tcPr>
          <w:p>
            <w:pPr>
              <w:ind w:left="120"/>
              <w:spacing w:after="0" w:line="202" w:lineRule="exact"/>
              <w:rPr>
                <w:sz w:val="20"/>
                <w:szCs w:val="20"/>
                <w:color w:val="auto"/>
              </w:rPr>
            </w:pPr>
            <w:r>
              <w:rPr>
                <w:rFonts w:ascii="Arial" w:cs="Arial" w:eastAsia="Arial" w:hAnsi="Arial"/>
                <w:sz w:val="17"/>
                <w:szCs w:val="17"/>
                <w:color w:val="auto"/>
              </w:rPr>
              <w:t>Commercial paper</w:t>
            </w:r>
            <w:r>
              <w:rPr>
                <w:rFonts w:ascii="Arial" w:cs="Arial" w:eastAsia="Arial" w:hAnsi="Arial"/>
                <w:sz w:val="23"/>
                <w:szCs w:val="23"/>
                <w:color w:val="auto"/>
                <w:vertAlign w:val="superscript"/>
              </w:rPr>
              <w:t>(2)</w:t>
            </w: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101,762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101,762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100" w:type="dxa"/>
            <w:vAlign w:val="bottom"/>
            <w:shd w:val="clear" w:color="auto" w:fill="CFF0FC"/>
          </w:tcPr>
          <w:p>
            <w:pPr>
              <w:ind w:left="120"/>
              <w:spacing w:after="0" w:line="202" w:lineRule="exact"/>
              <w:rPr>
                <w:sz w:val="20"/>
                <w:szCs w:val="20"/>
                <w:color w:val="auto"/>
              </w:rPr>
            </w:pPr>
            <w:r>
              <w:rPr>
                <w:rFonts w:ascii="Arial" w:cs="Arial" w:eastAsia="Arial" w:hAnsi="Arial"/>
                <w:sz w:val="17"/>
                <w:szCs w:val="17"/>
                <w:color w:val="auto"/>
              </w:rPr>
              <w:t>Yankee debt securities</w:t>
            </w:r>
            <w:r>
              <w:rPr>
                <w:rFonts w:ascii="Arial" w:cs="Arial" w:eastAsia="Arial" w:hAnsi="Arial"/>
                <w:sz w:val="23"/>
                <w:szCs w:val="23"/>
                <w:color w:val="auto"/>
                <w:vertAlign w:val="superscript"/>
              </w:rPr>
              <w:t>(2)</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5,015</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5,015</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100" w:type="dxa"/>
            <w:vAlign w:val="bottom"/>
          </w:tcPr>
          <w:p>
            <w:pPr>
              <w:ind w:left="120"/>
              <w:spacing w:after="0" w:line="202" w:lineRule="exact"/>
              <w:rPr>
                <w:sz w:val="20"/>
                <w:szCs w:val="20"/>
                <w:color w:val="auto"/>
              </w:rPr>
            </w:pPr>
            <w:r>
              <w:rPr>
                <w:rFonts w:ascii="Arial" w:cs="Arial" w:eastAsia="Arial" w:hAnsi="Arial"/>
                <w:sz w:val="17"/>
                <w:szCs w:val="17"/>
                <w:color w:val="auto"/>
              </w:rPr>
              <w:t>US treasury securities</w:t>
            </w:r>
            <w:r>
              <w:rPr>
                <w:rFonts w:ascii="Arial" w:cs="Arial" w:eastAsia="Arial" w:hAnsi="Arial"/>
                <w:sz w:val="23"/>
                <w:szCs w:val="23"/>
                <w:color w:val="auto"/>
                <w:vertAlign w:val="superscript"/>
              </w:rPr>
              <w:t>(3)</w:t>
            </w: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51,891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51,891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10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7"/>
                <w:szCs w:val="17"/>
                <w:color w:val="auto"/>
              </w:rPr>
              <w:t>US government agency securities</w:t>
            </w:r>
            <w:r>
              <w:rPr>
                <w:rFonts w:ascii="Arial" w:cs="Arial" w:eastAsia="Arial" w:hAnsi="Arial"/>
                <w:sz w:val="23"/>
                <w:szCs w:val="23"/>
                <w:color w:val="auto"/>
                <w:vertAlign w:val="superscript"/>
              </w:rPr>
              <w:t>(3)</w:t>
            </w:r>
          </w:p>
        </w:tc>
        <w:tc>
          <w:tcPr>
            <w:tcW w:w="2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34,197</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34,197</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ind w:left="1000"/>
              <w:spacing w:after="0" w:line="202" w:lineRule="exact"/>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100" w:type="dxa"/>
            <w:vAlign w:val="bottom"/>
          </w:tcPr>
          <w:p>
            <w:pPr>
              <w:spacing w:after="0" w:line="196" w:lineRule="exact"/>
              <w:rPr>
                <w:sz w:val="20"/>
                <w:szCs w:val="20"/>
                <w:color w:val="auto"/>
              </w:rPr>
            </w:pPr>
            <w:r>
              <w:rPr>
                <w:rFonts w:ascii="Arial" w:cs="Arial" w:eastAsia="Arial" w:hAnsi="Arial"/>
                <w:sz w:val="18"/>
                <w:szCs w:val="18"/>
                <w:color w:val="auto"/>
              </w:rPr>
              <w:t>Total fair value of assets</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382,943</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195,072</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187,871</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tcPr>
          <w:p>
            <w:pPr>
              <w:ind w:left="1000"/>
              <w:spacing w:after="0" w:line="196"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-162560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-162560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-162560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-162560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left="460" w:hanging="332"/>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Included as cash and cash equivalents on the condensed consolidated balance sheets.</w:t>
      </w:r>
    </w:p>
    <w:p>
      <w:pPr>
        <w:spacing w:after="0" w:line="15" w:lineRule="exact"/>
        <w:rPr>
          <w:rFonts w:ascii="Arial" w:cs="Arial" w:eastAsia="Arial" w:hAnsi="Arial"/>
          <w:sz w:val="14"/>
          <w:szCs w:val="14"/>
          <w:color w:val="auto"/>
        </w:rPr>
      </w:pPr>
    </w:p>
    <w:p>
      <w:pPr>
        <w:ind w:left="460" w:hanging="332"/>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Included as short-term marketable securities on the condensed consolidated balance sheets.</w:t>
      </w:r>
    </w:p>
    <w:p>
      <w:pPr>
        <w:spacing w:after="0" w:line="1" w:lineRule="exact"/>
        <w:rPr>
          <w:rFonts w:ascii="Arial" w:cs="Arial" w:eastAsia="Arial" w:hAnsi="Arial"/>
          <w:sz w:val="14"/>
          <w:szCs w:val="14"/>
          <w:color w:val="auto"/>
        </w:rPr>
      </w:pPr>
    </w:p>
    <w:p>
      <w:pPr>
        <w:ind w:left="460" w:hanging="332"/>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Included as long-term marketable securities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00" w:type="dxa"/>
            <w:vAlign w:val="bottom"/>
            <w:gridSpan w:val="9"/>
          </w:tcPr>
          <w:p>
            <w:pPr>
              <w:ind w:left="20"/>
              <w:spacing w:after="0"/>
              <w:rPr>
                <w:sz w:val="20"/>
                <w:szCs w:val="20"/>
                <w:color w:val="auto"/>
              </w:rPr>
            </w:pPr>
            <w:r>
              <w:rPr>
                <w:rFonts w:ascii="Arial" w:cs="Arial" w:eastAsia="Arial" w:hAnsi="Arial"/>
                <w:sz w:val="16"/>
                <w:szCs w:val="16"/>
                <w:b w:val="1"/>
                <w:bCs w:val="1"/>
                <w:color w:val="auto"/>
              </w:rPr>
              <w:t>Fair value measurements as of December 31, 2024 using</w:t>
            </w:r>
          </w:p>
        </w:tc>
      </w:tr>
      <w:tr>
        <w:trPr>
          <w:trHeight w:val="168"/>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Borders>
              <w:top w:val="single" w:sz="8" w:color="auto"/>
            </w:tcBorders>
            <w:gridSpan w:val="2"/>
          </w:tcPr>
          <w:p>
            <w:pPr>
              <w:spacing w:after="0" w:line="168" w:lineRule="exact"/>
              <w:rPr>
                <w:sz w:val="20"/>
                <w:szCs w:val="20"/>
                <w:color w:val="auto"/>
              </w:rPr>
            </w:pPr>
            <w:r>
              <w:rPr>
                <w:rFonts w:ascii="Arial" w:cs="Arial" w:eastAsia="Arial" w:hAnsi="Arial"/>
                <w:sz w:val="16"/>
                <w:szCs w:val="16"/>
                <w:b w:val="1"/>
                <w:bCs w:val="1"/>
                <w:color w:val="auto"/>
                <w:w w:val="99"/>
              </w:rPr>
              <w:t>Quoted prices in</w:t>
            </w:r>
          </w:p>
        </w:tc>
        <w:tc>
          <w:tcPr>
            <w:tcW w:w="2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center"/>
              <w:ind w:right="72"/>
              <w:spacing w:after="0" w:line="168" w:lineRule="exact"/>
              <w:rPr>
                <w:sz w:val="20"/>
                <w:szCs w:val="20"/>
                <w:color w:val="auto"/>
              </w:rPr>
            </w:pPr>
            <w:r>
              <w:rPr>
                <w:rFonts w:ascii="Arial" w:cs="Arial" w:eastAsia="Arial" w:hAnsi="Arial"/>
                <w:sz w:val="16"/>
                <w:szCs w:val="16"/>
                <w:b w:val="1"/>
                <w:bCs w:val="1"/>
                <w:color w:val="auto"/>
              </w:rPr>
              <w:t>Significant</w:t>
            </w:r>
          </w:p>
        </w:tc>
        <w:tc>
          <w:tcPr>
            <w:tcW w:w="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ind w:right="33"/>
              <w:spacing w:after="0" w:line="168" w:lineRule="exact"/>
              <w:rPr>
                <w:sz w:val="20"/>
                <w:szCs w:val="20"/>
                <w:color w:val="auto"/>
              </w:rPr>
            </w:pPr>
            <w:r>
              <w:rPr>
                <w:rFonts w:ascii="Arial" w:cs="Arial" w:eastAsia="Arial" w:hAnsi="Arial"/>
                <w:sz w:val="16"/>
                <w:szCs w:val="16"/>
                <w:b w:val="1"/>
                <w:bCs w:val="1"/>
                <w:color w:val="auto"/>
              </w:rPr>
              <w:t>Significant</w:t>
            </w:r>
          </w:p>
        </w:tc>
        <w:tc>
          <w:tcPr>
            <w:tcW w:w="100" w:type="dxa"/>
            <w:vAlign w:val="bottom"/>
          </w:tcPr>
          <w:p>
            <w:pPr>
              <w:spacing w:after="0"/>
              <w:rPr>
                <w:sz w:val="14"/>
                <w:szCs w:val="14"/>
                <w:color w:val="auto"/>
              </w:rPr>
            </w:pPr>
          </w:p>
        </w:tc>
      </w:tr>
      <w:tr>
        <w:trPr>
          <w:trHeight w:val="189"/>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active markets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Arial" w:cs="Arial" w:eastAsia="Arial" w:hAnsi="Arial"/>
                <w:sz w:val="16"/>
                <w:szCs w:val="16"/>
                <w:b w:val="1"/>
                <w:bCs w:val="1"/>
                <w:color w:val="auto"/>
                <w:w w:val="99"/>
              </w:rPr>
              <w:t>other</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unobservable</w:t>
            </w:r>
          </w:p>
        </w:tc>
      </w:tr>
      <w:tr>
        <w:trPr>
          <w:trHeight w:val="189"/>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140" w:type="dxa"/>
            <w:vAlign w:val="bottom"/>
          </w:tcPr>
          <w:p>
            <w:pPr>
              <w:jc w:val="center"/>
              <w:ind w:right="51"/>
              <w:spacing w:after="0"/>
              <w:rPr>
                <w:sz w:val="20"/>
                <w:szCs w:val="20"/>
                <w:color w:val="auto"/>
              </w:rPr>
            </w:pPr>
            <w:r>
              <w:rPr>
                <w:rFonts w:ascii="Arial" w:cs="Arial" w:eastAsia="Arial" w:hAnsi="Arial"/>
                <w:sz w:val="16"/>
                <w:szCs w:val="16"/>
                <w:b w:val="1"/>
                <w:bCs w:val="1"/>
                <w:color w:val="auto"/>
              </w:rPr>
              <w:t>for identical</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2"/>
              <w:spacing w:after="0"/>
              <w:rPr>
                <w:sz w:val="20"/>
                <w:szCs w:val="20"/>
                <w:color w:val="auto"/>
              </w:rPr>
            </w:pPr>
            <w:r>
              <w:rPr>
                <w:rFonts w:ascii="Arial" w:cs="Arial" w:eastAsia="Arial" w:hAnsi="Arial"/>
                <w:sz w:val="16"/>
                <w:szCs w:val="16"/>
                <w:b w:val="1"/>
                <w:bCs w:val="1"/>
                <w:color w:val="auto"/>
              </w:rPr>
              <w:t>observable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inputs</w:t>
            </w:r>
          </w:p>
        </w:tc>
      </w:tr>
      <w:tr>
        <w:trPr>
          <w:trHeight w:val="203"/>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92"/>
              <w:spacing w:after="0"/>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assets (level 1)</w:t>
            </w:r>
          </w:p>
        </w:tc>
        <w:tc>
          <w:tcPr>
            <w:tcW w:w="260" w:type="dxa"/>
            <w:vAlign w:val="bottom"/>
          </w:tcPr>
          <w:p>
            <w:pPr>
              <w:spacing w:after="0"/>
              <w:rPr>
                <w:sz w:val="17"/>
                <w:szCs w:val="17"/>
                <w:color w:val="auto"/>
              </w:rPr>
            </w:pP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rPr>
              <w:t>inputs (level 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3)</w:t>
            </w:r>
          </w:p>
        </w:tc>
      </w:tr>
      <w:tr>
        <w:trPr>
          <w:trHeight w:val="19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ind w:left="140"/>
              <w:spacing w:after="0" w:line="202" w:lineRule="exact"/>
              <w:rPr>
                <w:sz w:val="20"/>
                <w:szCs w:val="20"/>
                <w:color w:val="auto"/>
              </w:rPr>
            </w:pPr>
            <w:r>
              <w:rPr>
                <w:rFonts w:ascii="Arial" w:cs="Arial" w:eastAsia="Arial" w:hAnsi="Arial"/>
                <w:sz w:val="17"/>
                <w:szCs w:val="17"/>
                <w:color w:val="auto"/>
              </w:rPr>
              <w:t>Money market funds</w:t>
            </w:r>
            <w:r>
              <w:rPr>
                <w:rFonts w:ascii="Arial" w:cs="Arial" w:eastAsia="Arial" w:hAnsi="Arial"/>
                <w:sz w:val="23"/>
                <w:szCs w:val="23"/>
                <w:color w:val="auto"/>
                <w:vertAlign w:val="superscript"/>
              </w:rPr>
              <w:t>(1)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63,101</w:t>
            </w:r>
          </w:p>
        </w:tc>
        <w:tc>
          <w:tcPr>
            <w:tcW w:w="26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63,101</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shd w:val="clear" w:color="auto" w:fill="CFF0FC"/>
          </w:tcPr>
          <w:p>
            <w:pPr>
              <w:ind w:left="140"/>
              <w:spacing w:after="0" w:line="202" w:lineRule="exact"/>
              <w:rPr>
                <w:sz w:val="20"/>
                <w:szCs w:val="20"/>
                <w:color w:val="auto"/>
              </w:rPr>
            </w:pPr>
            <w:r>
              <w:rPr>
                <w:rFonts w:ascii="Arial" w:cs="Arial" w:eastAsia="Arial" w:hAnsi="Arial"/>
                <w:sz w:val="17"/>
                <w:szCs w:val="17"/>
                <w:color w:val="auto"/>
              </w:rPr>
              <w:t>US treasury securities</w:t>
            </w:r>
            <w:r>
              <w:rPr>
                <w:rFonts w:ascii="Arial" w:cs="Arial" w:eastAsia="Arial" w:hAnsi="Arial"/>
                <w:sz w:val="23"/>
                <w:szCs w:val="23"/>
                <w:color w:val="auto"/>
                <w:vertAlign w:val="superscript"/>
              </w:rPr>
              <w:t>(2)</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42,849</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42,849</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tcPr>
          <w:p>
            <w:pPr>
              <w:ind w:left="140"/>
              <w:spacing w:after="0" w:line="202" w:lineRule="exact"/>
              <w:rPr>
                <w:sz w:val="20"/>
                <w:szCs w:val="20"/>
                <w:color w:val="auto"/>
              </w:rPr>
            </w:pPr>
            <w:r>
              <w:rPr>
                <w:rFonts w:ascii="Arial" w:cs="Arial" w:eastAsia="Arial" w:hAnsi="Arial"/>
                <w:sz w:val="17"/>
                <w:szCs w:val="17"/>
                <w:color w:val="auto"/>
              </w:rPr>
              <w:t>US government agency securities</w:t>
            </w:r>
            <w:r>
              <w:rPr>
                <w:rFonts w:ascii="Arial" w:cs="Arial" w:eastAsia="Arial" w:hAnsi="Arial"/>
                <w:sz w:val="23"/>
                <w:szCs w:val="23"/>
                <w:color w:val="auto"/>
                <w:vertAlign w:val="superscript"/>
              </w:rPr>
              <w:t>(2)</w:t>
            </w: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22,420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22,420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shd w:val="clear" w:color="auto" w:fill="CFF0FC"/>
          </w:tcPr>
          <w:p>
            <w:pPr>
              <w:ind w:left="140"/>
              <w:spacing w:after="0" w:line="202" w:lineRule="exact"/>
              <w:rPr>
                <w:sz w:val="20"/>
                <w:szCs w:val="20"/>
                <w:color w:val="auto"/>
              </w:rPr>
            </w:pPr>
            <w:r>
              <w:rPr>
                <w:rFonts w:ascii="Arial" w:cs="Arial" w:eastAsia="Arial" w:hAnsi="Arial"/>
                <w:sz w:val="17"/>
                <w:szCs w:val="17"/>
                <w:color w:val="auto"/>
              </w:rPr>
              <w:t>Corporate debt securities</w:t>
            </w:r>
            <w:r>
              <w:rPr>
                <w:rFonts w:ascii="Arial" w:cs="Arial" w:eastAsia="Arial" w:hAnsi="Arial"/>
                <w:sz w:val="23"/>
                <w:szCs w:val="23"/>
                <w:color w:val="auto"/>
                <w:vertAlign w:val="superscript"/>
              </w:rPr>
              <w:t>(2)</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30,701</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30,701</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tcPr>
          <w:p>
            <w:pPr>
              <w:ind w:left="140"/>
              <w:spacing w:after="0" w:line="202" w:lineRule="exact"/>
              <w:rPr>
                <w:sz w:val="20"/>
                <w:szCs w:val="20"/>
                <w:color w:val="auto"/>
              </w:rPr>
            </w:pPr>
            <w:r>
              <w:rPr>
                <w:rFonts w:ascii="Arial" w:cs="Arial" w:eastAsia="Arial" w:hAnsi="Arial"/>
                <w:sz w:val="17"/>
                <w:szCs w:val="17"/>
                <w:color w:val="auto"/>
              </w:rPr>
              <w:t>Commercial paper</w:t>
            </w:r>
            <w:r>
              <w:rPr>
                <w:rFonts w:ascii="Arial" w:cs="Arial" w:eastAsia="Arial" w:hAnsi="Arial"/>
                <w:sz w:val="23"/>
                <w:szCs w:val="23"/>
                <w:color w:val="auto"/>
                <w:vertAlign w:val="superscript"/>
              </w:rPr>
              <w:t>(2)</w:t>
            </w: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129,561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129,561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shd w:val="clear" w:color="auto" w:fill="CFF0FC"/>
          </w:tcPr>
          <w:p>
            <w:pPr>
              <w:ind w:left="140"/>
              <w:spacing w:after="0" w:line="202" w:lineRule="exact"/>
              <w:rPr>
                <w:sz w:val="20"/>
                <w:szCs w:val="20"/>
                <w:color w:val="auto"/>
              </w:rPr>
            </w:pPr>
            <w:r>
              <w:rPr>
                <w:rFonts w:ascii="Arial" w:cs="Arial" w:eastAsia="Arial" w:hAnsi="Arial"/>
                <w:sz w:val="17"/>
                <w:szCs w:val="17"/>
                <w:color w:val="auto"/>
              </w:rPr>
              <w:t>Yankee debt securities</w:t>
            </w:r>
            <w:r>
              <w:rPr>
                <w:rFonts w:ascii="Arial" w:cs="Arial" w:eastAsia="Arial" w:hAnsi="Arial"/>
                <w:sz w:val="23"/>
                <w:szCs w:val="23"/>
                <w:color w:val="auto"/>
                <w:vertAlign w:val="superscript"/>
              </w:rPr>
              <w:t>(2)</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5,039</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5,039</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tcPr>
          <w:p>
            <w:pPr>
              <w:ind w:left="140"/>
              <w:spacing w:after="0" w:line="202" w:lineRule="exact"/>
              <w:rPr>
                <w:sz w:val="20"/>
                <w:szCs w:val="20"/>
                <w:color w:val="auto"/>
              </w:rPr>
            </w:pPr>
            <w:r>
              <w:rPr>
                <w:rFonts w:ascii="Arial" w:cs="Arial" w:eastAsia="Arial" w:hAnsi="Arial"/>
                <w:sz w:val="17"/>
                <w:szCs w:val="17"/>
                <w:color w:val="auto"/>
              </w:rPr>
              <w:t>US treasury securities</w:t>
            </w:r>
            <w:r>
              <w:rPr>
                <w:rFonts w:ascii="Arial" w:cs="Arial" w:eastAsia="Arial" w:hAnsi="Arial"/>
                <w:sz w:val="23"/>
                <w:szCs w:val="23"/>
                <w:color w:val="auto"/>
                <w:vertAlign w:val="superscript"/>
              </w:rPr>
              <w:t>(3)</w:t>
            </w: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71,784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71,784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7"/>
                <w:szCs w:val="17"/>
                <w:color w:val="auto"/>
              </w:rPr>
              <w:t>US government agency securities</w:t>
            </w:r>
            <w:r>
              <w:rPr>
                <w:rFonts w:ascii="Arial" w:cs="Arial" w:eastAsia="Arial" w:hAnsi="Arial"/>
                <w:sz w:val="23"/>
                <w:szCs w:val="23"/>
                <w:color w:val="auto"/>
                <w:vertAlign w:val="superscript"/>
              </w:rPr>
              <w:t>(3)</w:t>
            </w:r>
          </w:p>
        </w:tc>
        <w:tc>
          <w:tcPr>
            <w:tcW w:w="1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70,380</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70,380</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ind w:left="100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160" w:type="dxa"/>
            <w:vAlign w:val="bottom"/>
          </w:tcPr>
          <w:p>
            <w:pPr>
              <w:spacing w:after="0" w:line="196" w:lineRule="exact"/>
              <w:rPr>
                <w:sz w:val="20"/>
                <w:szCs w:val="20"/>
                <w:color w:val="auto"/>
              </w:rPr>
            </w:pPr>
            <w:r>
              <w:rPr>
                <w:rFonts w:ascii="Arial" w:cs="Arial" w:eastAsia="Arial" w:hAnsi="Arial"/>
                <w:sz w:val="18"/>
                <w:szCs w:val="18"/>
                <w:color w:val="auto"/>
              </w:rPr>
              <w:t>Total fair value of assets</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435,835</w:t>
            </w:r>
          </w:p>
        </w:tc>
        <w:tc>
          <w:tcPr>
            <w:tcW w:w="2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177,734</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258,101</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tcPr>
          <w:p>
            <w:pPr>
              <w:ind w:left="1000"/>
              <w:spacing w:after="0" w:line="196" w:lineRule="exact"/>
              <w:rPr>
                <w:sz w:val="20"/>
                <w:szCs w:val="20"/>
                <w:color w:val="auto"/>
              </w:rPr>
            </w:pPr>
            <w:r>
              <w:rPr>
                <w:rFonts w:ascii="Arial" w:cs="Arial" w:eastAsia="Arial" w:hAnsi="Arial"/>
                <w:sz w:val="18"/>
                <w:szCs w:val="18"/>
                <w:color w:val="auto"/>
              </w:rPr>
              <w:t>—</w:t>
            </w:r>
          </w:p>
        </w:tc>
      </w:tr>
      <w:tr>
        <w:trPr>
          <w:trHeight w:val="20"/>
        </w:trPr>
        <w:tc>
          <w:tcPr>
            <w:tcW w:w="5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-162560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-162560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-162560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460" w:hanging="33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as cash and cash equivalents on the condensed consolidated balance sheets.</w:t>
      </w:r>
    </w:p>
    <w:p>
      <w:pPr>
        <w:spacing w:after="0" w:line="15" w:lineRule="exact"/>
        <w:rPr>
          <w:rFonts w:ascii="Arial" w:cs="Arial" w:eastAsia="Arial" w:hAnsi="Arial"/>
          <w:sz w:val="14"/>
          <w:szCs w:val="14"/>
          <w:color w:val="auto"/>
        </w:rPr>
      </w:pPr>
    </w:p>
    <w:p>
      <w:pPr>
        <w:ind w:left="460" w:hanging="33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as short-term marketable securities on the condensed consolidated balance sheets.</w:t>
      </w:r>
    </w:p>
    <w:p>
      <w:pPr>
        <w:spacing w:after="0" w:line="1" w:lineRule="exact"/>
        <w:rPr>
          <w:rFonts w:ascii="Arial" w:cs="Arial" w:eastAsia="Arial" w:hAnsi="Arial"/>
          <w:sz w:val="14"/>
          <w:szCs w:val="14"/>
          <w:color w:val="auto"/>
        </w:rPr>
      </w:pPr>
    </w:p>
    <w:p>
      <w:pPr>
        <w:ind w:left="460" w:hanging="33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as long-term marketable securities on the condensed consolidated balance sheets.</w:t>
      </w:r>
    </w:p>
    <w:p>
      <w:pPr>
        <w:spacing w:after="0" w:line="18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carrying amounts of the Company’s financial instruments, including cash, prepaid expenses and other current assets, accounts payable and accrued expenses and other current liabilities, approximate fair value due to their short maturities. As of June 30, 2025 and December 31, 2024, the Company's equity investment in Affini-T Therapeutics, Inc. (Affini-T) was fair valued at $0 which represents cost, less impairment. To date, $2.2 million of impairment adjustments have been recorded related to the value of the Company’s equity investment in Affini-T. No adjustment was made to the value of the Company’s equity investment in Affini-T during the three and six months ended June 30, 2025. An impairment adjustment of $402,000 was recorded related to the value of the Company’s equity investment in Affini-T during the three and six months ended June 30, 2024. As of December 31, 2024, the Company reassessed the fair value of its equity investment in Affini-T using a market approach which represented a Level 3 nonrecurring fair value measurement. Calculating the fair value of the equity investment involved unobservable inputs, including the terms and preferences of Affini-T's financings, cash flow projections and significant estimates and assumptions. Changes in the estimates and assumptions used could materially affect the amount of impairment losses recognized in the periods the equity investment is considered impaired. No transfers between levels have occurred during the periods presented.</w:t>
      </w:r>
    </w:p>
    <w:p>
      <w:pPr>
        <w:spacing w:after="0" w:line="169"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Cash equivalents consist of money market funds, short-term marketable securities consist of US treasury securities, US government agency securities, corporate debt securities, commercial paper, and Yankee debt securities, and long-term marketable securities consist of US treasury securities and US government agency securities. The Company obtains pricing information from its investment manager and generally determines the fair value of marketable securities using standard observable inputs, including benchmark yields, reported trades, broker/dealer quotes, issuer spreads, two-sided markets, and bid and/or offers.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Marketable securities</w:t>
      </w:r>
    </w:p>
    <w:p>
      <w:pPr>
        <w:spacing w:after="0" w:line="198"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following tables summarize the Company’s marketable securities accounted for as available-for-sale securities (in thousands, except years):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6"/>
                <w:szCs w:val="16"/>
                <w:b w:val="1"/>
                <w:bCs w:val="1"/>
                <w:color w:val="auto"/>
                <w:w w:val="99"/>
              </w:rPr>
              <w:t>June 30, 2025</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2"/>
        </w:trPr>
        <w:tc>
          <w:tcPr>
            <w:tcW w:w="5160" w:type="dxa"/>
            <w:vAlign w:val="bottom"/>
          </w:tcPr>
          <w:p>
            <w:pPr>
              <w:spacing w:after="0"/>
              <w:rPr>
                <w:sz w:val="15"/>
                <w:szCs w:val="15"/>
                <w:color w:val="auto"/>
              </w:rPr>
            </w:pPr>
          </w:p>
        </w:tc>
        <w:tc>
          <w:tcPr>
            <w:tcW w:w="1240" w:type="dxa"/>
            <w:vAlign w:val="bottom"/>
          </w:tcPr>
          <w:p>
            <w:pPr>
              <w:jc w:val="center"/>
              <w:ind w:right="32"/>
              <w:spacing w:after="0" w:line="182" w:lineRule="exact"/>
              <w:rPr>
                <w:sz w:val="20"/>
                <w:szCs w:val="20"/>
                <w:color w:val="auto"/>
              </w:rPr>
            </w:pPr>
            <w:r>
              <w:rPr>
                <w:rFonts w:ascii="Arial" w:cs="Arial" w:eastAsia="Arial" w:hAnsi="Arial"/>
                <w:sz w:val="16"/>
                <w:szCs w:val="16"/>
                <w:b w:val="1"/>
                <w:bCs w:val="1"/>
                <w:color w:val="auto"/>
              </w:rPr>
              <w:t>Maturity</w:t>
            </w:r>
          </w:p>
        </w:tc>
        <w:tc>
          <w:tcPr>
            <w:tcW w:w="120" w:type="dxa"/>
            <w:vAlign w:val="bottom"/>
          </w:tcPr>
          <w:p>
            <w:pPr>
              <w:spacing w:after="0"/>
              <w:rPr>
                <w:sz w:val="15"/>
                <w:szCs w:val="15"/>
                <w:color w:val="auto"/>
              </w:rPr>
            </w:pPr>
          </w:p>
        </w:tc>
        <w:tc>
          <w:tcPr>
            <w:tcW w:w="920" w:type="dxa"/>
            <w:vAlign w:val="bottom"/>
          </w:tcPr>
          <w:p>
            <w:pPr>
              <w:jc w:val="center"/>
              <w:ind w:right="32"/>
              <w:spacing w:after="0" w:line="182" w:lineRule="exact"/>
              <w:rPr>
                <w:sz w:val="20"/>
                <w:szCs w:val="20"/>
                <w:color w:val="auto"/>
              </w:rPr>
            </w:pPr>
            <w:r>
              <w:rPr>
                <w:rFonts w:ascii="Arial" w:cs="Arial" w:eastAsia="Arial" w:hAnsi="Arial"/>
                <w:sz w:val="16"/>
                <w:szCs w:val="16"/>
                <w:b w:val="1"/>
                <w:bCs w:val="1"/>
                <w:color w:val="auto"/>
              </w:rPr>
              <w:t>Amortized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4"/>
          </w:tcPr>
          <w:p>
            <w:pPr>
              <w:jc w:val="center"/>
              <w:ind w:right="220"/>
              <w:spacing w:after="0" w:line="182" w:lineRule="exact"/>
              <w:rPr>
                <w:sz w:val="20"/>
                <w:szCs w:val="20"/>
                <w:color w:val="auto"/>
              </w:rPr>
            </w:pPr>
            <w:r>
              <w:rPr>
                <w:rFonts w:ascii="Arial" w:cs="Arial" w:eastAsia="Arial" w:hAnsi="Arial"/>
                <w:sz w:val="16"/>
                <w:szCs w:val="16"/>
                <w:b w:val="1"/>
                <w:bCs w:val="1"/>
                <w:color w:val="auto"/>
              </w:rPr>
              <w:t>Unrealized</w:t>
            </w:r>
          </w:p>
        </w:tc>
        <w:tc>
          <w:tcPr>
            <w:tcW w:w="1120" w:type="dxa"/>
            <w:vAlign w:val="bottom"/>
            <w:gridSpan w:val="3"/>
          </w:tcPr>
          <w:p>
            <w:pPr>
              <w:jc w:val="center"/>
              <w:ind w:right="140"/>
              <w:spacing w:after="0" w:line="182"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32"/>
              <w:spacing w:after="0" w:line="182" w:lineRule="exact"/>
              <w:rPr>
                <w:sz w:val="20"/>
                <w:szCs w:val="20"/>
                <w:color w:val="auto"/>
              </w:rPr>
            </w:pPr>
            <w:r>
              <w:rPr>
                <w:rFonts w:ascii="Arial" w:cs="Arial" w:eastAsia="Arial" w:hAnsi="Arial"/>
                <w:sz w:val="16"/>
                <w:szCs w:val="16"/>
                <w:b w:val="1"/>
                <w:bCs w:val="1"/>
                <w:color w:val="auto"/>
                <w:w w:val="99"/>
              </w:rPr>
              <w:t>Estimated</w:t>
            </w:r>
          </w:p>
        </w:tc>
        <w:tc>
          <w:tcPr>
            <w:tcW w:w="100" w:type="dxa"/>
            <w:vAlign w:val="bottom"/>
          </w:tcPr>
          <w:p>
            <w:pPr>
              <w:spacing w:after="0"/>
              <w:rPr>
                <w:sz w:val="15"/>
                <w:szCs w:val="15"/>
                <w:color w:val="auto"/>
              </w:rPr>
            </w:pPr>
          </w:p>
        </w:tc>
      </w:tr>
      <w:tr>
        <w:trPr>
          <w:trHeight w:val="203"/>
        </w:trPr>
        <w:tc>
          <w:tcPr>
            <w:tcW w:w="5160" w:type="dxa"/>
            <w:vAlign w:val="bottom"/>
          </w:tcPr>
          <w:p>
            <w:pPr>
              <w:spacing w:after="0"/>
              <w:rPr>
                <w:sz w:val="17"/>
                <w:szCs w:val="17"/>
                <w:color w:val="auto"/>
              </w:rPr>
            </w:pPr>
          </w:p>
        </w:tc>
        <w:tc>
          <w:tcPr>
            <w:tcW w:w="124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rPr>
              <w:t>(in years)</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97"/>
              </w:rPr>
              <w:t>cost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11"/>
              <w:spacing w:after="0"/>
              <w:rPr>
                <w:sz w:val="20"/>
                <w:szCs w:val="20"/>
                <w:color w:val="auto"/>
              </w:rPr>
            </w:pPr>
            <w:r>
              <w:rPr>
                <w:rFonts w:ascii="Arial" w:cs="Arial" w:eastAsia="Arial" w:hAnsi="Arial"/>
                <w:sz w:val="16"/>
                <w:szCs w:val="16"/>
                <w:b w:val="1"/>
                <w:bCs w:val="1"/>
                <w:color w:val="auto"/>
              </w:rPr>
              <w:t>gains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rPr>
              <w:t>losses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7"/>
                <w:szCs w:val="17"/>
                <w:color w:val="auto"/>
              </w:rPr>
            </w:pPr>
          </w:p>
        </w:tc>
      </w:tr>
      <w:tr>
        <w:trPr>
          <w:trHeight w:val="19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US treasury securities</w:t>
            </w:r>
          </w:p>
        </w:tc>
        <w:tc>
          <w:tcPr>
            <w:tcW w:w="1240" w:type="dxa"/>
            <w:vAlign w:val="bottom"/>
            <w:shd w:val="clear" w:color="auto" w:fill="CFF0FC"/>
          </w:tcPr>
          <w:p>
            <w:pPr>
              <w:jc w:val="center"/>
              <w:ind w:right="32"/>
              <w:spacing w:after="0" w:line="196" w:lineRule="exact"/>
              <w:rPr>
                <w:sz w:val="20"/>
                <w:szCs w:val="20"/>
                <w:color w:val="auto"/>
              </w:rPr>
            </w:pPr>
            <w:r>
              <w:rPr>
                <w:rFonts w:ascii="Arial" w:cs="Arial" w:eastAsia="Arial" w:hAnsi="Arial"/>
                <w:sz w:val="18"/>
                <w:szCs w:val="18"/>
                <w:color w:val="auto"/>
                <w:w w:val="99"/>
              </w:rPr>
              <w:t>1 or less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80,715</w:t>
            </w:r>
          </w:p>
        </w:tc>
        <w:tc>
          <w:tcPr>
            <w:tcW w:w="420" w:type="dxa"/>
            <w:vAlign w:val="bottom"/>
            <w:gridSpan w:val="3"/>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(5)</w:t>
            </w: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80,844</w:t>
            </w:r>
          </w:p>
        </w:tc>
        <w:tc>
          <w:tcPr>
            <w:tcW w:w="100" w:type="dxa"/>
            <w:vAlign w:val="bottom"/>
            <w:shd w:val="clear" w:color="auto" w:fill="CFF0FC"/>
          </w:tcPr>
          <w:p>
            <w:pPr>
              <w:spacing w:after="0"/>
              <w:rPr>
                <w:sz w:val="17"/>
                <w:szCs w:val="17"/>
                <w:color w:val="auto"/>
              </w:rPr>
            </w:pPr>
          </w:p>
        </w:tc>
      </w:tr>
      <w:tr>
        <w:trPr>
          <w:trHeight w:val="202"/>
        </w:trPr>
        <w:tc>
          <w:tcPr>
            <w:tcW w:w="5160" w:type="dxa"/>
            <w:vAlign w:val="bottom"/>
          </w:tcPr>
          <w:p>
            <w:pPr>
              <w:spacing w:after="0" w:line="202" w:lineRule="exact"/>
              <w:rPr>
                <w:sz w:val="20"/>
                <w:szCs w:val="20"/>
                <w:color w:val="auto"/>
              </w:rPr>
            </w:pPr>
            <w:r>
              <w:rPr>
                <w:rFonts w:ascii="Arial" w:cs="Arial" w:eastAsia="Arial" w:hAnsi="Arial"/>
                <w:sz w:val="18"/>
                <w:szCs w:val="18"/>
                <w:color w:val="auto"/>
              </w:rPr>
              <w:t>US government agency securities</w:t>
            </w:r>
          </w:p>
        </w:tc>
        <w:tc>
          <w:tcPr>
            <w:tcW w:w="124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9"/>
              </w:rPr>
              <w:t>1 or less</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41,724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41,904</w:t>
            </w: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Corporate debt securities</w:t>
            </w:r>
          </w:p>
        </w:tc>
        <w:tc>
          <w:tcPr>
            <w:tcW w:w="1240" w:type="dxa"/>
            <w:vAlign w:val="bottom"/>
            <w:shd w:val="clear" w:color="auto" w:fill="CFF0FC"/>
          </w:tcPr>
          <w:p>
            <w:pPr>
              <w:jc w:val="center"/>
              <w:ind w:right="32"/>
              <w:spacing w:after="0" w:line="202" w:lineRule="exact"/>
              <w:rPr>
                <w:sz w:val="20"/>
                <w:szCs w:val="20"/>
                <w:color w:val="auto"/>
              </w:rPr>
            </w:pPr>
            <w:r>
              <w:rPr>
                <w:rFonts w:ascii="Arial" w:cs="Arial" w:eastAsia="Arial" w:hAnsi="Arial"/>
                <w:sz w:val="18"/>
                <w:szCs w:val="18"/>
                <w:color w:val="auto"/>
                <w:w w:val="99"/>
              </w:rPr>
              <w:t>1 or less</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4,991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4,993</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Commercial paper</w:t>
            </w:r>
          </w:p>
        </w:tc>
        <w:tc>
          <w:tcPr>
            <w:tcW w:w="124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9"/>
              </w:rPr>
              <w:t>1 or less</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101,776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101,762</w:t>
            </w: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Yankee debt securities</w:t>
            </w:r>
          </w:p>
        </w:tc>
        <w:tc>
          <w:tcPr>
            <w:tcW w:w="1240" w:type="dxa"/>
            <w:vAlign w:val="bottom"/>
            <w:shd w:val="clear" w:color="auto" w:fill="CFF0FC"/>
          </w:tcPr>
          <w:p>
            <w:pPr>
              <w:jc w:val="center"/>
              <w:ind w:right="32"/>
              <w:spacing w:after="0" w:line="202" w:lineRule="exact"/>
              <w:rPr>
                <w:sz w:val="20"/>
                <w:szCs w:val="20"/>
                <w:color w:val="auto"/>
              </w:rPr>
            </w:pPr>
            <w:r>
              <w:rPr>
                <w:rFonts w:ascii="Arial" w:cs="Arial" w:eastAsia="Arial" w:hAnsi="Arial"/>
                <w:sz w:val="18"/>
                <w:szCs w:val="18"/>
                <w:color w:val="auto"/>
                <w:w w:val="99"/>
              </w:rPr>
              <w:t>1 or less</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5,015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5,015</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US treasury securities</w:t>
            </w:r>
          </w:p>
        </w:tc>
        <w:tc>
          <w:tcPr>
            <w:tcW w:w="124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9"/>
              </w:rPr>
              <w:t>1-2</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51,781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51,891</w:t>
            </w: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US government agency securities</w:t>
            </w:r>
          </w:p>
        </w:tc>
        <w:tc>
          <w:tcPr>
            <w:tcW w:w="1240" w:type="dxa"/>
            <w:vAlign w:val="bottom"/>
            <w:shd w:val="clear" w:color="auto" w:fill="CFF0FC"/>
          </w:tcPr>
          <w:p>
            <w:pPr>
              <w:jc w:val="center"/>
              <w:ind w:right="52"/>
              <w:spacing w:after="0" w:line="202" w:lineRule="exact"/>
              <w:rPr>
                <w:sz w:val="20"/>
                <w:szCs w:val="20"/>
                <w:color w:val="auto"/>
              </w:rPr>
            </w:pPr>
            <w:r>
              <w:rPr>
                <w:rFonts w:ascii="Arial" w:cs="Arial" w:eastAsia="Arial" w:hAnsi="Arial"/>
                <w:sz w:val="18"/>
                <w:szCs w:val="18"/>
                <w:color w:val="auto"/>
                <w:w w:val="99"/>
              </w:rPr>
              <w:t>1-2</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34,189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34,197</w:t>
            </w:r>
          </w:p>
        </w:tc>
        <w:tc>
          <w:tcPr>
            <w:tcW w:w="100" w:type="dxa"/>
            <w:vAlign w:val="bottom"/>
            <w:shd w:val="clear" w:color="auto" w:fill="CFF0FC"/>
          </w:tcPr>
          <w:p>
            <w:pPr>
              <w:spacing w:after="0"/>
              <w:rPr>
                <w:sz w:val="17"/>
                <w:szCs w:val="17"/>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1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320,191</w:t>
            </w:r>
          </w:p>
        </w:tc>
        <w:tc>
          <w:tcPr>
            <w:tcW w:w="220" w:type="dxa"/>
            <w:vAlign w:val="bottom"/>
            <w:gridSpan w:val="2"/>
          </w:tcPr>
          <w:p>
            <w:pPr>
              <w:spacing w:after="0"/>
              <w:rPr>
                <w:sz w:val="17"/>
                <w:szCs w:val="17"/>
                <w:color w:val="auto"/>
              </w:rPr>
            </w:pPr>
          </w:p>
        </w:tc>
        <w:tc>
          <w:tcPr>
            <w:tcW w:w="200" w:type="dxa"/>
            <w:vAlign w:val="bottom"/>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(49)</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320,606</w:t>
            </w:r>
          </w:p>
        </w:tc>
        <w:tc>
          <w:tcPr>
            <w:tcW w:w="100" w:type="dxa"/>
            <w:vAlign w:val="bottom"/>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51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center"/>
              <w:ind w:left="792"/>
              <w:spacing w:after="0"/>
              <w:rPr>
                <w:sz w:val="20"/>
                <w:szCs w:val="20"/>
                <w:color w:val="auto"/>
              </w:rPr>
            </w:pPr>
            <w:r>
              <w:rPr>
                <w:rFonts w:ascii="Arial" w:cs="Arial" w:eastAsia="Arial" w:hAnsi="Arial"/>
                <w:sz w:val="16"/>
                <w:szCs w:val="16"/>
                <w:b w:val="1"/>
                <w:bCs w:val="1"/>
                <w:color w:val="auto"/>
              </w:rPr>
              <w:t>December 31, 2024</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8"/>
        </w:trPr>
        <w:tc>
          <w:tcPr>
            <w:tcW w:w="5160" w:type="dxa"/>
            <w:vAlign w:val="bottom"/>
          </w:tcPr>
          <w:p>
            <w:pPr>
              <w:spacing w:after="0"/>
              <w:rPr>
                <w:sz w:val="14"/>
                <w:szCs w:val="14"/>
                <w:color w:val="auto"/>
              </w:rPr>
            </w:pPr>
          </w:p>
        </w:tc>
        <w:tc>
          <w:tcPr>
            <w:tcW w:w="1240" w:type="dxa"/>
            <w:vAlign w:val="bottom"/>
          </w:tcPr>
          <w:p>
            <w:pPr>
              <w:jc w:val="center"/>
              <w:ind w:right="32"/>
              <w:spacing w:after="0" w:line="168" w:lineRule="exact"/>
              <w:rPr>
                <w:sz w:val="20"/>
                <w:szCs w:val="20"/>
                <w:color w:val="auto"/>
              </w:rPr>
            </w:pPr>
            <w:r>
              <w:rPr>
                <w:rFonts w:ascii="Arial" w:cs="Arial" w:eastAsia="Arial" w:hAnsi="Arial"/>
                <w:sz w:val="16"/>
                <w:szCs w:val="16"/>
                <w:b w:val="1"/>
                <w:bCs w:val="1"/>
                <w:color w:val="auto"/>
              </w:rPr>
              <w:t>Maturity</w:t>
            </w:r>
          </w:p>
        </w:tc>
        <w:tc>
          <w:tcPr>
            <w:tcW w:w="120" w:type="dxa"/>
            <w:vAlign w:val="bottom"/>
          </w:tcPr>
          <w:p>
            <w:pPr>
              <w:spacing w:after="0"/>
              <w:rPr>
                <w:sz w:val="14"/>
                <w:szCs w:val="14"/>
                <w:color w:val="auto"/>
              </w:rPr>
            </w:pPr>
          </w:p>
        </w:tc>
        <w:tc>
          <w:tcPr>
            <w:tcW w:w="920" w:type="dxa"/>
            <w:vAlign w:val="bottom"/>
          </w:tcPr>
          <w:p>
            <w:pPr>
              <w:jc w:val="center"/>
              <w:ind w:right="32"/>
              <w:spacing w:after="0" w:line="168" w:lineRule="exact"/>
              <w:rPr>
                <w:sz w:val="20"/>
                <w:szCs w:val="20"/>
                <w:color w:val="auto"/>
              </w:rPr>
            </w:pPr>
            <w:r>
              <w:rPr>
                <w:rFonts w:ascii="Arial" w:cs="Arial" w:eastAsia="Arial" w:hAnsi="Arial"/>
                <w:sz w:val="16"/>
                <w:szCs w:val="16"/>
                <w:b w:val="1"/>
                <w:bCs w:val="1"/>
                <w:color w:val="auto"/>
              </w:rPr>
              <w:t>Amortized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tcPr>
          <w:p>
            <w:pPr>
              <w:jc w:val="center"/>
              <w:ind w:right="220"/>
              <w:spacing w:after="0" w:line="168" w:lineRule="exact"/>
              <w:rPr>
                <w:sz w:val="20"/>
                <w:szCs w:val="20"/>
                <w:color w:val="auto"/>
              </w:rPr>
            </w:pPr>
            <w:r>
              <w:rPr>
                <w:rFonts w:ascii="Arial" w:cs="Arial" w:eastAsia="Arial" w:hAnsi="Arial"/>
                <w:sz w:val="16"/>
                <w:szCs w:val="16"/>
                <w:b w:val="1"/>
                <w:bCs w:val="1"/>
                <w:color w:val="auto"/>
              </w:rPr>
              <w:t>Unrealized</w:t>
            </w:r>
          </w:p>
        </w:tc>
        <w:tc>
          <w:tcPr>
            <w:tcW w:w="1120" w:type="dxa"/>
            <w:vAlign w:val="bottom"/>
            <w:gridSpan w:val="3"/>
          </w:tcPr>
          <w:p>
            <w:pPr>
              <w:jc w:val="center"/>
              <w:ind w:right="140"/>
              <w:spacing w:after="0" w:line="168"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line="168" w:lineRule="exact"/>
              <w:rPr>
                <w:sz w:val="20"/>
                <w:szCs w:val="20"/>
                <w:color w:val="auto"/>
              </w:rPr>
            </w:pPr>
            <w:r>
              <w:rPr>
                <w:rFonts w:ascii="Arial" w:cs="Arial" w:eastAsia="Arial" w:hAnsi="Arial"/>
                <w:sz w:val="16"/>
                <w:szCs w:val="16"/>
                <w:b w:val="1"/>
                <w:bCs w:val="1"/>
                <w:color w:val="auto"/>
                <w:w w:val="99"/>
              </w:rPr>
              <w:t>Estimated</w:t>
            </w:r>
          </w:p>
        </w:tc>
      </w:tr>
      <w:tr>
        <w:trPr>
          <w:trHeight w:val="203"/>
        </w:trPr>
        <w:tc>
          <w:tcPr>
            <w:tcW w:w="5160" w:type="dxa"/>
            <w:vAlign w:val="bottom"/>
          </w:tcPr>
          <w:p>
            <w:pPr>
              <w:spacing w:after="0"/>
              <w:rPr>
                <w:sz w:val="17"/>
                <w:szCs w:val="17"/>
                <w:color w:val="auto"/>
              </w:rPr>
            </w:pPr>
          </w:p>
        </w:tc>
        <w:tc>
          <w:tcPr>
            <w:tcW w:w="124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rPr>
              <w:t>(in years)</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97"/>
              </w:rPr>
              <w:t>cost</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6"/>
                <w:szCs w:val="16"/>
                <w:b w:val="1"/>
                <w:bCs w:val="1"/>
                <w:color w:val="auto"/>
              </w:rPr>
              <w:t>gains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US treasury securities</w:t>
            </w:r>
          </w:p>
        </w:tc>
        <w:tc>
          <w:tcPr>
            <w:tcW w:w="1240" w:type="dxa"/>
            <w:vAlign w:val="bottom"/>
            <w:shd w:val="clear" w:color="auto" w:fill="CFF0FC"/>
          </w:tcPr>
          <w:p>
            <w:pPr>
              <w:jc w:val="center"/>
              <w:ind w:right="32"/>
              <w:spacing w:after="0" w:line="196" w:lineRule="exact"/>
              <w:rPr>
                <w:sz w:val="20"/>
                <w:szCs w:val="20"/>
                <w:color w:val="auto"/>
              </w:rPr>
            </w:pPr>
            <w:r>
              <w:rPr>
                <w:rFonts w:ascii="Arial" w:cs="Arial" w:eastAsia="Arial" w:hAnsi="Arial"/>
                <w:sz w:val="18"/>
                <w:szCs w:val="18"/>
                <w:color w:val="auto"/>
                <w:w w:val="99"/>
              </w:rPr>
              <w:t>1 or less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42,694</w:t>
            </w:r>
          </w:p>
        </w:tc>
        <w:tc>
          <w:tcPr>
            <w:tcW w:w="420" w:type="dxa"/>
            <w:vAlign w:val="bottom"/>
            <w:gridSpan w:val="3"/>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42,849</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US government agency securities</w:t>
            </w:r>
          </w:p>
        </w:tc>
        <w:tc>
          <w:tcPr>
            <w:tcW w:w="124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9"/>
              </w:rPr>
              <w:t>1 or less</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22,350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22,420</w:t>
            </w: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Corporate debt securities</w:t>
            </w:r>
          </w:p>
        </w:tc>
        <w:tc>
          <w:tcPr>
            <w:tcW w:w="1240" w:type="dxa"/>
            <w:vAlign w:val="bottom"/>
            <w:shd w:val="clear" w:color="auto" w:fill="CFF0FC"/>
          </w:tcPr>
          <w:p>
            <w:pPr>
              <w:jc w:val="center"/>
              <w:ind w:right="32"/>
              <w:spacing w:after="0" w:line="202" w:lineRule="exact"/>
              <w:rPr>
                <w:sz w:val="20"/>
                <w:szCs w:val="20"/>
                <w:color w:val="auto"/>
              </w:rPr>
            </w:pPr>
            <w:r>
              <w:rPr>
                <w:rFonts w:ascii="Arial" w:cs="Arial" w:eastAsia="Arial" w:hAnsi="Arial"/>
                <w:sz w:val="18"/>
                <w:szCs w:val="18"/>
                <w:color w:val="auto"/>
                <w:w w:val="99"/>
              </w:rPr>
              <w:t>1 or less</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30,641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30,701</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Commercial paper</w:t>
            </w:r>
          </w:p>
        </w:tc>
        <w:tc>
          <w:tcPr>
            <w:tcW w:w="124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9"/>
              </w:rPr>
              <w:t>1 or less</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129,500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129,561</w:t>
            </w: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Yankee debt securities</w:t>
            </w:r>
          </w:p>
        </w:tc>
        <w:tc>
          <w:tcPr>
            <w:tcW w:w="1240" w:type="dxa"/>
            <w:vAlign w:val="bottom"/>
            <w:shd w:val="clear" w:color="auto" w:fill="CFF0FC"/>
          </w:tcPr>
          <w:p>
            <w:pPr>
              <w:jc w:val="center"/>
              <w:ind w:right="32"/>
              <w:spacing w:after="0" w:line="202" w:lineRule="exact"/>
              <w:rPr>
                <w:sz w:val="20"/>
                <w:szCs w:val="20"/>
                <w:color w:val="auto"/>
              </w:rPr>
            </w:pPr>
            <w:r>
              <w:rPr>
                <w:rFonts w:ascii="Arial" w:cs="Arial" w:eastAsia="Arial" w:hAnsi="Arial"/>
                <w:sz w:val="18"/>
                <w:szCs w:val="18"/>
                <w:color w:val="auto"/>
                <w:w w:val="99"/>
              </w:rPr>
              <w:t>1 or less</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5,045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5,039</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US treasury securities</w:t>
            </w:r>
          </w:p>
        </w:tc>
        <w:tc>
          <w:tcPr>
            <w:tcW w:w="124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9"/>
              </w:rPr>
              <w:t>1-2</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71,778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71,784</w:t>
            </w:r>
          </w:p>
        </w:tc>
        <w:tc>
          <w:tcPr>
            <w:tcW w:w="100" w:type="dxa"/>
            <w:vAlign w:val="bottom"/>
          </w:tcPr>
          <w:p>
            <w:pPr>
              <w:spacing w:after="0"/>
              <w:rPr>
                <w:sz w:val="17"/>
                <w:szCs w:val="17"/>
                <w:color w:val="auto"/>
              </w:rPr>
            </w:pPr>
          </w:p>
        </w:tc>
      </w:tr>
      <w:tr>
        <w:trPr>
          <w:trHeight w:val="203"/>
        </w:trPr>
        <w:tc>
          <w:tcPr>
            <w:tcW w:w="51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US government agency securities</w:t>
            </w:r>
          </w:p>
        </w:tc>
        <w:tc>
          <w:tcPr>
            <w:tcW w:w="1240" w:type="dxa"/>
            <w:vAlign w:val="bottom"/>
            <w:tcBorders>
              <w:bottom w:val="single" w:sz="8" w:color="CFF0FC"/>
            </w:tcBorders>
            <w:shd w:val="clear" w:color="auto" w:fill="CFF0FC"/>
          </w:tcPr>
          <w:p>
            <w:pPr>
              <w:jc w:val="center"/>
              <w:ind w:right="52"/>
              <w:spacing w:after="0" w:line="202" w:lineRule="exact"/>
              <w:rPr>
                <w:sz w:val="20"/>
                <w:szCs w:val="20"/>
                <w:color w:val="auto"/>
              </w:rPr>
            </w:pPr>
            <w:r>
              <w:rPr>
                <w:rFonts w:ascii="Arial" w:cs="Arial" w:eastAsia="Arial" w:hAnsi="Arial"/>
                <w:sz w:val="18"/>
                <w:szCs w:val="18"/>
                <w:color w:val="auto"/>
                <w:w w:val="99"/>
              </w:rPr>
              <w:t>1-2</w:t>
            </w: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70,321</w:t>
            </w:r>
          </w:p>
        </w:tc>
        <w:tc>
          <w:tcPr>
            <w:tcW w:w="1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188</w:t>
            </w:r>
          </w:p>
        </w:tc>
        <w:tc>
          <w:tcPr>
            <w:tcW w:w="1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(129)</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70,380</w:t>
            </w:r>
          </w:p>
        </w:tc>
        <w:tc>
          <w:tcPr>
            <w:tcW w:w="100" w:type="dxa"/>
            <w:vAlign w:val="bottom"/>
            <w:tcBorders>
              <w:bottom w:val="single" w:sz="8" w:color="auto"/>
            </w:tcBorders>
            <w:shd w:val="clear" w:color="auto" w:fill="CFF0FC"/>
          </w:tcPr>
          <w:p>
            <w:pPr>
              <w:spacing w:after="0"/>
              <w:rPr>
                <w:sz w:val="17"/>
                <w:szCs w:val="17"/>
                <w:color w:val="auto"/>
              </w:rPr>
            </w:pPr>
          </w:p>
        </w:tc>
      </w:tr>
      <w:tr>
        <w:trPr>
          <w:trHeight w:val="196"/>
        </w:trPr>
        <w:tc>
          <w:tcPr>
            <w:tcW w:w="51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372,329</w:t>
            </w:r>
          </w:p>
        </w:tc>
        <w:tc>
          <w:tcPr>
            <w:tcW w:w="420" w:type="dxa"/>
            <w:vAlign w:val="bottom"/>
            <w:gridSpan w:val="3"/>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(271)</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372,734</w:t>
            </w:r>
          </w:p>
        </w:tc>
        <w:tc>
          <w:tcPr>
            <w:tcW w:w="100" w:type="dxa"/>
            <w:vAlign w:val="bottom"/>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-1731010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-1731010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-1731010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-161925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-161925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-161925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6"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The following tables present fair values and gross unrealized losses for those available-for-sale securities that were in an unrealized loss position as of June 30, 2025 and December 31, 2024, aggregated by category and the length of time that the securities have been in a continuous loss position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June 30, 2025</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8"/>
        </w:trPr>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7"/>
          </w:tcPr>
          <w:p>
            <w:pPr>
              <w:jc w:val="center"/>
              <w:ind w:right="380"/>
              <w:spacing w:after="0" w:line="168" w:lineRule="exact"/>
              <w:rPr>
                <w:sz w:val="20"/>
                <w:szCs w:val="20"/>
                <w:color w:val="auto"/>
              </w:rPr>
            </w:pPr>
            <w:r>
              <w:rPr>
                <w:rFonts w:ascii="Arial" w:cs="Arial" w:eastAsia="Arial" w:hAnsi="Arial"/>
                <w:sz w:val="16"/>
                <w:szCs w:val="16"/>
                <w:b w:val="1"/>
                <w:bCs w:val="1"/>
                <w:color w:val="auto"/>
              </w:rPr>
              <w:t>Unrealized losses less</w:t>
            </w:r>
          </w:p>
        </w:tc>
        <w:tc>
          <w:tcPr>
            <w:tcW w:w="120" w:type="dxa"/>
            <w:vAlign w:val="bottom"/>
          </w:tcPr>
          <w:p>
            <w:pPr>
              <w:spacing w:after="0"/>
              <w:rPr>
                <w:sz w:val="14"/>
                <w:szCs w:val="14"/>
                <w:color w:val="auto"/>
              </w:rPr>
            </w:pPr>
          </w:p>
        </w:tc>
        <w:tc>
          <w:tcPr>
            <w:tcW w:w="1680" w:type="dxa"/>
            <w:vAlign w:val="bottom"/>
            <w:gridSpan w:val="4"/>
          </w:tcPr>
          <w:p>
            <w:pPr>
              <w:ind w:left="40"/>
              <w:spacing w:after="0" w:line="168" w:lineRule="exact"/>
              <w:rPr>
                <w:sz w:val="20"/>
                <w:szCs w:val="20"/>
                <w:color w:val="auto"/>
              </w:rPr>
            </w:pPr>
            <w:r>
              <w:rPr>
                <w:rFonts w:ascii="Arial" w:cs="Arial" w:eastAsia="Arial" w:hAnsi="Arial"/>
                <w:sz w:val="16"/>
                <w:szCs w:val="16"/>
                <w:b w:val="1"/>
                <w:bCs w:val="1"/>
                <w:color w:val="auto"/>
              </w:rPr>
              <w:t>Unrealized losses 12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7"/>
          </w:tcPr>
          <w:p>
            <w:pPr>
              <w:jc w:val="center"/>
              <w:ind w:right="320"/>
              <w:spacing w:after="0"/>
              <w:rPr>
                <w:sz w:val="20"/>
                <w:szCs w:val="20"/>
                <w:color w:val="auto"/>
              </w:rPr>
            </w:pPr>
            <w:r>
              <w:rPr>
                <w:rFonts w:ascii="Arial" w:cs="Arial" w:eastAsia="Arial" w:hAnsi="Arial"/>
                <w:sz w:val="16"/>
                <w:szCs w:val="16"/>
                <w:b w:val="1"/>
                <w:bCs w:val="1"/>
                <w:color w:val="auto"/>
              </w:rPr>
              <w:t>than 12 months</w:t>
            </w:r>
          </w:p>
        </w:tc>
        <w:tc>
          <w:tcPr>
            <w:tcW w:w="120" w:type="dxa"/>
            <w:vAlign w:val="bottom"/>
          </w:tcPr>
          <w:p>
            <w:pPr>
              <w:spacing w:after="0"/>
              <w:rPr>
                <w:sz w:val="17"/>
                <w:szCs w:val="17"/>
                <w:color w:val="auto"/>
              </w:rPr>
            </w:pPr>
          </w:p>
        </w:tc>
        <w:tc>
          <w:tcPr>
            <w:tcW w:w="1680" w:type="dxa"/>
            <w:vAlign w:val="bottom"/>
            <w:gridSpan w:val="4"/>
          </w:tcPr>
          <w:p>
            <w:pPr>
              <w:jc w:val="center"/>
              <w:spacing w:after="0"/>
              <w:rPr>
                <w:sz w:val="20"/>
                <w:szCs w:val="20"/>
                <w:color w:val="auto"/>
              </w:rPr>
            </w:pPr>
            <w:r>
              <w:rPr>
                <w:rFonts w:ascii="Arial" w:cs="Arial" w:eastAsia="Arial" w:hAnsi="Arial"/>
                <w:sz w:val="16"/>
                <w:szCs w:val="16"/>
                <w:b w:val="1"/>
                <w:bCs w:val="1"/>
                <w:color w:val="auto"/>
              </w:rPr>
              <w:t>months or greater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4"/>
          </w:tcPr>
          <w:p>
            <w:pPr>
              <w:ind w:left="640"/>
              <w:spacing w:after="0"/>
              <w:rPr>
                <w:sz w:val="20"/>
                <w:szCs w:val="20"/>
                <w:color w:val="auto"/>
              </w:rPr>
            </w:pPr>
            <w:r>
              <w:rPr>
                <w:rFonts w:ascii="Arial" w:cs="Arial" w:eastAsia="Arial" w:hAnsi="Arial"/>
                <w:sz w:val="16"/>
                <w:szCs w:val="16"/>
                <w:b w:val="1"/>
                <w:bCs w:val="1"/>
                <w:color w:val="auto"/>
              </w:rPr>
              <w:t>Total</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8"/>
        </w:trPr>
        <w:tc>
          <w:tcPr>
            <w:tcW w:w="46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ind w:left="20"/>
              <w:spacing w:after="0" w:line="168"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spacing w:after="0" w:line="168"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ind w:left="20"/>
              <w:spacing w:after="0" w:line="168"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4"/>
                <w:szCs w:val="14"/>
                <w:color w:val="auto"/>
              </w:rPr>
            </w:pPr>
          </w:p>
        </w:tc>
      </w:tr>
      <w:tr>
        <w:trPr>
          <w:trHeight w:val="203"/>
        </w:trPr>
        <w:tc>
          <w:tcPr>
            <w:tcW w:w="4680" w:type="dxa"/>
            <w:vAlign w:val="bottom"/>
          </w:tcPr>
          <w:p>
            <w:pPr>
              <w:spacing w:after="0"/>
              <w:rPr>
                <w:sz w:val="17"/>
                <w:szCs w:val="17"/>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losses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losses</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losses</w:t>
            </w:r>
          </w:p>
        </w:tc>
        <w:tc>
          <w:tcPr>
            <w:tcW w:w="100" w:type="dxa"/>
            <w:vAlign w:val="bottom"/>
          </w:tcPr>
          <w:p>
            <w:pPr>
              <w:spacing w:after="0"/>
              <w:rPr>
                <w:sz w:val="17"/>
                <w:szCs w:val="17"/>
                <w:color w:val="auto"/>
              </w:rPr>
            </w:pPr>
          </w:p>
        </w:tc>
      </w:tr>
      <w:tr>
        <w:trPr>
          <w:trHeight w:val="196"/>
        </w:trPr>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6,038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ind w:left="580"/>
              <w:spacing w:after="0" w:line="196" w:lineRule="exact"/>
              <w:rPr>
                <w:sz w:val="20"/>
                <w:szCs w:val="20"/>
                <w:color w:val="auto"/>
              </w:rPr>
            </w:pPr>
            <w:r>
              <w:rPr>
                <w:rFonts w:ascii="Arial" w:cs="Arial" w:eastAsia="Arial" w:hAnsi="Arial"/>
                <w:sz w:val="18"/>
                <w:szCs w:val="18"/>
                <w:color w:val="auto"/>
                <w:w w:val="88"/>
              </w:rPr>
              <w:t>—</w:t>
            </w:r>
          </w:p>
        </w:tc>
        <w:tc>
          <w:tcPr>
            <w:tcW w:w="920" w:type="dxa"/>
            <w:vAlign w:val="bottom"/>
            <w:gridSpan w:val="3"/>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6,038</w:t>
            </w:r>
          </w:p>
        </w:tc>
        <w:tc>
          <w:tcPr>
            <w:tcW w:w="360" w:type="dxa"/>
            <w:vAlign w:val="bottom"/>
            <w:gridSpan w:val="3"/>
            <w:shd w:val="clear" w:color="auto" w:fill="CFF0FC"/>
          </w:tcPr>
          <w:p>
            <w:pPr>
              <w:ind w:left="20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(5)</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55,003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ind w:left="58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55,003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w:t>
            </w:r>
          </w:p>
        </w:tc>
      </w:tr>
      <w:tr>
        <w:trPr>
          <w:trHeight w:val="203"/>
        </w:trPr>
        <w:tc>
          <w:tcPr>
            <w:tcW w:w="4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US government agency securities</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9,093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9,093</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(25)</w:t>
            </w:r>
          </w:p>
        </w:tc>
      </w:tr>
      <w:tr>
        <w:trPr>
          <w:trHeight w:val="20"/>
        </w:trPr>
        <w:tc>
          <w:tcPr>
            <w:tcW w:w="46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68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70,134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(49)</w:t>
            </w:r>
          </w:p>
        </w:tc>
        <w:tc>
          <w:tcPr>
            <w:tcW w:w="1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ind w:left="580"/>
              <w:spacing w:after="0" w:line="196" w:lineRule="exact"/>
              <w:rPr>
                <w:sz w:val="20"/>
                <w:szCs w:val="20"/>
                <w:color w:val="auto"/>
              </w:rPr>
            </w:pPr>
            <w:r>
              <w:rPr>
                <w:rFonts w:ascii="Arial" w:cs="Arial" w:eastAsia="Arial" w:hAnsi="Arial"/>
                <w:sz w:val="18"/>
                <w:szCs w:val="18"/>
                <w:color w:val="auto"/>
                <w:w w:val="88"/>
              </w:rPr>
              <w:t>—</w:t>
            </w:r>
          </w:p>
        </w:tc>
        <w:tc>
          <w:tcPr>
            <w:tcW w:w="920" w:type="dxa"/>
            <w:vAlign w:val="bottom"/>
            <w:gridSpan w:val="3"/>
          </w:tcPr>
          <w:p>
            <w:pPr>
              <w:ind w:left="22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70,134</w:t>
            </w:r>
          </w:p>
        </w:tc>
        <w:tc>
          <w:tcPr>
            <w:tcW w:w="360" w:type="dxa"/>
            <w:vAlign w:val="bottom"/>
            <w:gridSpan w:val="3"/>
          </w:tcPr>
          <w:p>
            <w:pPr>
              <w:ind w:left="20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(49)</w:t>
            </w:r>
          </w:p>
        </w:tc>
      </w:tr>
      <w:tr>
        <w:trPr>
          <w:trHeight w:val="20"/>
        </w:trPr>
        <w:tc>
          <w:tcPr>
            <w:tcW w:w="4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4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December 31, 2024</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8"/>
        </w:trPr>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7"/>
          </w:tcPr>
          <w:p>
            <w:pPr>
              <w:jc w:val="center"/>
              <w:ind w:right="380"/>
              <w:spacing w:after="0" w:line="168" w:lineRule="exact"/>
              <w:rPr>
                <w:sz w:val="20"/>
                <w:szCs w:val="20"/>
                <w:color w:val="auto"/>
              </w:rPr>
            </w:pPr>
            <w:r>
              <w:rPr>
                <w:rFonts w:ascii="Arial" w:cs="Arial" w:eastAsia="Arial" w:hAnsi="Arial"/>
                <w:sz w:val="16"/>
                <w:szCs w:val="16"/>
                <w:b w:val="1"/>
                <w:bCs w:val="1"/>
                <w:color w:val="auto"/>
              </w:rPr>
              <w:t>Unrealized losses less</w:t>
            </w:r>
          </w:p>
        </w:tc>
        <w:tc>
          <w:tcPr>
            <w:tcW w:w="120" w:type="dxa"/>
            <w:vAlign w:val="bottom"/>
          </w:tcPr>
          <w:p>
            <w:pPr>
              <w:spacing w:after="0"/>
              <w:rPr>
                <w:sz w:val="14"/>
                <w:szCs w:val="14"/>
                <w:color w:val="auto"/>
              </w:rPr>
            </w:pPr>
          </w:p>
        </w:tc>
        <w:tc>
          <w:tcPr>
            <w:tcW w:w="1680" w:type="dxa"/>
            <w:vAlign w:val="bottom"/>
            <w:gridSpan w:val="4"/>
          </w:tcPr>
          <w:p>
            <w:pPr>
              <w:ind w:left="40"/>
              <w:spacing w:after="0" w:line="168" w:lineRule="exact"/>
              <w:rPr>
                <w:sz w:val="20"/>
                <w:szCs w:val="20"/>
                <w:color w:val="auto"/>
              </w:rPr>
            </w:pPr>
            <w:r>
              <w:rPr>
                <w:rFonts w:ascii="Arial" w:cs="Arial" w:eastAsia="Arial" w:hAnsi="Arial"/>
                <w:sz w:val="16"/>
                <w:szCs w:val="16"/>
                <w:b w:val="1"/>
                <w:bCs w:val="1"/>
                <w:color w:val="auto"/>
              </w:rPr>
              <w:t>Unrealized losses 12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7"/>
          </w:tcPr>
          <w:p>
            <w:pPr>
              <w:jc w:val="center"/>
              <w:ind w:right="320"/>
              <w:spacing w:after="0"/>
              <w:rPr>
                <w:sz w:val="20"/>
                <w:szCs w:val="20"/>
                <w:color w:val="auto"/>
              </w:rPr>
            </w:pPr>
            <w:r>
              <w:rPr>
                <w:rFonts w:ascii="Arial" w:cs="Arial" w:eastAsia="Arial" w:hAnsi="Arial"/>
                <w:sz w:val="16"/>
                <w:szCs w:val="16"/>
                <w:b w:val="1"/>
                <w:bCs w:val="1"/>
                <w:color w:val="auto"/>
              </w:rPr>
              <w:t>than 12 months</w:t>
            </w:r>
          </w:p>
        </w:tc>
        <w:tc>
          <w:tcPr>
            <w:tcW w:w="120" w:type="dxa"/>
            <w:vAlign w:val="bottom"/>
          </w:tcPr>
          <w:p>
            <w:pPr>
              <w:spacing w:after="0"/>
              <w:rPr>
                <w:sz w:val="17"/>
                <w:szCs w:val="17"/>
                <w:color w:val="auto"/>
              </w:rPr>
            </w:pPr>
          </w:p>
        </w:tc>
        <w:tc>
          <w:tcPr>
            <w:tcW w:w="1680" w:type="dxa"/>
            <w:vAlign w:val="bottom"/>
            <w:gridSpan w:val="4"/>
          </w:tcPr>
          <w:p>
            <w:pPr>
              <w:jc w:val="center"/>
              <w:spacing w:after="0"/>
              <w:rPr>
                <w:sz w:val="20"/>
                <w:szCs w:val="20"/>
                <w:color w:val="auto"/>
              </w:rPr>
            </w:pPr>
            <w:r>
              <w:rPr>
                <w:rFonts w:ascii="Arial" w:cs="Arial" w:eastAsia="Arial" w:hAnsi="Arial"/>
                <w:sz w:val="16"/>
                <w:szCs w:val="16"/>
                <w:b w:val="1"/>
                <w:bCs w:val="1"/>
                <w:color w:val="auto"/>
              </w:rPr>
              <w:t>months or greater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4"/>
          </w:tcPr>
          <w:p>
            <w:pPr>
              <w:ind w:left="640"/>
              <w:spacing w:after="0"/>
              <w:rPr>
                <w:sz w:val="20"/>
                <w:szCs w:val="20"/>
                <w:color w:val="auto"/>
              </w:rPr>
            </w:pPr>
            <w:r>
              <w:rPr>
                <w:rFonts w:ascii="Arial" w:cs="Arial" w:eastAsia="Arial" w:hAnsi="Arial"/>
                <w:sz w:val="16"/>
                <w:szCs w:val="16"/>
                <w:b w:val="1"/>
                <w:bCs w:val="1"/>
                <w:color w:val="auto"/>
              </w:rPr>
              <w:t>Total</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8"/>
        </w:trPr>
        <w:tc>
          <w:tcPr>
            <w:tcW w:w="46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ind w:left="20"/>
              <w:spacing w:after="0" w:line="168" w:lineRule="exact"/>
              <w:rPr>
                <w:sz w:val="20"/>
                <w:szCs w:val="20"/>
                <w:color w:val="auto"/>
              </w:rPr>
            </w:pPr>
            <w:r>
              <w:rPr>
                <w:rFonts w:ascii="Arial" w:cs="Arial" w:eastAsia="Arial" w:hAnsi="Arial"/>
                <w:sz w:val="16"/>
                <w:szCs w:val="16"/>
                <w:b w:val="1"/>
                <w:bCs w:val="1"/>
                <w:color w:val="auto"/>
              </w:rPr>
              <w:t>Unrealized</w:t>
            </w:r>
          </w:p>
        </w:tc>
        <w:tc>
          <w:tcPr>
            <w:tcW w:w="220" w:type="dxa"/>
            <w:vAlign w:val="bottom"/>
            <w:gridSpan w:val="2"/>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spacing w:after="0" w:line="168"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ind w:left="20"/>
              <w:spacing w:after="0" w:line="168"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4"/>
                <w:szCs w:val="14"/>
                <w:color w:val="auto"/>
              </w:rPr>
            </w:pPr>
          </w:p>
        </w:tc>
      </w:tr>
      <w:tr>
        <w:trPr>
          <w:trHeight w:val="203"/>
        </w:trPr>
        <w:tc>
          <w:tcPr>
            <w:tcW w:w="4680" w:type="dxa"/>
            <w:vAlign w:val="bottom"/>
          </w:tcPr>
          <w:p>
            <w:pPr>
              <w:spacing w:after="0"/>
              <w:rPr>
                <w:sz w:val="17"/>
                <w:szCs w:val="17"/>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losses</w:t>
            </w:r>
          </w:p>
        </w:tc>
        <w:tc>
          <w:tcPr>
            <w:tcW w:w="220" w:type="dxa"/>
            <w:vAlign w:val="bottom"/>
            <w:gridSpan w:val="2"/>
          </w:tcPr>
          <w:p>
            <w:pPr>
              <w:spacing w:after="0"/>
              <w:rPr>
                <w:sz w:val="17"/>
                <w:szCs w:val="17"/>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losses</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losses</w:t>
            </w:r>
          </w:p>
        </w:tc>
        <w:tc>
          <w:tcPr>
            <w:tcW w:w="100" w:type="dxa"/>
            <w:vAlign w:val="bottom"/>
          </w:tcPr>
          <w:p>
            <w:pPr>
              <w:spacing w:after="0"/>
              <w:rPr>
                <w:sz w:val="17"/>
                <w:szCs w:val="17"/>
                <w:color w:val="auto"/>
              </w:rPr>
            </w:pPr>
          </w:p>
        </w:tc>
      </w:tr>
      <w:tr>
        <w:trPr>
          <w:trHeight w:val="196"/>
        </w:trPr>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Commercial paper</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41,041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ind w:left="580"/>
              <w:spacing w:after="0" w:line="196" w:lineRule="exact"/>
              <w:rPr>
                <w:sz w:val="20"/>
                <w:szCs w:val="20"/>
                <w:color w:val="auto"/>
              </w:rPr>
            </w:pPr>
            <w:r>
              <w:rPr>
                <w:rFonts w:ascii="Arial" w:cs="Arial" w:eastAsia="Arial" w:hAnsi="Arial"/>
                <w:sz w:val="18"/>
                <w:szCs w:val="18"/>
                <w:color w:val="auto"/>
                <w:w w:val="88"/>
              </w:rPr>
              <w:t>—</w:t>
            </w:r>
          </w:p>
        </w:tc>
        <w:tc>
          <w:tcPr>
            <w:tcW w:w="920" w:type="dxa"/>
            <w:vAlign w:val="bottom"/>
            <w:gridSpan w:val="3"/>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41,041</w:t>
            </w:r>
          </w:p>
        </w:tc>
        <w:tc>
          <w:tcPr>
            <w:tcW w:w="360" w:type="dxa"/>
            <w:vAlign w:val="bottom"/>
            <w:gridSpan w:val="3"/>
            <w:shd w:val="clear" w:color="auto" w:fill="CFF0FC"/>
          </w:tcPr>
          <w:p>
            <w:pPr>
              <w:ind w:left="20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(46)</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Yankee debt securities</w:t>
            </w: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5,039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ind w:left="58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5,039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w:t>
            </w:r>
          </w:p>
        </w:tc>
      </w:tr>
      <w:tr>
        <w:trPr>
          <w:trHeight w:val="203"/>
        </w:trPr>
        <w:tc>
          <w:tcPr>
            <w:tcW w:w="4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54,836</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54,836</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(90)</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34,101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ind w:left="58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34,101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(129)</w:t>
            </w:r>
          </w:p>
        </w:tc>
      </w:tr>
      <w:tr>
        <w:trPr>
          <w:trHeight w:val="20"/>
        </w:trPr>
        <w:tc>
          <w:tcPr>
            <w:tcW w:w="4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135,017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(271)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ind w:left="580"/>
              <w:spacing w:after="0" w:line="196" w:lineRule="exact"/>
              <w:rPr>
                <w:sz w:val="20"/>
                <w:szCs w:val="20"/>
                <w:color w:val="auto"/>
              </w:rPr>
            </w:pPr>
            <w:r>
              <w:rPr>
                <w:rFonts w:ascii="Arial" w:cs="Arial" w:eastAsia="Arial" w:hAnsi="Arial"/>
                <w:sz w:val="18"/>
                <w:szCs w:val="18"/>
                <w:color w:val="auto"/>
                <w:w w:val="88"/>
              </w:rPr>
              <w:t>—</w:t>
            </w:r>
          </w:p>
        </w:tc>
        <w:tc>
          <w:tcPr>
            <w:tcW w:w="920" w:type="dxa"/>
            <w:vAlign w:val="bottom"/>
            <w:gridSpan w:val="3"/>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135,017</w:t>
            </w:r>
          </w:p>
        </w:tc>
        <w:tc>
          <w:tcPr>
            <w:tcW w:w="360" w:type="dxa"/>
            <w:vAlign w:val="bottom"/>
            <w:gridSpan w:val="3"/>
            <w:shd w:val="clear" w:color="auto" w:fill="CFF0FC"/>
          </w:tcPr>
          <w:p>
            <w:pPr>
              <w:ind w:left="20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(271)</w:t>
            </w: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862"/>
        </w:trPr>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4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-2639695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-2639695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-2639695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-2639695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-2639695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-1070610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-1053465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-1070610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-1053465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-1070610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-1053465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-1070610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-1053465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-1070610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-1053465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2" w:name="page13"/>
    <w:bookmarkEnd w:id="12"/>
    <w:p>
      <w:pPr>
        <w:ind w:right="80"/>
        <w:spacing w:after="0" w:line="247" w:lineRule="auto"/>
        <w:rPr>
          <w:sz w:val="20"/>
          <w:szCs w:val="20"/>
          <w:color w:val="auto"/>
        </w:rPr>
      </w:pPr>
      <w:r>
        <w:rPr>
          <w:rFonts w:ascii="Arial" w:cs="Arial" w:eastAsia="Arial" w:hAnsi="Arial"/>
          <w:sz w:val="18"/>
          <w:szCs w:val="18"/>
          <w:color w:val="auto"/>
        </w:rPr>
        <w:t>As of June 30, 2025, there were 14 available-for-sale securities with an estimated fair value of $70.1 million in gross unrealized loss positions, none of which were in an unrealized loss position for more than 12 months. As of December 31, 2024, there were 22 available-for-sale securities with an estimated fair value of $135.0 million in gross unrealized loss positions, none of which were in an unrealized loss position for more than 12 months.</w:t>
      </w:r>
    </w:p>
    <w:p>
      <w:pPr>
        <w:spacing w:after="0" w:line="16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As of June 30, 2025 and December 31, 2024, unrealized losses on available-for-sale securities are not attributed to credit risk. The Company believes that an allowance for credit losses is unnecessary because the unrealized losses on certain of the Company’s available-for-sale securities are due to market factors and changes in interest rates. Additionally, the Company does not intend to sell the securities nor is it more likely than not that the Company will be required to sell the securities before recovery of their amortized cost basis.</w:t>
      </w:r>
    </w:p>
    <w:p>
      <w:pPr>
        <w:spacing w:after="0" w:line="160"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Accrued interest on the Company’s available-for-sale securities was $2.1 million and $2.3 million as of June 30, 2025 and December 31, 2024, respectively, and is included in prepaid expenses and other current assets on the condensed consolidated balance sheets.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and equipment, net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58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5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Laboratory equipment</w:t>
            </w:r>
          </w:p>
        </w:tc>
        <w:tc>
          <w:tcPr>
            <w:tcW w:w="222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4,638</w:t>
            </w:r>
          </w:p>
        </w:tc>
        <w:tc>
          <w:tcPr>
            <w:tcW w:w="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4,741</w:t>
            </w: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3,712</w:t>
            </w:r>
          </w:p>
        </w:tc>
      </w:tr>
      <w:tr>
        <w:trPr>
          <w:trHeight w:val="203"/>
        </w:trPr>
        <w:tc>
          <w:tcPr>
            <w:tcW w:w="5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1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16,313</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16,313</w:t>
            </w:r>
          </w:p>
        </w:tc>
      </w:tr>
      <w:tr>
        <w:trPr>
          <w:trHeight w:val="229"/>
        </w:trPr>
        <w:tc>
          <w:tcPr>
            <w:tcW w:w="580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9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19"/>
                <w:szCs w:val="19"/>
                <w:color w:val="auto"/>
              </w:rPr>
            </w:pPr>
          </w:p>
        </w:tc>
      </w:tr>
      <w:tr>
        <w:trPr>
          <w:trHeight w:val="223"/>
        </w:trPr>
        <w:tc>
          <w:tcPr>
            <w:tcW w:w="58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Property and equipment</w:t>
            </w:r>
          </w:p>
        </w:tc>
        <w:tc>
          <w:tcPr>
            <w:tcW w:w="19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26,287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26,330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(11,462)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(10,009)</w:t>
            </w:r>
          </w:p>
        </w:tc>
      </w:tr>
      <w:tr>
        <w:trPr>
          <w:trHeight w:val="20"/>
        </w:trPr>
        <w:tc>
          <w:tcPr>
            <w:tcW w:w="5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80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color w:val="auto"/>
              </w:rPr>
              <w:t>Property and equipment, net</w:t>
            </w:r>
          </w:p>
        </w:tc>
        <w:tc>
          <w:tcPr>
            <w:tcW w:w="19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14,825</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16,321</w:t>
            </w: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19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803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85"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Depreciation and amortization expense related to property and equipment was $787,000 and $1.6 million for the three and six months ended June 30, 2025, respectively, and $1.1 million and $2.1 million for the three and six months ended June 30, 2024,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Accrued expenses and other current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373"/>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46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2025</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4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research and development expenses</w:t>
            </w:r>
          </w:p>
        </w:tc>
        <w:tc>
          <w:tcPr>
            <w:tcW w:w="34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14,366</w:t>
            </w:r>
          </w:p>
        </w:tc>
        <w:tc>
          <w:tcPr>
            <w:tcW w:w="4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14,872</w:t>
            </w:r>
          </w:p>
        </w:tc>
        <w:tc>
          <w:tcPr>
            <w:tcW w:w="100" w:type="dxa"/>
            <w:vAlign w:val="bottom"/>
            <w:shd w:val="clear" w:color="auto" w:fill="CFF0FC"/>
          </w:tcPr>
          <w:p>
            <w:pPr>
              <w:spacing w:after="0"/>
              <w:rPr>
                <w:sz w:val="17"/>
                <w:szCs w:val="17"/>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Accrued compensation</w:t>
            </w:r>
          </w:p>
        </w:tc>
        <w:tc>
          <w:tcPr>
            <w:tcW w:w="3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6,643</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10,651</w:t>
            </w:r>
          </w:p>
        </w:tc>
        <w:tc>
          <w:tcPr>
            <w:tcW w:w="100" w:type="dxa"/>
            <w:vAlign w:val="bottom"/>
          </w:tcPr>
          <w:p>
            <w:pPr>
              <w:spacing w:after="0"/>
              <w:rPr>
                <w:sz w:val="17"/>
                <w:szCs w:val="17"/>
                <w:color w:val="auto"/>
              </w:rPr>
            </w:pPr>
          </w:p>
        </w:tc>
      </w:tr>
      <w:tr>
        <w:trPr>
          <w:trHeight w:val="203"/>
        </w:trPr>
        <w:tc>
          <w:tcPr>
            <w:tcW w:w="4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professional services</w:t>
            </w:r>
          </w:p>
        </w:tc>
        <w:tc>
          <w:tcPr>
            <w:tcW w:w="3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371</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451</w:t>
            </w:r>
          </w:p>
        </w:tc>
        <w:tc>
          <w:tcPr>
            <w:tcW w:w="100" w:type="dxa"/>
            <w:vAlign w:val="bottom"/>
            <w:shd w:val="clear" w:color="auto" w:fill="CFF0FC"/>
          </w:tcPr>
          <w:p>
            <w:pPr>
              <w:spacing w:after="0"/>
              <w:rPr>
                <w:sz w:val="17"/>
                <w:szCs w:val="17"/>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Other accruals and current liabilities</w:t>
            </w:r>
          </w:p>
        </w:tc>
        <w:tc>
          <w:tcPr>
            <w:tcW w:w="3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399</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334</w:t>
            </w:r>
          </w:p>
        </w:tc>
        <w:tc>
          <w:tcPr>
            <w:tcW w:w="100" w:type="dxa"/>
            <w:vAlign w:val="bottom"/>
          </w:tcPr>
          <w:p>
            <w:pPr>
              <w:spacing w:after="0"/>
              <w:rPr>
                <w:sz w:val="17"/>
                <w:szCs w:val="17"/>
                <w:color w:val="auto"/>
              </w:rPr>
            </w:pPr>
          </w:p>
        </w:tc>
      </w:tr>
      <w:tr>
        <w:trPr>
          <w:trHeight w:val="236"/>
        </w:trPr>
        <w:tc>
          <w:tcPr>
            <w:tcW w:w="460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color w:val="auto"/>
              </w:rPr>
              <w:t>Total</w:t>
            </w:r>
          </w:p>
        </w:tc>
        <w:tc>
          <w:tcPr>
            <w:tcW w:w="34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21,779</w:t>
            </w:r>
          </w:p>
        </w:tc>
        <w:tc>
          <w:tcPr>
            <w:tcW w:w="4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26,308</w:t>
            </w:r>
          </w:p>
        </w:tc>
        <w:tc>
          <w:tcPr>
            <w:tcW w:w="100" w:type="dxa"/>
            <w:vAlign w:val="bottom"/>
            <w:shd w:val="clear" w:color="auto" w:fill="CFF0FC"/>
          </w:tcPr>
          <w:p>
            <w:pPr>
              <w:spacing w:after="0"/>
              <w:rPr>
                <w:sz w:val="20"/>
                <w:szCs w:val="20"/>
                <w:color w:val="auto"/>
              </w:rPr>
            </w:pPr>
          </w:p>
        </w:tc>
      </w:tr>
      <w:tr>
        <w:trPr>
          <w:trHeight w:val="862"/>
        </w:trPr>
        <w:tc>
          <w:tcPr>
            <w:tcW w:w="4600" w:type="dxa"/>
            <w:vAlign w:val="bottom"/>
            <w:tcBorders>
              <w:top w:val="single" w:sz="8" w:color="CFF0FC"/>
            </w:tcBorders>
          </w:tcPr>
          <w:p>
            <w:pPr>
              <w:spacing w:after="0"/>
              <w:rPr>
                <w:sz w:val="24"/>
                <w:szCs w:val="24"/>
                <w:color w:val="auto"/>
              </w:rPr>
            </w:pPr>
          </w:p>
        </w:tc>
        <w:tc>
          <w:tcPr>
            <w:tcW w:w="3140" w:type="dxa"/>
            <w:vAlign w:val="bottom"/>
            <w:tcBorders>
              <w:top w:val="single" w:sz="8" w:color="CFF0FC"/>
            </w:tcBorders>
          </w:tcPr>
          <w:p>
            <w:pPr>
              <w:jc w:val="right"/>
              <w:ind w:right="1930"/>
              <w:spacing w:after="0"/>
              <w:rPr>
                <w:sz w:val="20"/>
                <w:szCs w:val="20"/>
                <w:color w:val="auto"/>
              </w:rPr>
            </w:pPr>
            <w:r>
              <w:rPr>
                <w:rFonts w:ascii="Arial" w:cs="Arial" w:eastAsia="Arial" w:hAnsi="Arial"/>
                <w:sz w:val="18"/>
                <w:szCs w:val="18"/>
                <w:color w:val="auto"/>
              </w:rPr>
              <w:t>11</w:t>
            </w: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5"/>
        </w:trPr>
        <w:tc>
          <w:tcPr>
            <w:tcW w:w="46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13232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7. Asset acquisitions</w:t>
      </w:r>
    </w:p>
    <w:p>
      <w:pPr>
        <w:spacing w:after="0" w:line="198"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The following purchased assets were accounted for as asset acquisitions as substantially all of the fair value of the assets acquired were concentrated in a group of similar assets, and the acquired assets did not have outputs or employees. Because the assets had not yet received regulatory approval, the fair value attributable to these assets was recorded as in-process research and development expenses in the Company’s condensed consolidated statements of operations and comprehensive loss.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Asana BioSciences, LLC</w:t>
      </w:r>
    </w:p>
    <w:p>
      <w:pPr>
        <w:spacing w:after="0" w:line="198"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In November 2020, the Company entered into the Asana Merger Agreement, pursuant to which ASN became its wholly-owned subsidiary. Asana and ASN had previously entered into a license agreement, which was amended and restated prior to the closing of the merger transaction (the Asana License Agreement, and collectively with the Asana Merger Agreement, the Asana Agreements), pursuant to which ASN acquired an exclusive, worldwide license to certain intellectual property rights relating to inhibitors of ERK1 and ERK2 owned or controlled by Asana to develop and commercialize ERAS-007 and certain other related compounds for all applications.</w:t>
      </w:r>
    </w:p>
    <w:p>
      <w:pPr>
        <w:spacing w:after="0" w:line="16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Under the Asana Merger Agreement, in 2020, the Company made an upfront payment of $20.0 million and issued 4,000,000 shares of its Series B-2 convertible preferred stock to Asana at a value of $7.50 per share or a total fair value of equity of $30.0 million. In connection with the Company's IPO, these shares of Series B-2 convertible preferred stock were converted into 3,333,333 shares of the Company’s common stock. The Company is obligated to make future development and regulatory milestone cash payments for a licensed product in an amount of up to $90.0 million. Additionally, upon achieving a development milestone related to demonstration of successful proof-of-concept in a specified clinical trial, the Company will also be required to issue 3,888,889 shares of its common stock to Asana. The Company is not obligated to pay royalties on the net sales of licensed products. No IPR&amp;D expense was recorded during the three and six months ended June 30, 2025 and 2024. As of June 30, 2025 and December 31, 2024, no milestones had been accrued as the underlying contingencies were not probable or estimable.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License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Novartis Pharma AG</w:t>
      </w:r>
    </w:p>
    <w:p>
      <w:pPr>
        <w:spacing w:after="0" w:line="198"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In December 2022, the Company entered into an exclusive license agreement (as amended, the Novartis Agreement) with Novartis Pharma AG (Novartis) under which the Company was granted an exclusive, worldwide, royalty-bearing license to certain patent and other intellectual property rights owned or controlled by Novartis to develop, manufacture, use, and commercialize naporafenib in all fields of use. The Company has the right to sublicense (through multiple tiers) its rights under the Novartis Agreement, subject to certain limitations and conditions, and is required to use commercially reasonable efforts to commercialize licensed products in certain geographical markets.</w:t>
      </w:r>
    </w:p>
    <w:p>
      <w:pPr>
        <w:spacing w:after="0" w:line="163"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license granted under the Novartis Agreement is subject to Novartis’ reserved right to: (i) develop, manufacture, use, and commercialize compounds unrelated to naporafenib under the licensed patent rights and know-how, (ii) use the licensed patent rights and know-how for non-clinical research purposes, and (iii) use the licensed patent rights and know-how to the extent necessary to perform ongoing clinical trials and perform its obligations under existing contracts and under the Novartis Agreement.</w:t>
      </w:r>
    </w:p>
    <w:p>
      <w:pPr>
        <w:spacing w:after="0" w:line="160"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Under the Novartis Agreement, the Company made an upfront cash payment to Novartis of $20.0 million and issued to Novartis 12,307,692 shares of common stock of the Company having an aggregate value of approximately $80.0 million. The Company is obligated to make future regulatory milestone payments of up to $80.0 million and sales milestone payments of up to $200.0 million. The Company is also obligated to pay royalties on net sales of all licensed products, in the low-single digit percentages, subject to certain reductions. No IPR&amp;D expense was recorded during the three and six months ended June 30, 2025 and 2024.</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Guangzhou Joyo Pharmatech Co., Ltd</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May 2024, the Company entered into an exclusive license agreement (the Joyo License Agreement) with Guangzhou Joyo Pharmatech Co., Ltd. (Joyo) under which the Company was granted an exclusive, worldwide (except mainland China, Hong Kong, and Macau), royalty-bearing license to certain patent and other intellectual property rights owned or controlled by Joyo to develop, manufacture, and commercialize certain pan-RAS inhibitors in all fields of use. The Company has an option to expand the territory of the license to include mainland China, Hong Kong and Macau by making a $50.0 million payment to Joyo on or prior to the first dosing of the first patient in a Phase 2 clinical trial by either the Company or Joyo, or a payment of $150.0 million after the first dosing of the first patient in a Phase 2 clinical trial by either the Company or Joyo and before filing a new drug application (or the foreign equivalent) by either the Company or Joyo. The Company has the right to sublicense (through multiple tiers) its rights under the Joyo License Agreement, subject to certain limitations and conditions, and is required to use commercially reasonable efforts to commercialize licensed products in the United States.</w:t>
      </w:r>
    </w:p>
    <w:p>
      <w:pPr>
        <w:spacing w:after="0" w:line="17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license granted under the Joyo License Agreement is subject to Joyo’s reserved right to develop, manufacture, use, and commercialize licensed products in mainland China, Hong Kong and Macau, unless the Company exercises its option to expand the license to include mainland China, Hong Kong and Macau.</w:t>
      </w:r>
    </w:p>
    <w:p>
      <w:pPr>
        <w:spacing w:after="0" w:line="15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Under the Joyo License Agreement, the Company made an upfront cash payment to Joyo of $12.5 million. The Company is obligated to make development and regulatory milestone payments of up to $51.5 million (or up to $57.5 million if the Company’s territory is expanded to include mainland China, Hong Kong, and Macau) and commercial milestone payments of up to $125.0 million upon the achievement of the corresponding milestones. The Company is also obligated to pay tiered royalties on net sales of all licensed products, in the low- to mid-single digit percentages, subject to certain reductions. As of June 30, 2025 and December 31, 2024, the Company accrued $2.0 million and $0 related to the achievement of milestones, respectively. For the three and six months ended June 30, 2025, the Company recorded $7.5 million in IPR&amp;D expense related to the achievement of milestones. For the three and six months ended June 30, 2024, the Company recorded $12.5 million in IPR&amp;D expense related to the upfront cash payment.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Medshine Discovery Inc.</w:t>
      </w:r>
    </w:p>
    <w:p>
      <w:pPr>
        <w:spacing w:after="0" w:line="198"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In May 2024, the Company entered into an exclusive license agreement (the Medshine License Agreement) with Medshine Discovery Inc. (Medshine) under which the Company was granted an exclusive, worldwide, royalty-bearing license to certain patent and other intellectual property rights owned or controlled by Medshine to develop, manufacture, and commercialize certain pan-KRAS inhibitors in all fields of use. The Company has the right to sublicense (through multiple tiers) its rights under the Medshine License Agreement, subject to certain limitations and conditions, and is required to use commercially reasonable efforts to commercialize licensed products in certain geographical markets.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Under the Medshine License Agreement, the Company made an upfront cash payment to Medshine of $10.0 million. The Company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obligated to make development and regulatory milestone payments of up to $30.0 million and commercial milestone payments of up to</w:t>
      </w:r>
    </w:p>
    <w:p>
      <w:pPr>
        <w:spacing w:after="0" w:line="234" w:lineRule="auto"/>
        <w:rPr>
          <w:sz w:val="20"/>
          <w:szCs w:val="20"/>
          <w:color w:val="auto"/>
        </w:rPr>
      </w:pPr>
      <w:r>
        <w:rPr>
          <w:rFonts w:ascii="Arial" w:cs="Arial" w:eastAsia="Arial" w:hAnsi="Arial"/>
          <w:sz w:val="18"/>
          <w:szCs w:val="18"/>
          <w:color w:val="auto"/>
        </w:rPr>
        <w:t>$130.0 million upon the achievement of the corresponding milestones. The Company is also obligated to pay a low-single digit percentage</w:t>
      </w:r>
    </w:p>
    <w:p>
      <w:pPr>
        <w:spacing w:after="0" w:line="235" w:lineRule="auto"/>
        <w:rPr>
          <w:sz w:val="20"/>
          <w:szCs w:val="20"/>
          <w:color w:val="auto"/>
        </w:rPr>
      </w:pPr>
      <w:r>
        <w:rPr>
          <w:rFonts w:ascii="Arial" w:cs="Arial" w:eastAsia="Arial" w:hAnsi="Arial"/>
          <w:sz w:val="18"/>
          <w:szCs w:val="18"/>
          <w:color w:val="auto"/>
        </w:rPr>
        <w:t>royalty on net sales of all licensed products, subject to certain reductions. For the three and six months ended June 30, 2024, the Company</w:t>
      </w:r>
    </w:p>
    <w:p>
      <w:pPr>
        <w:spacing w:after="0" w:line="235" w:lineRule="auto"/>
        <w:rPr>
          <w:sz w:val="20"/>
          <w:szCs w:val="20"/>
          <w:color w:val="auto"/>
        </w:rPr>
      </w:pPr>
      <w:r>
        <w:rPr>
          <w:rFonts w:ascii="Arial" w:cs="Arial" w:eastAsia="Arial" w:hAnsi="Arial"/>
          <w:sz w:val="18"/>
          <w:szCs w:val="18"/>
          <w:color w:val="auto"/>
        </w:rPr>
        <w:t>recorded $10.0 million in IPR&amp;D expense related to the upfront cash payment. No IPR&amp;D expense was recorded during the three and six</w:t>
      </w:r>
    </w:p>
    <w:p>
      <w:pPr>
        <w:spacing w:after="0"/>
        <w:rPr>
          <w:sz w:val="20"/>
          <w:szCs w:val="20"/>
          <w:color w:val="auto"/>
        </w:rPr>
      </w:pPr>
      <w:r>
        <w:rPr>
          <w:rFonts w:ascii="Arial" w:cs="Arial" w:eastAsia="Arial" w:hAnsi="Arial"/>
          <w:sz w:val="18"/>
          <w:szCs w:val="18"/>
          <w:color w:val="auto"/>
        </w:rPr>
        <w:t>months ended June 30, 2025.</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NiKang Therapeutics, Inc.</w:t>
      </w:r>
    </w:p>
    <w:p>
      <w:pPr>
        <w:spacing w:after="0" w:line="19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February 2020, the Company entered into a license agreement (the NiKang Agreement) with NiKang Therapeutics, Inc. (NiKang) under which the Company was granted an exclusive, worldwide license to certain intellectual property rights owned or controlled by NiKang related to certain SHP2 inhibitors to develop and commercialize ERAS-601 and certain other related compounds for all applications.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5" w:right="359" w:bottom="1440" w:gutter="0" w:footer="0" w:header="0"/>
        </w:sectPr>
      </w:pPr>
    </w:p>
    <w:bookmarkStart w:id="15" w:name="page16"/>
    <w:bookmarkEnd w:id="15"/>
    <w:p>
      <w:pPr>
        <w:ind w:right="20"/>
        <w:spacing w:after="0" w:line="255" w:lineRule="auto"/>
        <w:rPr>
          <w:sz w:val="20"/>
          <w:szCs w:val="20"/>
          <w:color w:val="auto"/>
        </w:rPr>
      </w:pPr>
      <w:r>
        <w:rPr>
          <w:rFonts w:ascii="Arial" w:cs="Arial" w:eastAsia="Arial" w:hAnsi="Arial"/>
          <w:sz w:val="17"/>
          <w:szCs w:val="17"/>
          <w:color w:val="auto"/>
        </w:rPr>
        <w:t>Under the NiKang Agreement, in 2020, the Company made an upfront payment of $5.0 million to NiKang and reimbursed NiKang $0.4 million for certain initial manufacturing costs. In addition, the Company paid $7.0 million in 2020 related to the publication of a US patent application that covered the composition of matter of ERAS-601. The Company is also obligated to pay (i) development and regulatory milestone payments in an aggregate amount of up to $16.0 million for the first licensed product, of which $4.0 million was paid in January 2021, and $12.0 million for a second licensed product, and (ii) commercial milestone payments in an aggregate amount of up to $157.0 million for the first licensed product and $151.0 million for a second licensed product. The Company is also obligated to: (i) pay tiered royalties on net sales of all licensed products in the mid-single digit percentages, subject to certain reductions; and (ii) equally split all net sublicensing revenues earned under sublicense agreements that the Company enters into with any third party before commencement of the first Phase I clinical trial for a licensed product. No IPR&amp;D expense was recorded during the three and six months ended June 30, 2025 and 2024.</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Katmai Pharmaceuticals, Inc.</w:t>
      </w:r>
    </w:p>
    <w:p>
      <w:pPr>
        <w:spacing w:after="0" w:line="19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May 2024, the Company announced a strategic reprioritization which included deprioritizing its THUNDERBBOLT-1 clinical trial evaluating ERAS-801 in patients with recurrent glioblastoma. In April 2025, the Company entered into a Termination Agreement (the Katmai Termination Agreement) with Katmai Pharmaceuticals, Inc. (Katmai). The Katmai Termination Agreement terminated the license agreement, dated March 12, 2020, between the Company and Katmai in which the Company obtained an exclusive worldwide license from Katmai to develop and commercialize ERAS-801 (the Katmai License Agreement). Pursuant to the Katmai Termination Agreement, the Katmai License Agreement was terminated as of April 1, 2025. Under the Katmai Termination Agreement, the Company has assigned to Katmai certain know-how, intellectual property rights, third-party vendor agreements, regulatory filings, and materials that the Company developed in connection with the development of ERAS-801 under the Katmai License Agreement, and Katmai is obligated to make payments to the Company upon the occurrence of specific events related to Katmai’s future development and commercialization of ERAS-801. In addition, the Company provided certain transition services to Katmai for a 90-day period, for which Katmai is obligated to reimburse the Company for its internal costs related to such services. No IPR&amp;D expense was recorded during the three and six months ended June 30, 2025 and 2024.</w:t>
      </w:r>
    </w:p>
    <w:p>
      <w:pPr>
        <w:spacing w:after="0" w:line="172"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color w:val="auto"/>
        </w:rPr>
        <w:t>As of June 30, 2025 and December 31, 2024, no milestones are accrued for any license agreements, other than the Joyo License Agreement, as the underlying contingencies are not probable or estimable.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9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Holders of the Company's common stock are entitled to one vote for each share held on the applicable record date with respect to all matters submitted to a vote of stockholders, including the election of directors, and do not have cumulative voting rights. Common stockholders are entitled to receive dividends, as may be declared by the Company’s board of directors. As of June 30, 2025, no dividends had been declared.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reserved for future issuance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Common stock reserved for future issuance consisted of the following as of June 30, 2025 and 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000" w:type="dxa"/>
            <w:vAlign w:val="bottom"/>
          </w:tcPr>
          <w:p>
            <w:pPr>
              <w:jc w:val="right"/>
              <w:ind w:right="596"/>
              <w:spacing w:after="0"/>
              <w:rPr>
                <w:sz w:val="20"/>
                <w:szCs w:val="20"/>
                <w:color w:val="auto"/>
              </w:rPr>
            </w:pPr>
            <w:r>
              <w:rPr>
                <w:rFonts w:ascii="Arial" w:cs="Arial" w:eastAsia="Arial" w:hAnsi="Arial"/>
                <w:sz w:val="16"/>
                <w:szCs w:val="16"/>
                <w:b w:val="1"/>
                <w:bCs w:val="1"/>
                <w:color w:val="auto"/>
              </w:rPr>
              <w:t>June 30,</w:t>
            </w:r>
          </w:p>
        </w:tc>
        <w:tc>
          <w:tcPr>
            <w:tcW w:w="320" w:type="dxa"/>
            <w:vAlign w:val="bottom"/>
          </w:tcPr>
          <w:p>
            <w:pPr>
              <w:spacing w:after="0"/>
              <w:rPr>
                <w:sz w:val="21"/>
                <w:szCs w:val="21"/>
                <w:color w:val="auto"/>
              </w:rPr>
            </w:pPr>
          </w:p>
        </w:tc>
        <w:tc>
          <w:tcPr>
            <w:tcW w:w="2120" w:type="dxa"/>
            <w:vAlign w:val="bottom"/>
            <w:gridSpan w:val="2"/>
          </w:tcPr>
          <w:p>
            <w:pPr>
              <w:ind w:left="4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00" w:type="dxa"/>
            <w:vAlign w:val="bottom"/>
            <w:tcBorders>
              <w:bottom w:val="single" w:sz="8" w:color="auto"/>
            </w:tcBorders>
          </w:tcPr>
          <w:p>
            <w:pPr>
              <w:jc w:val="right"/>
              <w:ind w:right="736"/>
              <w:spacing w:after="0"/>
              <w:rPr>
                <w:sz w:val="20"/>
                <w:szCs w:val="20"/>
                <w:color w:val="auto"/>
              </w:rPr>
            </w:pPr>
            <w:r>
              <w:rPr>
                <w:rFonts w:ascii="Arial" w:cs="Arial" w:eastAsia="Arial" w:hAnsi="Arial"/>
                <w:sz w:val="16"/>
                <w:szCs w:val="16"/>
                <w:b w:val="1"/>
                <w:bCs w:val="1"/>
                <w:color w:val="auto"/>
              </w:rPr>
              <w:t>2025</w:t>
            </w:r>
          </w:p>
        </w:tc>
        <w:tc>
          <w:tcPr>
            <w:tcW w:w="320" w:type="dxa"/>
            <w:vAlign w:val="bottom"/>
          </w:tcPr>
          <w:p>
            <w:pPr>
              <w:spacing w:after="0"/>
              <w:rPr>
                <w:sz w:val="17"/>
                <w:szCs w:val="17"/>
                <w:color w:val="auto"/>
              </w:rPr>
            </w:pPr>
          </w:p>
        </w:tc>
        <w:tc>
          <w:tcPr>
            <w:tcW w:w="2020" w:type="dxa"/>
            <w:vAlign w:val="bottom"/>
            <w:tcBorders>
              <w:bottom w:val="single" w:sz="8" w:color="auto"/>
            </w:tcBorders>
          </w:tcPr>
          <w:p>
            <w:pPr>
              <w:jc w:val="right"/>
              <w:ind w:right="756"/>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 options issued and outstanding</w:t>
            </w:r>
          </w:p>
        </w:tc>
        <w:tc>
          <w:tcPr>
            <w:tcW w:w="41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47,790,988</w:t>
            </w:r>
          </w:p>
        </w:tc>
        <w:tc>
          <w:tcPr>
            <w:tcW w:w="2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33,910,721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Awards available for future grant</w:t>
            </w:r>
          </w:p>
        </w:tc>
        <w:tc>
          <w:tcPr>
            <w:tcW w:w="4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13,435,804</w:t>
            </w:r>
          </w:p>
        </w:tc>
        <w:tc>
          <w:tcPr>
            <w:tcW w:w="2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13,265,858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Shares available for purchase under the ESPP</w:t>
            </w:r>
          </w:p>
        </w:tc>
        <w:tc>
          <w:tcPr>
            <w:tcW w:w="2180" w:type="dxa"/>
            <w:vAlign w:val="bottom"/>
            <w:tcBorders>
              <w:bottom w:val="single" w:sz="8" w:color="CFF0FC"/>
            </w:tcBorders>
            <w:shd w:val="clear" w:color="auto" w:fill="CFF0FC"/>
          </w:tcPr>
          <w:p>
            <w:pPr>
              <w:spacing w:after="0"/>
              <w:rPr>
                <w:sz w:val="17"/>
                <w:szCs w:val="17"/>
                <w:color w:val="auto"/>
              </w:rPr>
            </w:pPr>
          </w:p>
        </w:tc>
        <w:tc>
          <w:tcPr>
            <w:tcW w:w="2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4,081,044</w:t>
            </w:r>
          </w:p>
        </w:tc>
        <w:tc>
          <w:tcPr>
            <w:tcW w:w="320" w:type="dxa"/>
            <w:vAlign w:val="bottom"/>
            <w:tcBorders>
              <w:bottom w:val="single" w:sz="8" w:color="CFF0FC"/>
            </w:tcBorders>
            <w:shd w:val="clear" w:color="auto" w:fill="CFF0FC"/>
          </w:tcPr>
          <w:p>
            <w:pPr>
              <w:spacing w:after="0"/>
              <w:rPr>
                <w:sz w:val="17"/>
                <w:szCs w:val="17"/>
                <w:color w:val="auto"/>
              </w:rPr>
            </w:pPr>
          </w:p>
        </w:tc>
        <w:tc>
          <w:tcPr>
            <w:tcW w:w="2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1,569,952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ind w:left="100"/>
              <w:spacing w:after="0" w:line="196" w:lineRule="exact"/>
              <w:rPr>
                <w:sz w:val="20"/>
                <w:szCs w:val="20"/>
                <w:color w:val="auto"/>
              </w:rPr>
            </w:pPr>
            <w:r>
              <w:rPr>
                <w:rFonts w:ascii="Arial" w:cs="Arial" w:eastAsia="Arial" w:hAnsi="Arial"/>
                <w:sz w:val="18"/>
                <w:szCs w:val="18"/>
                <w:color w:val="auto"/>
              </w:rPr>
              <w:t>Total</w:t>
            </w:r>
          </w:p>
        </w:tc>
        <w:tc>
          <w:tcPr>
            <w:tcW w:w="4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65,307,836</w:t>
            </w:r>
          </w:p>
        </w:tc>
        <w:tc>
          <w:tcPr>
            <w:tcW w:w="2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48,746,531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180" w:type="dxa"/>
            <w:vAlign w:val="bottom"/>
            <w:vMerge w:val="restart"/>
          </w:tcPr>
          <w:p>
            <w:pPr>
              <w:jc w:val="right"/>
              <w:ind w:right="990"/>
              <w:spacing w:after="0"/>
              <w:rPr>
                <w:sz w:val="20"/>
                <w:szCs w:val="20"/>
                <w:color w:val="auto"/>
              </w:rPr>
            </w:pPr>
            <w:r>
              <w:rPr>
                <w:rFonts w:ascii="Arial" w:cs="Arial" w:eastAsia="Arial" w:hAnsi="Arial"/>
                <w:sz w:val="18"/>
                <w:szCs w:val="18"/>
                <w:color w:val="auto"/>
              </w:rPr>
              <w:t>14</w:t>
            </w:r>
          </w:p>
        </w:tc>
        <w:tc>
          <w:tcPr>
            <w:tcW w:w="2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462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46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-1208405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-1208405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2024 underwritten offering</w:t>
      </w:r>
    </w:p>
    <w:p>
      <w:pPr>
        <w:spacing w:after="0" w:line="198"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In May 2024, the Company completed the sale and issuance of 99,459,458 shares of its common stock, including the exercise in full by the underwriters of their option to purchase 12,972,972 shares of its common stock, at a price to the public of $1.85 per share (the 2024 Offering). Proceeds from the 2024 Offering were $174.4 million, net of underwriting discounts and commissions and offering costs of $9.6 million.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private placement</w:t>
      </w:r>
    </w:p>
    <w:p>
      <w:pPr>
        <w:spacing w:after="0" w:line="19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March 2024, the Company entered into a stock purchase agreement with the purchasers named therein for the private placement of 21,844,660 shares of its common stock at a price of $2.06 per share, which closed on April 2, 2024 (the 2024 Private Placement). Proceeds from the 2024 Private Placement were $43.6 million, after deducting placement agent fees and expenses of approximately $1.4 million.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July 2021, the Company’s board of directors adopted and the Company’s stockholders approved the Company’s 2021 Incentive Award Plan (the 2021 Plan), which became effective in connection with the IPO. Upon the adoption of the 2021 Plan, the Company ceased making equity grants under its 2018 Equity Incentive Plan (the 2018 Plan). Under the 2021 Plan, the Company may grant stock options, restricted stock, restricted stock units, stock appreciation rights, and other stock or cash-based awards to individuals who are then employees, officers, directors or non-entity consultants of the Company. A total of 15,150,000 shares of common stock were initially reserved for issuance under the 2021 Plan. In addition, the number of shares of common stock available for issuance under the 2021 Plan may be increased annually on the first day of each calendar year during the term of the 2021 Plan, beginning in 2022, by an amount equal to the lesser of (i) 5% of the shares of common stock outstanding on the final day of the immediately preceding calendar year or (ii) such smaller number of shares as determined by the Company’s board of directors or an authorized committee of the board of directors. As of June 30, 2025, there were 13,435,804 stock-based awards available for future grant under the 2021 Plan.</w:t>
      </w:r>
    </w:p>
    <w:p>
      <w:pPr>
        <w:spacing w:after="0" w:line="16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Subsequent to July 2021, no further awards will be granted under the 2018 Plan and all future stock-based awards will be granted under the 2021 Plan. To the extent outstanding options or restricted stock granted under the 2018 Plan are cancelled, forfeited, repurchased, or otherwise terminated without being exercised or becoming vested, and would otherwise have been returned to the share reserve under the 2018 Plan, the number of shares underlying such awards will be available for future grant under the 2021 Plan.</w:t>
      </w:r>
    </w:p>
    <w:p>
      <w:pPr>
        <w:spacing w:after="0" w:line="16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Options granted are exercisable at various dates as determined upon grant and will expire no more than ten years from their date of grant. Stock options generally vest over a four-year term. The exercise price of each option shall be determined by the Company’s board of directors based on the estimated fair value of the Company’s stock on the date of the option grant. The exercise price shall not be less than 100% of the fair market value of the Company’s common stock at the time the option is granted. For holders of more than 10% of the Company’s total combined voting power of all classes of stock, incentive stock options may not be granted at less than 110% of the fair market value of the Company’s common stock on the date of grant and for a term that exceeds five years. Early exercise was permitted for certain grants under the 2018 Plan.</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95"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Stock options</w:t>
      </w:r>
    </w:p>
    <w:p>
      <w:pPr>
        <w:spacing w:after="0" w:line="198"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A summary of the Company’s stock option activity under the 2021 Plan and 2018 Plan is as follows (in thousands, except share and per share data and years):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left="279"/>
              <w:spacing w:after="0"/>
              <w:rPr>
                <w:sz w:val="20"/>
                <w:szCs w:val="20"/>
                <w:color w:val="auto"/>
              </w:rPr>
            </w:pPr>
            <w:r>
              <w:rPr>
                <w:rFonts w:ascii="Arial" w:cs="Arial" w:eastAsia="Arial" w:hAnsi="Arial"/>
                <w:sz w:val="16"/>
                <w:szCs w:val="16"/>
                <w:b w:val="1"/>
                <w:bCs w:val="1"/>
                <w:color w:val="auto"/>
              </w:rPr>
              <w:t>Weighted-</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 remaining</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Aggregate</w:t>
            </w:r>
          </w:p>
        </w:tc>
      </w:tr>
      <w:tr>
        <w:trPr>
          <w:trHeight w:val="216"/>
        </w:trPr>
        <w:tc>
          <w:tcPr>
            <w:tcW w:w="4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left="279"/>
              <w:spacing w:after="0"/>
              <w:rPr>
                <w:sz w:val="20"/>
                <w:szCs w:val="20"/>
                <w:color w:val="auto"/>
              </w:rPr>
            </w:pPr>
            <w:r>
              <w:rPr>
                <w:rFonts w:ascii="Arial" w:cs="Arial" w:eastAsia="Arial" w:hAnsi="Arial"/>
                <w:sz w:val="16"/>
                <w:szCs w:val="16"/>
                <w:b w:val="1"/>
                <w:bCs w:val="1"/>
                <w:color w:val="auto"/>
              </w:rPr>
              <w:t>average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intrinsic</w:t>
            </w:r>
          </w:p>
        </w:tc>
      </w:tr>
      <w:tr>
        <w:trPr>
          <w:trHeight w:val="226"/>
        </w:trPr>
        <w:tc>
          <w:tcPr>
            <w:tcW w:w="4400" w:type="dxa"/>
            <w:vAlign w:val="bottom"/>
          </w:tcPr>
          <w:p>
            <w:pPr>
              <w:spacing w:after="0"/>
              <w:rPr>
                <w:sz w:val="19"/>
                <w:szCs w:val="19"/>
                <w:color w:val="auto"/>
              </w:rPr>
            </w:pPr>
          </w:p>
        </w:tc>
        <w:tc>
          <w:tcPr>
            <w:tcW w:w="15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exercise price</w:t>
            </w:r>
          </w:p>
        </w:tc>
        <w:tc>
          <w:tcPr>
            <w:tcW w:w="22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term (years)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55"/>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9"/>
                <w:szCs w:val="19"/>
                <w:color w:val="auto"/>
              </w:rPr>
            </w:pPr>
          </w:p>
        </w:tc>
      </w:tr>
      <w:tr>
        <w:trPr>
          <w:trHeight w:val="200"/>
        </w:trPr>
        <w:tc>
          <w:tcPr>
            <w:tcW w:w="4400" w:type="dxa"/>
            <w:vAlign w:val="bottom"/>
            <w:shd w:val="clear" w:color="auto" w:fill="CFF0FC"/>
          </w:tcPr>
          <w:p>
            <w:pPr>
              <w:spacing w:after="0" w:line="200" w:lineRule="exact"/>
              <w:rPr>
                <w:sz w:val="20"/>
                <w:szCs w:val="20"/>
                <w:color w:val="auto"/>
              </w:rPr>
            </w:pPr>
            <w:r>
              <w:rPr>
                <w:rFonts w:ascii="Arial" w:cs="Arial" w:eastAsia="Arial" w:hAnsi="Arial"/>
                <w:sz w:val="18"/>
                <w:szCs w:val="18"/>
                <w:color w:val="auto"/>
              </w:rPr>
              <w:t>Outstanding at December 31, 2024</w:t>
            </w:r>
          </w:p>
        </w:tc>
        <w:tc>
          <w:tcPr>
            <w:tcW w:w="1540" w:type="dxa"/>
            <w:vAlign w:val="bottom"/>
            <w:shd w:val="clear" w:color="auto" w:fill="CFF0FC"/>
          </w:tcPr>
          <w:p>
            <w:pPr>
              <w:jc w:val="right"/>
              <w:spacing w:after="0" w:line="200" w:lineRule="exact"/>
              <w:rPr>
                <w:sz w:val="20"/>
                <w:szCs w:val="20"/>
                <w:color w:val="auto"/>
              </w:rPr>
            </w:pPr>
            <w:r>
              <w:rPr>
                <w:rFonts w:ascii="Arial" w:cs="Arial" w:eastAsia="Arial" w:hAnsi="Arial"/>
                <w:sz w:val="18"/>
                <w:szCs w:val="18"/>
                <w:color w:val="auto"/>
              </w:rPr>
              <w:t>33,910,721</w:t>
            </w:r>
          </w:p>
        </w:tc>
        <w:tc>
          <w:tcPr>
            <w:tcW w:w="1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959"/>
              <w:spacing w:after="0" w:line="200"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220"/>
              <w:spacing w:after="0" w:line="200" w:lineRule="exact"/>
              <w:rPr>
                <w:sz w:val="20"/>
                <w:szCs w:val="20"/>
                <w:color w:val="auto"/>
              </w:rPr>
            </w:pPr>
            <w:r>
              <w:rPr>
                <w:rFonts w:ascii="Arial" w:cs="Arial" w:eastAsia="Arial" w:hAnsi="Arial"/>
                <w:sz w:val="18"/>
                <w:szCs w:val="18"/>
                <w:color w:val="auto"/>
                <w:w w:val="91"/>
              </w:rPr>
              <w:t>3.93</w:t>
            </w:r>
          </w:p>
        </w:tc>
        <w:tc>
          <w:tcPr>
            <w:tcW w:w="1640" w:type="dxa"/>
            <w:vAlign w:val="bottom"/>
            <w:gridSpan w:val="2"/>
            <w:shd w:val="clear" w:color="auto" w:fill="CFF0FC"/>
          </w:tcPr>
          <w:p>
            <w:pPr>
              <w:jc w:val="right"/>
              <w:ind w:right="120"/>
              <w:spacing w:after="0" w:line="200" w:lineRule="exact"/>
              <w:rPr>
                <w:sz w:val="20"/>
                <w:szCs w:val="20"/>
                <w:color w:val="auto"/>
              </w:rPr>
            </w:pPr>
            <w:r>
              <w:rPr>
                <w:rFonts w:ascii="Arial" w:cs="Arial" w:eastAsia="Arial" w:hAnsi="Arial"/>
                <w:sz w:val="18"/>
                <w:szCs w:val="18"/>
                <w:color w:val="auto"/>
              </w:rPr>
              <w:t>7.78</w:t>
            </w:r>
          </w:p>
        </w:tc>
        <w:tc>
          <w:tcPr>
            <w:tcW w:w="340" w:type="dxa"/>
            <w:vAlign w:val="bottom"/>
            <w:gridSpan w:val="2"/>
            <w:shd w:val="clear" w:color="auto" w:fill="CFF0FC"/>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00"/>
              <w:spacing w:after="0" w:line="200" w:lineRule="exact"/>
              <w:rPr>
                <w:sz w:val="20"/>
                <w:szCs w:val="20"/>
                <w:color w:val="auto"/>
              </w:rPr>
            </w:pPr>
            <w:r>
              <w:rPr>
                <w:rFonts w:ascii="Arial" w:cs="Arial" w:eastAsia="Arial" w:hAnsi="Arial"/>
                <w:sz w:val="18"/>
                <w:szCs w:val="18"/>
                <w:color w:val="auto"/>
              </w:rPr>
              <w:t>12,989</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14,855,136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1"/>
              </w:rPr>
              <w:t>1.75</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Exercised</w:t>
            </w:r>
          </w:p>
        </w:tc>
        <w:tc>
          <w:tcPr>
            <w:tcW w:w="17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(110,704)</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w w:val="91"/>
              </w:rPr>
              <w:t>0.69</w:t>
            </w:r>
          </w:p>
        </w:tc>
        <w:tc>
          <w:tcPr>
            <w:tcW w:w="1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Canceled</w:t>
            </w:r>
          </w:p>
        </w:tc>
        <w:tc>
          <w:tcPr>
            <w:tcW w:w="1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(864,165)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1"/>
              </w:rPr>
              <w:t>4.61</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44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Outstanding at June 30, 2025</w:t>
            </w:r>
          </w:p>
        </w:tc>
        <w:tc>
          <w:tcPr>
            <w:tcW w:w="1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47,790,988</w:t>
            </w:r>
          </w:p>
        </w:tc>
        <w:tc>
          <w:tcPr>
            <w:tcW w:w="16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gridSpan w:val="2"/>
            <w:shd w:val="clear" w:color="auto" w:fill="CFF0FC"/>
          </w:tcPr>
          <w:p>
            <w:pPr>
              <w:jc w:val="right"/>
              <w:ind w:right="959"/>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CFF0FC"/>
            </w:tcBorders>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w w:val="91"/>
              </w:rPr>
              <w:t>3.25</w:t>
            </w:r>
          </w:p>
        </w:tc>
        <w:tc>
          <w:tcPr>
            <w:tcW w:w="1640" w:type="dxa"/>
            <w:vAlign w:val="bottom"/>
            <w:tcBorders>
              <w:bottom w:val="single" w:sz="8" w:color="CFF0FC"/>
            </w:tcBorders>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8.02</w:t>
            </w:r>
          </w:p>
        </w:tc>
        <w:tc>
          <w:tcPr>
            <w:tcW w:w="340" w:type="dxa"/>
            <w:vAlign w:val="bottom"/>
            <w:tcBorders>
              <w:bottom w:val="single" w:sz="8" w:color="CFF0FC"/>
            </w:tcBorders>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880</w:t>
            </w:r>
          </w:p>
        </w:tc>
      </w:tr>
      <w:tr>
        <w:trPr>
          <w:trHeight w:val="183"/>
        </w:trPr>
        <w:tc>
          <w:tcPr>
            <w:tcW w:w="4400" w:type="dxa"/>
            <w:vAlign w:val="bottom"/>
          </w:tcPr>
          <w:p>
            <w:pPr>
              <w:spacing w:after="0" w:line="183" w:lineRule="exact"/>
              <w:rPr>
                <w:sz w:val="20"/>
                <w:szCs w:val="20"/>
                <w:color w:val="auto"/>
              </w:rPr>
            </w:pPr>
            <w:r>
              <w:rPr>
                <w:rFonts w:ascii="Arial" w:cs="Arial" w:eastAsia="Arial" w:hAnsi="Arial"/>
                <w:sz w:val="18"/>
                <w:szCs w:val="18"/>
                <w:color w:val="auto"/>
              </w:rPr>
              <w:t>Options exercisable at June 30, 2025</w:t>
            </w:r>
          </w:p>
        </w:tc>
        <w:tc>
          <w:tcPr>
            <w:tcW w:w="1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22,248,973</w:t>
            </w:r>
          </w:p>
        </w:tc>
        <w:tc>
          <w:tcPr>
            <w:tcW w:w="160" w:type="dxa"/>
            <w:vAlign w:val="bottom"/>
          </w:tcPr>
          <w:p>
            <w:pPr>
              <w:spacing w:after="0"/>
              <w:rPr>
                <w:sz w:val="15"/>
                <w:szCs w:val="15"/>
                <w:color w:val="auto"/>
              </w:rPr>
            </w:pPr>
          </w:p>
        </w:tc>
        <w:tc>
          <w:tcPr>
            <w:tcW w:w="1240" w:type="dxa"/>
            <w:vAlign w:val="bottom"/>
            <w:gridSpan w:val="2"/>
          </w:tcPr>
          <w:p>
            <w:pPr>
              <w:jc w:val="right"/>
              <w:ind w:right="959"/>
              <w:spacing w:after="0" w:line="183"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line="183" w:lineRule="exact"/>
              <w:rPr>
                <w:sz w:val="20"/>
                <w:szCs w:val="20"/>
                <w:color w:val="auto"/>
              </w:rPr>
            </w:pPr>
            <w:r>
              <w:rPr>
                <w:rFonts w:ascii="Arial" w:cs="Arial" w:eastAsia="Arial" w:hAnsi="Arial"/>
                <w:sz w:val="18"/>
                <w:szCs w:val="18"/>
                <w:color w:val="auto"/>
                <w:w w:val="91"/>
              </w:rPr>
              <w:t>4.32</w:t>
            </w:r>
          </w:p>
        </w:tc>
        <w:tc>
          <w:tcPr>
            <w:tcW w:w="1640" w:type="dxa"/>
            <w:vAlign w:val="bottom"/>
            <w:gridSpan w:val="2"/>
          </w:tcPr>
          <w:p>
            <w:pPr>
              <w:jc w:val="right"/>
              <w:ind w:right="120"/>
              <w:spacing w:after="0" w:line="183" w:lineRule="exact"/>
              <w:rPr>
                <w:sz w:val="20"/>
                <w:szCs w:val="20"/>
                <w:color w:val="auto"/>
              </w:rPr>
            </w:pPr>
            <w:r>
              <w:rPr>
                <w:rFonts w:ascii="Arial" w:cs="Arial" w:eastAsia="Arial" w:hAnsi="Arial"/>
                <w:sz w:val="18"/>
                <w:szCs w:val="18"/>
                <w:color w:val="auto"/>
              </w:rPr>
              <w:t>6.91</w:t>
            </w:r>
          </w:p>
        </w:tc>
        <w:tc>
          <w:tcPr>
            <w:tcW w:w="340" w:type="dxa"/>
            <w:vAlign w:val="bottom"/>
            <w:gridSpan w:val="2"/>
          </w:tcPr>
          <w:p>
            <w:pPr>
              <w:jc w:val="right"/>
              <w:ind w:right="120"/>
              <w:spacing w:after="0" w:line="183"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879</w:t>
            </w:r>
          </w:p>
        </w:tc>
      </w:tr>
      <w:tr>
        <w:trPr>
          <w:trHeight w:val="20"/>
        </w:trPr>
        <w:tc>
          <w:tcPr>
            <w:tcW w:w="44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3840480" cy="1803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40480" cy="180340"/>
                    </a:xfrm>
                    <a:prstGeom prst="rect">
                      <a:avLst/>
                    </a:prstGeom>
                    <a:noFill/>
                  </pic:spPr>
                </pic:pic>
              </a:graphicData>
            </a:graphic>
          </wp:anchor>
        </w:drawing>
      </w:r>
    </w:p>
    <w:p>
      <w:pPr>
        <w:spacing w:after="0" w:line="285"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weighted-average grant date fair value of options granted for the three and six months ended June 30, 2025 was $1.02 and $1.25, respectively, and for the three and six months ended June 30, 2024 was $1.48 and $1.28, respectively. As of June 30, 2025, the unrecognized compensation cost related to unvested stock option grants was $40.9 million and is expected to be recognized as expense over approximately 2.74 years. The intrinsic value of the options exercised for the three and six months ended June 30, 2025 was $58,000 and $132,000, respectively. The intrinsic value of the options exercised for the three and six months ended June 30, 2024 was $123,000 and $170,000, respectively.</w:t>
      </w:r>
    </w:p>
    <w:p>
      <w:pPr>
        <w:spacing w:after="0" w:line="16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assumptions used in the Black-Scholes option pricing model to determine the fair value of the employee and nonemployee stock option grants were as follows:</w:t>
      </w:r>
    </w:p>
    <w:p>
      <w:pPr>
        <w:sectPr>
          <w:pgSz w:w="11900" w:h="16838" w:orient="portrait"/>
          <w:cols w:equalWidth="0" w:num="1">
            <w:col w:w="11240"/>
          </w:cols>
          <w:pgMar w:left="320" w:top="1295" w:right="339" w:bottom="1440" w:gutter="0" w:footer="0" w:header="0"/>
        </w:sectPr>
      </w:pPr>
    </w:p>
    <w:p>
      <w:pPr>
        <w:spacing w:after="0" w:line="172" w:lineRule="exact"/>
        <w:rPr>
          <w:sz w:val="20"/>
          <w:szCs w:val="20"/>
          <w:color w:val="auto"/>
        </w:rPr>
      </w:pPr>
    </w:p>
    <w:p>
      <w:pPr>
        <w:jc w:val="center"/>
        <w:ind w:left="438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12065</wp:posOffset>
            </wp:positionV>
            <wp:extent cx="21170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9" w:lineRule="exact"/>
        <w:rPr>
          <w:sz w:val="20"/>
          <w:szCs w:val="20"/>
          <w:color w:val="auto"/>
        </w:rPr>
      </w:pPr>
    </w:p>
    <w:p>
      <w:pPr>
        <w:ind w:left="5040"/>
        <w:spacing w:after="0"/>
        <w:tabs>
          <w:tab w:leader="none" w:pos="6760" w:val="left"/>
        </w:tabs>
        <w:rPr>
          <w:sz w:val="20"/>
          <w:szCs w:val="20"/>
          <w:color w:val="auto"/>
        </w:rPr>
      </w:pPr>
      <w:r>
        <w:rPr>
          <w:rFonts w:ascii="Arial" w:cs="Arial" w:eastAsia="Arial" w:hAnsi="Arial"/>
          <w:sz w:val="16"/>
          <w:szCs w:val="16"/>
          <w:b w:val="1"/>
          <w:bCs w:val="1"/>
          <w:color w:val="auto"/>
        </w:rPr>
        <w:t>2025</w:t>
      </w:r>
      <w:r>
        <w:rPr>
          <w:sz w:val="20"/>
          <w:szCs w:val="20"/>
          <w:color w:val="auto"/>
        </w:rPr>
        <w:tab/>
      </w:r>
      <w:r>
        <w:rPr>
          <w:rFonts w:ascii="Arial" w:cs="Arial" w:eastAsia="Arial" w:hAnsi="Arial"/>
          <w:sz w:val="16"/>
          <w:szCs w:val="16"/>
          <w:b w:val="1"/>
          <w:bCs w:val="1"/>
          <w:color w:val="auto"/>
        </w:rPr>
        <w:t>2024</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20955</wp:posOffset>
            </wp:positionV>
            <wp:extent cx="2108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6" w:lineRule="exact"/>
        <w:rPr>
          <w:sz w:val="20"/>
          <w:szCs w:val="20"/>
          <w:color w:val="auto"/>
        </w:rPr>
      </w:pPr>
    </w:p>
    <w:p>
      <w:pPr>
        <w:spacing w:after="0"/>
        <w:tabs>
          <w:tab w:leader="none" w:pos="1720" w:val="left"/>
        </w:tabs>
        <w:rPr>
          <w:sz w:val="20"/>
          <w:szCs w:val="20"/>
          <w:color w:val="auto"/>
        </w:rPr>
      </w:pPr>
      <w:r>
        <w:rPr>
          <w:rFonts w:ascii="Arial" w:cs="Arial" w:eastAsia="Arial" w:hAnsi="Arial"/>
          <w:sz w:val="16"/>
          <w:szCs w:val="16"/>
          <w:b w:val="1"/>
          <w:bCs w:val="1"/>
          <w:color w:val="auto"/>
        </w:rPr>
        <w:t>2025</w:t>
      </w:r>
      <w:r>
        <w:rPr>
          <w:sz w:val="20"/>
          <w:szCs w:val="20"/>
          <w:color w:val="auto"/>
        </w:rPr>
        <w:tab/>
      </w:r>
      <w:r>
        <w:rPr>
          <w:rFonts w:ascii="Arial" w:cs="Arial" w:eastAsia="Arial" w:hAnsi="Arial"/>
          <w:sz w:val="16"/>
          <w:szCs w:val="16"/>
          <w:b w:val="1"/>
          <w:bCs w:val="1"/>
          <w:color w:val="auto"/>
        </w:rPr>
        <w:t>2024</w:t>
      </w:r>
    </w:p>
    <w:p>
      <w:pPr>
        <w:spacing w:after="0" w:line="32" w:lineRule="exact"/>
        <w:rPr>
          <w:sz w:val="20"/>
          <w:szCs w:val="20"/>
          <w:color w:val="auto"/>
        </w:rPr>
      </w:pPr>
    </w:p>
    <w:p>
      <w:pPr>
        <w:sectPr>
          <w:pgSz w:w="11900" w:h="16838" w:orient="portrait"/>
          <w:cols w:equalWidth="0" w:num="2">
            <w:col w:w="7800" w:space="720"/>
            <w:col w:w="2720"/>
          </w:cols>
          <w:pgMar w:left="320" w:top="1295"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3.96%-4.04%</w:t>
            </w:r>
          </w:p>
        </w:tc>
        <w:tc>
          <w:tcPr>
            <w:tcW w:w="16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4.26%-4.64%</w:t>
            </w:r>
          </w:p>
        </w:tc>
        <w:tc>
          <w:tcPr>
            <w:tcW w:w="140" w:type="dxa"/>
            <w:vAlign w:val="bottom"/>
          </w:tcPr>
          <w:p>
            <w:pPr>
              <w:spacing w:after="0"/>
              <w:rPr>
                <w:sz w:val="18"/>
                <w:szCs w:val="18"/>
                <w:color w:val="auto"/>
              </w:rPr>
            </w:pPr>
          </w:p>
        </w:tc>
        <w:tc>
          <w:tcPr>
            <w:tcW w:w="1660" w:type="dxa"/>
            <w:vAlign w:val="bottom"/>
            <w:tcBorders>
              <w:top w:val="single" w:sz="8" w:color="auto"/>
            </w:tcBorders>
            <w:shd w:val="clear" w:color="auto" w:fill="CFF0FC"/>
          </w:tcPr>
          <w:p>
            <w:pPr>
              <w:jc w:val="center"/>
              <w:ind w:right="10"/>
              <w:spacing w:after="0"/>
              <w:rPr>
                <w:sz w:val="20"/>
                <w:szCs w:val="20"/>
                <w:color w:val="auto"/>
              </w:rPr>
            </w:pPr>
            <w:r>
              <w:rPr>
                <w:rFonts w:ascii="Arial" w:cs="Arial" w:eastAsia="Arial" w:hAnsi="Arial"/>
                <w:sz w:val="18"/>
                <w:szCs w:val="18"/>
                <w:color w:val="auto"/>
                <w:w w:val="99"/>
              </w:rPr>
              <w:t>3.96%-4.43%</w:t>
            </w:r>
          </w:p>
        </w:tc>
        <w:tc>
          <w:tcPr>
            <w:tcW w:w="16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3.84%-4.64%</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Expected volatility</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80.33%-82.36%</w:t>
            </w:r>
          </w:p>
        </w:tc>
        <w:tc>
          <w:tcPr>
            <w:tcW w:w="17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82.72%-83.14%</w:t>
            </w:r>
          </w:p>
        </w:tc>
        <w:tc>
          <w:tcPr>
            <w:tcW w:w="140" w:type="dxa"/>
            <w:vAlign w:val="bottom"/>
          </w:tcPr>
          <w:p>
            <w:pPr>
              <w:spacing w:after="0"/>
              <w:rPr>
                <w:sz w:val="18"/>
                <w:szCs w:val="18"/>
                <w:color w:val="auto"/>
              </w:rPr>
            </w:pPr>
          </w:p>
        </w:tc>
        <w:tc>
          <w:tcPr>
            <w:tcW w:w="1660" w:type="dxa"/>
            <w:vAlign w:val="bottom"/>
          </w:tcPr>
          <w:p>
            <w:pPr>
              <w:jc w:val="center"/>
              <w:ind w:right="10"/>
              <w:spacing w:after="0"/>
              <w:rPr>
                <w:sz w:val="20"/>
                <w:szCs w:val="20"/>
                <w:color w:val="auto"/>
              </w:rPr>
            </w:pPr>
            <w:r>
              <w:rPr>
                <w:rFonts w:ascii="Arial" w:cs="Arial" w:eastAsia="Arial" w:hAnsi="Arial"/>
                <w:sz w:val="18"/>
                <w:szCs w:val="18"/>
                <w:color w:val="auto"/>
                <w:w w:val="99"/>
              </w:rPr>
              <w:t>79.48%-82.36%</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82.72%-83.91%</w:t>
            </w: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5.50-6.02</w:t>
            </w:r>
          </w:p>
        </w:tc>
        <w:tc>
          <w:tcPr>
            <w:tcW w:w="176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5.50-6.08</w:t>
            </w:r>
          </w:p>
        </w:tc>
        <w:tc>
          <w:tcPr>
            <w:tcW w:w="140" w:type="dxa"/>
            <w:vAlign w:val="bottom"/>
          </w:tcPr>
          <w:p>
            <w:pPr>
              <w:spacing w:after="0"/>
              <w:rPr>
                <w:sz w:val="18"/>
                <w:szCs w:val="18"/>
                <w:color w:val="auto"/>
              </w:rPr>
            </w:pPr>
          </w:p>
        </w:tc>
        <w:tc>
          <w:tcPr>
            <w:tcW w:w="1660" w:type="dxa"/>
            <w:vAlign w:val="bottom"/>
            <w:shd w:val="clear" w:color="auto" w:fill="CFF0FC"/>
          </w:tcPr>
          <w:p>
            <w:pPr>
              <w:jc w:val="center"/>
              <w:ind w:right="10"/>
              <w:spacing w:after="0"/>
              <w:rPr>
                <w:sz w:val="20"/>
                <w:szCs w:val="20"/>
                <w:color w:val="auto"/>
              </w:rPr>
            </w:pPr>
            <w:r>
              <w:rPr>
                <w:rFonts w:ascii="Arial" w:cs="Arial" w:eastAsia="Arial" w:hAnsi="Arial"/>
                <w:sz w:val="18"/>
                <w:szCs w:val="18"/>
                <w:color w:val="auto"/>
                <w:w w:val="99"/>
              </w:rPr>
              <w:t>5.28-6.08</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5.28-6.08</w:t>
            </w:r>
          </w:p>
        </w:tc>
      </w:tr>
      <w:tr>
        <w:trPr>
          <w:trHeight w:val="239"/>
        </w:trPr>
        <w:tc>
          <w:tcPr>
            <w:tcW w:w="44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66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82"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Effective May 21, 2024, and in accordance with the terms of the 2021 Plan, the Company's board of directors approved a stock option repricing (the Option Repricing) whereby the exercise price of each Repriced Option (as defined below) was reduced to $2.35 per share, the closing stock price on May 21, 2024. For purposes of the Option Repricing, “Repriced Options” are 7,478,918 outstanding stock options as of May 21, 2024 (vested and unvested) granted under the 2021 Plan and held by those eligible employees of the Company identified by the Company's board of directors, excluding the Company’s Section 16 officers (the chairman and chief executive officer, the chief financial officer and chief business officer, the chief medical officer, and the general counsel) and the Company's board of directors.</w:t>
      </w:r>
    </w:p>
    <w:p>
      <w:pPr>
        <w:spacing w:after="0" w:line="16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To the extent a Repriced Option is exercised prior to the Premium End Date (as defined below), the eligible employee will be required to pay the original exercise price per share of the Repriced Options in connection with any exercise of the Repriced Option. The “Premium End Date” means the earliest of (i) May 21, 2026; (ii) the date of a change in control of the Company; (iii) the date of the eligible employee’s death or disability; or (iv) the date of the eligible employee’s termination without cause, provided that such termination without cause occurs after May 21, 2025. Except for the reduction in the exercise prices of the Repriced Options as described above, the Repriced Options will retain their existing terms and conditions as set forth in the 2021 Plan and the applicable award agreements. All repriced options will retain their original vesting schedule.</w:t>
      </w:r>
    </w:p>
    <w:p>
      <w:pPr>
        <w:spacing w:after="0" w:line="171"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color w:val="auto"/>
        </w:rPr>
        <w:t>The Option Repricing resulted in $1.1 million of incremental cost, which was calculated using the Black-Scholes option pricing model, of which $559,000 of the incremental cost will be recognized on a straight-line basis through the Premium End Date, and $558,000 of the incremental cost will be recognized on a straight-line basis over the greater of the period through the Premium End Date or the remaining service period. The incremental cost is included in general and administrative expense and research and development expense on the condensed consolidated statements of operations and comprehensive loss.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98"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In July 2021, the Company’s board of directors adopted and the Company’s stockholders approved the Company's 2021 Employee Stock Purchase Plan (the ESPP), which became effective in connection with the IPO. The ESPP permits participants to contribute up to a specified percentage of their eligible compensation during a series of offering periods of 24 months, each comprised of four six-month purchase periods, to purchase the Company’s common stock. The purchase price of the shares will be 85% of the fair market value of the Company’s common stock on the first day of trading of the applicable offering period or on the applicable purchase date, whichever is lower. A total of 1,260,000 shares of common stock was initially reserved for issuance under the ESPP. In addition, the number of shares of common stock available for issuance under the ESPP may be increased annually on the first day of each calendar year during the term of the ESPP, beginning in 2022, by an amount equal to the lesser of (i) 1% of the shares of common stock outstanding on the final day of the immediately preceding calendar year or (ii) such smaller number of shares as determined by the Company’s board of directors or an authorized committee of the board of directors. The Company recognized stock-based compensation expense related to the ESPP of $247,000 and $461,000 during the three and six months ended June 30, 2025, respectively, and $103,000 and $444,000 during the three and six months ended June 30, 2024, respectively. As of June 30, 2025, the unrecognized compensation cost related to the ESPP was $1.2 million and is expected to be recognized as expense over approximately 1.96 years. As of June 30, 2025 and December 31, 2024, $43,000 and $50,000 has been withheld on behalf of employees for future purchase under the ESPP, respectively, and is included in accrued expenses and other current liabilities on the condensed consolidated balance sheets. The Company issued and sold 321,091 shares under the ESPP during the three and six months ended June 30, 2025 and 252,444 shares under the ESPP during the three and six months ended June 30, 2024.</w:t>
      </w:r>
    </w:p>
    <w:p>
      <w:pPr>
        <w:spacing w:after="0" w:line="159"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assumptions used in the Black-Scholes option pricing model to determine the fair value of the stock to be purchased under the ESPP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40" w:type="dxa"/>
            <w:vAlign w:val="bottom"/>
          </w:tcPr>
          <w:p>
            <w:pPr>
              <w:spacing w:after="0"/>
              <w:rPr>
                <w:sz w:val="18"/>
                <w:szCs w:val="18"/>
                <w:color w:val="auto"/>
              </w:rPr>
            </w:pPr>
          </w:p>
        </w:tc>
        <w:tc>
          <w:tcPr>
            <w:tcW w:w="334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Three Months Ended June 30,</w:t>
            </w:r>
          </w:p>
        </w:tc>
        <w:tc>
          <w:tcPr>
            <w:tcW w:w="140" w:type="dxa"/>
            <w:vAlign w:val="bottom"/>
          </w:tcPr>
          <w:p>
            <w:pPr>
              <w:spacing w:after="0"/>
              <w:rPr>
                <w:sz w:val="18"/>
                <w:szCs w:val="18"/>
                <w:color w:val="auto"/>
              </w:rPr>
            </w:pPr>
          </w:p>
        </w:tc>
        <w:tc>
          <w:tcPr>
            <w:tcW w:w="332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444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r>
      <w:tr>
        <w:trPr>
          <w:trHeight w:val="20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3.97%-4.32%</w:t>
            </w:r>
          </w:p>
        </w:tc>
        <w:tc>
          <w:tcPr>
            <w:tcW w:w="176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4.75%-5.39%</w:t>
            </w:r>
          </w:p>
        </w:tc>
        <w:tc>
          <w:tcPr>
            <w:tcW w:w="17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3.97%-4.32%</w:t>
            </w:r>
          </w:p>
        </w:tc>
        <w:tc>
          <w:tcPr>
            <w:tcW w:w="172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4.75%-5.39%</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Expected volatility</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76.13%-92.99%</w:t>
            </w:r>
          </w:p>
        </w:tc>
        <w:tc>
          <w:tcPr>
            <w:tcW w:w="17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68.73%-74.72%</w:t>
            </w:r>
          </w:p>
        </w:tc>
        <w:tc>
          <w:tcPr>
            <w:tcW w:w="17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76.13%-92.99%</w:t>
            </w:r>
          </w:p>
        </w:tc>
        <w:tc>
          <w:tcPr>
            <w:tcW w:w="17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68.73%-74.72%</w:t>
            </w: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0.5-2.0</w:t>
            </w:r>
          </w:p>
        </w:tc>
        <w:tc>
          <w:tcPr>
            <w:tcW w:w="176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0.49-1.99</w:t>
            </w:r>
          </w:p>
        </w:tc>
        <w:tc>
          <w:tcPr>
            <w:tcW w:w="17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0.5-2.0</w:t>
            </w:r>
          </w:p>
        </w:tc>
        <w:tc>
          <w:tcPr>
            <w:tcW w:w="172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0.49-1.99</w:t>
            </w:r>
          </w:p>
        </w:tc>
      </w:tr>
      <w:tr>
        <w:trPr>
          <w:trHeight w:val="239"/>
        </w:trPr>
        <w:tc>
          <w:tcPr>
            <w:tcW w:w="44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stock-based compensation for all stock awards was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40" w:type="dxa"/>
            <w:vAlign w:val="bottom"/>
          </w:tcPr>
          <w:p>
            <w:pPr>
              <w:spacing w:after="0"/>
              <w:rPr>
                <w:sz w:val="19"/>
                <w:szCs w:val="19"/>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6"/>
                <w:szCs w:val="16"/>
                <w:b w:val="1"/>
                <w:bCs w:val="1"/>
                <w:color w:val="auto"/>
              </w:rPr>
              <w:t>Six Months Ended June 30,</w:t>
            </w:r>
          </w:p>
        </w:tc>
        <w:tc>
          <w:tcPr>
            <w:tcW w:w="100" w:type="dxa"/>
            <w:vAlign w:val="bottom"/>
          </w:tcPr>
          <w:p>
            <w:pPr>
              <w:spacing w:after="0"/>
              <w:rPr>
                <w:sz w:val="19"/>
                <w:szCs w:val="19"/>
                <w:color w:val="auto"/>
              </w:rPr>
            </w:pPr>
          </w:p>
        </w:tc>
      </w:tr>
      <w:tr>
        <w:trPr>
          <w:trHeight w:val="186"/>
        </w:trPr>
        <w:tc>
          <w:tcPr>
            <w:tcW w:w="4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520" w:type="dxa"/>
            <w:vAlign w:val="bottom"/>
          </w:tcPr>
          <w:p>
            <w:pPr>
              <w:spacing w:after="0"/>
              <w:rPr>
                <w:sz w:val="16"/>
                <w:szCs w:val="16"/>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rPr>
              <w:t>2024</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74"/>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492"/>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6"/>
                <w:szCs w:val="16"/>
                <w:color w:val="auto"/>
              </w:rPr>
            </w:pPr>
          </w:p>
        </w:tc>
      </w:tr>
      <w:tr>
        <w:trPr>
          <w:trHeight w:val="21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top w:val="single" w:sz="8" w:color="auto"/>
            </w:tcBorders>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2,938</w:t>
            </w:r>
          </w:p>
        </w:tc>
        <w:tc>
          <w:tcPr>
            <w:tcW w:w="2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3,788</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6,056</w:t>
            </w:r>
          </w:p>
        </w:tc>
        <w:tc>
          <w:tcPr>
            <w:tcW w:w="24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7,272</w:t>
            </w:r>
          </w:p>
        </w:tc>
        <w:tc>
          <w:tcPr>
            <w:tcW w:w="100" w:type="dxa"/>
            <w:vAlign w:val="bottom"/>
            <w:shd w:val="clear" w:color="auto" w:fill="CFF0FC"/>
          </w:tcPr>
          <w:p>
            <w:pPr>
              <w:spacing w:after="0"/>
              <w:rPr>
                <w:sz w:val="18"/>
                <w:szCs w:val="18"/>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w:t>
            </w:r>
          </w:p>
        </w:tc>
        <w:tc>
          <w:tcPr>
            <w:tcW w:w="2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3,392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7,055</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6,756</w:t>
            </w:r>
          </w:p>
        </w:tc>
        <w:tc>
          <w:tcPr>
            <w:tcW w:w="100" w:type="dxa"/>
            <w:vAlign w:val="bottom"/>
          </w:tcPr>
          <w:p>
            <w:pPr>
              <w:spacing w:after="0"/>
              <w:rPr>
                <w:sz w:val="19"/>
                <w:szCs w:val="19"/>
                <w:color w:val="auto"/>
              </w:rPr>
            </w:pPr>
          </w:p>
        </w:tc>
      </w:tr>
      <w:tr>
        <w:trPr>
          <w:trHeight w:val="236"/>
        </w:trPr>
        <w:tc>
          <w:tcPr>
            <w:tcW w:w="44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FF0FC"/>
          </w:tcPr>
          <w:p>
            <w:pPr>
              <w:jc w:val="right"/>
              <w:ind w:right="795"/>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6,398</w:t>
            </w:r>
          </w:p>
        </w:tc>
        <w:tc>
          <w:tcPr>
            <w:tcW w:w="26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810"/>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7,180</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13,111</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14,028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98"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The Company has facility leases for laboratory and office space under non-cancellable and cancellable operating leases with various expiration dates through 2032.</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Lease costs were comprised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5"/>
          </w:tcPr>
          <w:p>
            <w:pPr>
              <w:jc w:val="right"/>
              <w:ind w:right="320"/>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5"/>
          </w:tcPr>
          <w:p>
            <w:pPr>
              <w:jc w:val="right"/>
              <w:ind w:right="360"/>
              <w:spacing w:after="0"/>
              <w:rPr>
                <w:sz w:val="20"/>
                <w:szCs w:val="20"/>
                <w:color w:val="auto"/>
              </w:rPr>
            </w:pPr>
            <w:r>
              <w:rPr>
                <w:rFonts w:ascii="Arial" w:cs="Arial" w:eastAsia="Arial" w:hAnsi="Arial"/>
                <w:sz w:val="16"/>
                <w:szCs w:val="16"/>
                <w:b w:val="1"/>
                <w:bCs w:val="1"/>
                <w:color w:val="auto"/>
              </w:rPr>
              <w:t>Six Months Ended June 30,</w:t>
            </w:r>
          </w:p>
        </w:tc>
      </w:tr>
      <w:tr>
        <w:trPr>
          <w:trHeight w:val="183"/>
        </w:trPr>
        <w:tc>
          <w:tcPr>
            <w:tcW w:w="57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333"/>
              <w:spacing w:after="0" w:line="183" w:lineRule="exact"/>
              <w:rPr>
                <w:sz w:val="20"/>
                <w:szCs w:val="20"/>
                <w:color w:val="auto"/>
              </w:rPr>
            </w:pPr>
            <w:r>
              <w:rPr>
                <w:rFonts w:ascii="Arial" w:cs="Arial" w:eastAsia="Arial" w:hAnsi="Arial"/>
                <w:sz w:val="16"/>
                <w:szCs w:val="16"/>
                <w:b w:val="1"/>
                <w:bCs w:val="1"/>
                <w:color w:val="auto"/>
              </w:rPr>
              <w:t>2025</w:t>
            </w:r>
          </w:p>
        </w:tc>
        <w:tc>
          <w:tcPr>
            <w:tcW w:w="26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12"/>
              <w:spacing w:after="0" w:line="183" w:lineRule="exact"/>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33"/>
              <w:spacing w:after="0" w:line="183" w:lineRule="exact"/>
              <w:rPr>
                <w:sz w:val="20"/>
                <w:szCs w:val="20"/>
                <w:color w:val="auto"/>
              </w:rPr>
            </w:pPr>
            <w:r>
              <w:rPr>
                <w:rFonts w:ascii="Arial" w:cs="Arial" w:eastAsia="Arial" w:hAnsi="Arial"/>
                <w:sz w:val="16"/>
                <w:szCs w:val="16"/>
                <w:b w:val="1"/>
                <w:bCs w:val="1"/>
                <w:color w:val="auto"/>
              </w:rPr>
              <w:t>2025</w:t>
            </w:r>
          </w:p>
        </w:tc>
        <w:tc>
          <w:tcPr>
            <w:tcW w:w="26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32"/>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r>
      <w:tr>
        <w:trPr>
          <w:trHeight w:val="196"/>
        </w:trPr>
        <w:tc>
          <w:tcPr>
            <w:tcW w:w="5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1,815</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2,434</w:t>
            </w:r>
          </w:p>
        </w:tc>
        <w:tc>
          <w:tcPr>
            <w:tcW w:w="16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3,646</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4,345</w:t>
            </w:r>
          </w:p>
        </w:tc>
        <w:tc>
          <w:tcPr>
            <w:tcW w:w="100" w:type="dxa"/>
            <w:vAlign w:val="bottom"/>
            <w:shd w:val="clear" w:color="auto" w:fill="CFF0FC"/>
          </w:tcPr>
          <w:p>
            <w:pPr>
              <w:spacing w:after="0"/>
              <w:rPr>
                <w:sz w:val="17"/>
                <w:szCs w:val="17"/>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Variable lease cost</w:t>
            </w: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1,026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918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2,169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1,834</w:t>
            </w:r>
          </w:p>
        </w:tc>
        <w:tc>
          <w:tcPr>
            <w:tcW w:w="100" w:type="dxa"/>
            <w:vAlign w:val="bottom"/>
          </w:tcPr>
          <w:p>
            <w:pPr>
              <w:spacing w:after="0"/>
              <w:rPr>
                <w:sz w:val="17"/>
                <w:szCs w:val="17"/>
                <w:color w:val="auto"/>
              </w:rPr>
            </w:pPr>
          </w:p>
        </w:tc>
      </w:tr>
      <w:tr>
        <w:trPr>
          <w:trHeight w:val="203"/>
        </w:trPr>
        <w:tc>
          <w:tcPr>
            <w:tcW w:w="5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Sublease income</w:t>
            </w:r>
          </w:p>
        </w:tc>
        <w:tc>
          <w:tcPr>
            <w:tcW w:w="1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(715)</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(132)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(1,428)</w:t>
            </w: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(216)</w:t>
            </w:r>
          </w:p>
        </w:tc>
      </w:tr>
      <w:tr>
        <w:trPr>
          <w:trHeight w:val="20"/>
        </w:trPr>
        <w:tc>
          <w:tcPr>
            <w:tcW w:w="57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720" w:type="dxa"/>
            <w:vAlign w:val="bottom"/>
          </w:tcPr>
          <w:p>
            <w:pPr>
              <w:spacing w:after="0" w:line="182" w:lineRule="exact"/>
              <w:rPr>
                <w:sz w:val="20"/>
                <w:szCs w:val="20"/>
                <w:color w:val="auto"/>
              </w:rPr>
            </w:pPr>
            <w:r>
              <w:rPr>
                <w:rFonts w:ascii="Arial" w:cs="Arial" w:eastAsia="Arial" w:hAnsi="Arial"/>
                <w:sz w:val="18"/>
                <w:szCs w:val="18"/>
                <w:color w:val="auto"/>
              </w:rPr>
              <w:t>Total lease cost</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2,126</w:t>
            </w:r>
          </w:p>
        </w:tc>
        <w:tc>
          <w:tcPr>
            <w:tcW w:w="260" w:type="dxa"/>
            <w:vAlign w:val="bottom"/>
          </w:tcPr>
          <w:p>
            <w:pPr>
              <w:spacing w:after="0"/>
              <w:rPr>
                <w:sz w:val="17"/>
                <w:szCs w:val="17"/>
                <w:color w:val="auto"/>
              </w:rPr>
            </w:pP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3,220</w:t>
            </w:r>
          </w:p>
        </w:tc>
        <w:tc>
          <w:tcPr>
            <w:tcW w:w="160" w:type="dxa"/>
            <w:vAlign w:val="bottom"/>
          </w:tcPr>
          <w:p>
            <w:pPr>
              <w:spacing w:after="0"/>
              <w:rPr>
                <w:sz w:val="17"/>
                <w:szCs w:val="17"/>
                <w:color w:val="auto"/>
              </w:rPr>
            </w:pPr>
          </w:p>
        </w:tc>
        <w:tc>
          <w:tcPr>
            <w:tcW w:w="26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4,387</w:t>
            </w:r>
          </w:p>
        </w:tc>
        <w:tc>
          <w:tcPr>
            <w:tcW w:w="260" w:type="dxa"/>
            <w:vAlign w:val="bottom"/>
          </w:tcPr>
          <w:p>
            <w:pPr>
              <w:spacing w:after="0"/>
              <w:rPr>
                <w:sz w:val="17"/>
                <w:szCs w:val="17"/>
                <w:color w:val="auto"/>
              </w:rPr>
            </w:pP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5,963</w:t>
            </w:r>
          </w:p>
        </w:tc>
        <w:tc>
          <w:tcPr>
            <w:tcW w:w="100" w:type="dxa"/>
            <w:vAlign w:val="bottom"/>
          </w:tcPr>
          <w:p>
            <w:pPr>
              <w:spacing w:after="0"/>
              <w:rPr>
                <w:sz w:val="17"/>
                <w:szCs w:val="17"/>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-162560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-162560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-162560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6"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The Company paid $3.3 million and $4.1 million in cash for operating leases, net of cash received from subleases, that is included in the operating activities section of the condensed consolidated statements of cash flows for the six months ended June 30, 2025 and 2024, respectively.</w:t>
      </w:r>
    </w:p>
    <w:p>
      <w:pPr>
        <w:spacing w:after="0" w:line="155"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The weighted-average remaining lease term and the weighted-average discount rate of the Company’s operating leases were 6.89 years and 8.98%, respectively, at June 30, 2025. The weighted-average remaining lease term and the weighted-average discount rate of the Company’s operating leases were 7.33 years and 8.97%, respectively, at December 31, 2024. The weighted-average remaining lease term does not include any renewal options at the election of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lease agreements do not contain any material residual value guarantees or material restrictive covenants.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leases</w:t>
      </w:r>
    </w:p>
    <w:p>
      <w:pPr>
        <w:spacing w:after="0" w:line="19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September 2020, the Company entered into a lease agreement for 59,407 square feet of laboratory and office space in San Diego, California, which represented a portion of a new facility that was under construction and which was subsequently amended in March 2021 to expand the rented premises by 18,421 square feet (the 2020 Lease). The construction and design of the asset was the primary responsibility of the lessor. The Company was involved in certain aspects of construction and design for certain interior features and leasehold improvements that is beneficial to the Company to better suit its business needs and intended purpose of the space. The lease is accounted for as an operating lease and commenced in August 2021. In April 2022, the 2020 Lease was modified to amend the rent commencement date from February 2022 to May 2022. The 2020 Lease, as amended, has a term of 10.75 years and includes aggregate monthly payments to the lessor of approximately $51.6 million beginning in May 2023 with a rent escalation clause, and a tenant improvement allowance of approximately $16.8 million. The Company is responsible for its share of operating expenses based on actual operating expenses incurred by the landlord. The 2020 Lease is cancellable at the Company’s request after the 84th month with 12 months written notice and a lump-sum cancellation payment of $2.5 million. The termination option has not been included in the Company's operating lease assets and liabilities. As discussed in Note 2, the Company provided a letter of credit to the lessor for $408,000, which expires July 29, 2032.</w:t>
      </w:r>
    </w:p>
    <w:p>
      <w:pPr>
        <w:spacing w:after="0" w:line="16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December 2021, the Company entered into a lease agreement for 29,542 square feet of office and laboratory space in South San Francisco, California. The lease is accounted for as an operating lease with the associated operating lease assets and liabilities recorded upon commencement, which occurred in July 2022. The non-cancellable operating lease has an initial term of 124 months with an option to extend the lease term by 5 years at the then-current market rates and includes aggregate monthly payments to the lessor of approximately $34.4 million beginning in November 2022 with a rent escalation clause and a tenant improvement allowance of approximately $8.2 million. The renewal option has not been included in the Company's operating lease assets and liabilities. The Company is responsible for its share of operating expenses based on actual operating expenses incurred by the landlord. The construction and design of the tenant improvements was the primary responsibility of the lessor. While the Company was involved in certain aspects of construction and design for certain interior features and leasehold improvements that is beneficial to the Company to better suit its business needs and intended purpose of the space, all construction was handled directly by the landlord. The Company was not deemed to be the accounting owner of the tenant improvements prior to or after the construction period. All payments made by the Company for landlord-owned tenant improvements were recorded as prepaid rent on the condensed consolidated balance sheets prior to lease commencement and included in the operating lease asset upon lease commencement. In February 2022, the expected project costs exceeded the tenant improvement allowances by $5.1 million, which was paid directly to the landlord by the Company and was recorded as prepaid rent in the condensed consolidated balance sheets and as a cash outflow from operating activities in the condensed consolidated statements of cash flows. Upon lease commencement, the $5.1 million of prepaid rent was included in the operating lease asset. The Company paid a security deposit of $874,000 in December 2021 that was recorded as other assets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0" w:name="page21"/>
    <w:bookmarkEnd w:id="20"/>
    <w:p>
      <w:pPr>
        <w:ind w:right="20"/>
        <w:spacing w:after="0" w:line="237" w:lineRule="auto"/>
        <w:rPr>
          <w:sz w:val="20"/>
          <w:szCs w:val="20"/>
          <w:color w:val="auto"/>
        </w:rPr>
      </w:pPr>
      <w:r>
        <w:rPr>
          <w:rFonts w:ascii="Arial" w:cs="Arial" w:eastAsia="Arial" w:hAnsi="Arial"/>
          <w:sz w:val="18"/>
          <w:szCs w:val="18"/>
          <w:color w:val="auto"/>
        </w:rPr>
        <w:t>In January 2024, the Company entered into an agreement to sublease the second floor of its corporate headquarters in San Diego, California (the January 2024 Sublease). Pursuant to the January 2024 Sublease, the subleased space is approximately 10,000 square feet of office space with a sublease term of three years which includes an option for the subtenant to renew for an additional year and an early termination clause. In June 2025, the Company and the subtenant entered into a termination agreement that terminates the January 2024 Sublease in July 2025. In July 2024, the Company executed an agreement to sublease the first floor of its corporate headquarters (the July 2024 Sublease). Pursuant to the July 2024 Sublease, the subleased space is 18,421 square feet of office space with a sublease term of 61 months beginning in October 2024. The July 2024 Sublease includes an option for the subtenant to renew for an additional year and an early termination clause. In September 2024, the Company entered into an agreement to sublease a portion of the third floor of its corporate headquarters (the September 2024 Sublease). Pursuant to the September 2024 Sublease, the subleased space is approximately 5,000 square feet of laboratory space with a sublease term of one year which includes an option for the subtenant to renew for an additional year. In July 2025, the September 2024 Sublease was amended to: (i) add approximately 5,000 square feet of laboratory space on the third floor and approximately 11,000 square feet of office space on the second floor to the subleased space; and (ii) to extend the term of the September 2024 Sublease through December 31, 2027. The amendment to the September 2024 Sublease includes an option for the subtenant to renew for an additional year.</w:t>
      </w:r>
    </w:p>
    <w:p>
      <w:pPr>
        <w:spacing w:after="0" w:line="176"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color w:val="auto"/>
        </w:rPr>
        <w:t>The Company determined the subleases to be operating leases. Therefore, the Company recognizes sublease income on a straight-line basis over the lease term in its condensed consolidated statements of operations and comprehensive loss as a reduction to lease costs because the subleases are outside of the Company's normal business operations. The Company will continue to account for the operating lease assets and related liabilities of the original lease as it did prior to the commencement of the subleases. The Company recorded a reduction to lease costs of $715,000 and $1.4 million related to income from these subleases during the three and six months ended June 30, 2025, respectively, and $132,000 and $216,000 during the three and six months ended June 30, 2024, respectively.</w:t>
      </w:r>
    </w:p>
    <w:p>
      <w:pPr>
        <w:spacing w:after="0" w:line="16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connection with committing to the plan to sublease the first floor of its corporate headquarters in June 2024, the Company reassessed its asset groups for testing long-lived assets for impairment and determined the first floor operating lease assets and related property and equipment represented an asset group separate from the entity wide asset group. As of June 30, 2024, the Company concluded that the carrying value of the first floor asset group was not recoverable as it exceeded the future net undiscounted cash flows that are expected to be generated from the use and eventual disposition of the assets within the asset group. The Company determined the fair value of the first floor asset group based on the income approach using a discounted cash flow model. The cash flows used in the model were discounted using a rate of 13.5%. Based on this analysis, the Company recognized a noncash impairment charge of $4.7 million, including $2.4 million for the operating lease assets and $2.3 million for the leasehold improvements and furniture, of which $3.0 million was recorded to research and development expense and $1.7 million was recorded to general and administrative expense, during the three and six months ended June 30, 2024. This represented a Level 3 nonrecurring fair value measurement. Calculating the fair value of the asset group involves significant estimates and assumptions, including projected future cash flows and a discount rate. Changes in the estimates and assumptions used could materially affect the amount of impairment loss recognized in the period the asset group is considered impaired. No impairment was recorded during the three and six months ended June 30, 2025.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and sublease receipts under operating leases as of June 30, 2025 (including the amended September 2024</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Sublease)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Operating Lease</w:t>
            </w:r>
          </w:p>
        </w:tc>
        <w:tc>
          <w:tcPr>
            <w:tcW w:w="1680" w:type="dxa"/>
            <w:vAlign w:val="bottom"/>
            <w:gridSpan w:val="3"/>
          </w:tcPr>
          <w:p>
            <w:pPr>
              <w:spacing w:after="0"/>
              <w:rPr>
                <w:sz w:val="20"/>
                <w:szCs w:val="20"/>
                <w:color w:val="auto"/>
              </w:rPr>
            </w:pPr>
            <w:r>
              <w:rPr>
                <w:rFonts w:ascii="Arial" w:cs="Arial" w:eastAsia="Arial" w:hAnsi="Arial"/>
                <w:sz w:val="16"/>
                <w:szCs w:val="16"/>
                <w:b w:val="1"/>
                <w:bCs w:val="1"/>
                <w:color w:val="auto"/>
              </w:rPr>
              <w:t>Operating Sublease</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Payments</w:t>
            </w:r>
          </w:p>
        </w:tc>
        <w:tc>
          <w:tcPr>
            <w:tcW w:w="280" w:type="dxa"/>
            <w:vAlign w:val="bottom"/>
          </w:tcPr>
          <w:p>
            <w:pPr>
              <w:spacing w:after="0"/>
              <w:rPr>
                <w:sz w:val="17"/>
                <w:szCs w:val="17"/>
                <w:color w:val="auto"/>
              </w:rPr>
            </w:pPr>
          </w:p>
        </w:tc>
        <w:tc>
          <w:tcPr>
            <w:tcW w:w="1400" w:type="dxa"/>
            <w:vAlign w:val="bottom"/>
            <w:gridSpan w:val="2"/>
          </w:tcPr>
          <w:p>
            <w:pPr>
              <w:ind w:left="160"/>
              <w:spacing w:after="0"/>
              <w:rPr>
                <w:sz w:val="20"/>
                <w:szCs w:val="20"/>
                <w:color w:val="auto"/>
              </w:rPr>
            </w:pPr>
            <w:r>
              <w:rPr>
                <w:rFonts w:ascii="Arial" w:cs="Arial" w:eastAsia="Arial" w:hAnsi="Arial"/>
                <w:sz w:val="16"/>
                <w:szCs w:val="16"/>
                <w:b w:val="1"/>
                <w:bCs w:val="1"/>
                <w:color w:val="auto"/>
              </w:rPr>
              <w:t>Receipts</w:t>
            </w: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Year ending December 31,</w:t>
            </w:r>
          </w:p>
        </w:tc>
        <w:tc>
          <w:tcPr>
            <w:tcW w:w="3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2025 (remaining six months)</w:t>
            </w:r>
          </w:p>
        </w:tc>
        <w:tc>
          <w:tcPr>
            <w:tcW w:w="3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4,428</w:t>
            </w:r>
          </w:p>
        </w:tc>
        <w:tc>
          <w:tcPr>
            <w:tcW w:w="300" w:type="dxa"/>
            <w:vAlign w:val="bottom"/>
          </w:tcPr>
          <w:p>
            <w:pPr>
              <w:spacing w:after="0"/>
              <w:rPr>
                <w:sz w:val="17"/>
                <w:szCs w:val="17"/>
                <w:color w:val="auto"/>
              </w:rPr>
            </w:pP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1,420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3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9,035</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9,199</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2,970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w:t>
            </w:r>
          </w:p>
        </w:tc>
        <w:tc>
          <w:tcPr>
            <w:tcW w:w="3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9,277</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9,572</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1,237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Thereafter</w:t>
            </w:r>
          </w:p>
        </w:tc>
        <w:tc>
          <w:tcPr>
            <w:tcW w:w="3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25,527</w:t>
            </w:r>
          </w:p>
        </w:tc>
        <w:tc>
          <w:tcPr>
            <w:tcW w:w="3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Pr>
          <w:p>
            <w:pPr>
              <w:ind w:left="200"/>
              <w:spacing w:after="0" w:line="196" w:lineRule="exact"/>
              <w:rPr>
                <w:sz w:val="20"/>
                <w:szCs w:val="20"/>
                <w:color w:val="auto"/>
              </w:rPr>
            </w:pPr>
            <w:r>
              <w:rPr>
                <w:rFonts w:ascii="Arial" w:cs="Arial" w:eastAsia="Arial" w:hAnsi="Arial"/>
                <w:sz w:val="18"/>
                <w:szCs w:val="18"/>
                <w:color w:val="auto"/>
              </w:rPr>
              <w:t>Total lease payments or sublease receipts</w:t>
            </w:r>
          </w:p>
        </w:tc>
        <w:tc>
          <w:tcPr>
            <w:tcW w:w="3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67,038</w:t>
            </w:r>
          </w:p>
        </w:tc>
        <w:tc>
          <w:tcPr>
            <w:tcW w:w="300" w:type="dxa"/>
            <w:vAlign w:val="bottom"/>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9,959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Amount representing interest</w:t>
            </w:r>
          </w:p>
        </w:tc>
        <w:tc>
          <w:tcPr>
            <w:tcW w:w="3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(17,615)</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Borders>
              <w:top w:val="single" w:sz="8" w:color="CFF0FC"/>
            </w:tcBorders>
          </w:tcPr>
          <w:p>
            <w:pPr>
              <w:ind w:left="200"/>
              <w:spacing w:after="0" w:line="182" w:lineRule="exact"/>
              <w:rPr>
                <w:sz w:val="20"/>
                <w:szCs w:val="20"/>
                <w:color w:val="auto"/>
              </w:rPr>
            </w:pPr>
            <w:r>
              <w:rPr>
                <w:rFonts w:ascii="Arial" w:cs="Arial" w:eastAsia="Arial" w:hAnsi="Arial"/>
                <w:sz w:val="18"/>
                <w:szCs w:val="18"/>
                <w:color w:val="auto"/>
              </w:rPr>
              <w:t>Operating lease liabilities</w:t>
            </w:r>
          </w:p>
        </w:tc>
        <w:tc>
          <w:tcPr>
            <w:tcW w:w="310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49,423</w:t>
            </w:r>
          </w:p>
        </w:tc>
        <w:tc>
          <w:tcPr>
            <w:tcW w:w="30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30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100" w:type="dxa"/>
            <w:vAlign w:val="bottom"/>
            <w:vMerge w:val="restart"/>
          </w:tcPr>
          <w:p>
            <w:pPr>
              <w:jc w:val="right"/>
              <w:ind w:right="185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456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56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-1473835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-1207770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9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Liabilities for loss contingencies arising from claims, assessments, litigation, fines, penalties and other sources are recorded when it is probable that a liability has been incurred and the amount can be reasonably estimated. There are no matters currently outstanding for which any such liabilities have been accrued.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reprioritization</w:t>
      </w:r>
    </w:p>
    <w:p>
      <w:pPr>
        <w:spacing w:after="0" w:line="19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May 2024, in connection with the execution of the Joyo License Agreement and the Medshine License Agreement, the Company approved a strategic reprioritization to focus the Company’s resources on its naporafenib program, its ERAS-0015 product candidate, which is the lead candidate from the Joyo License Agreement, and its ERAS-4001 product candidate, which is the lead candidate from the Medshine License Agreement. The Company deprioritized its HERKULES-3 clinical trial evaluating ERAS-007 in combination with encorafenib and cetuximab (EC) in patients with EC-naïve BRAFm colorectal cancer, its THUNDERBBOLT-1 clinical trial evaluating ERAS-801 in patients with recurrent glioblastoma, and its ERAS-4 pan-KRAS program. In connection with this strategic reprioritization, the Company also approved a reduction in the Company’s workforce by approximately 18%, primarily affecting employees working in certain drug discovery functions or on the deprioritized programs and trials. As a result, the Company recognized $2.2 million in total charges in the three and six months ended June 30, 2024 in the condensed consolidated statements of operations and comprehensive loss based upon the underlying employees’ role within the Company in connection with the reduction in force. These charges consisted primarily of one-time cash charges for termination benefits which were substantially all paid in June 2024.</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 provision for federal, state or foreign income taxes has been recorded for the three and six months ended June 30, 2025 and 2024. The Company has incurred net operating losses for all the periods presented and has not reflected any benefit of such net operating loss carryforwards in the accompanying condensed consolidated financial statements due to uncertainty around utilizing these tax attributes within their respective carryforward periods. The Company has recorded a full valuation allowance against all of its deferred tax assets as it is not more likely than not that such assets will be realized in the near future. The Company’s policy is to recognize interest expense and penalties related to income tax matters as tax expense. For the three and six months ended June 30, 2025 and 2024, the Company has not recognized any interest or penalties related to income taxes.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July 4, 2025, the One Big Beautiful Bill Act (OBBBA), a budget reconciliation package that changes the U.S. federal income tax laws was signed into law. In addition to extending various expiring provisions from the Tax Cuts and Jobs Act (TCJA) of 2017, the OBBBA restores the tax deductibility of domestic research and development expenses in the year incurred. These expenses had been required under the TCJA to be capitalized and subsequently amortized over five years. The OBBBA did not change the tax treatment of expenses incurred in research and development activities conducted outside the United States, which expenses continue to be required to be capitalized and amortized over 15 years. The Company is evaluating the impact of the legislation and forthcoming administrative guidance and regulations to its consolidated financial statements and related disclosures.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Net loss per share</w:t>
      </w:r>
    </w:p>
    <w:p>
      <w:pPr>
        <w:spacing w:after="0" w:line="19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following table summarizes the computation of basic and diluted net loss per share of the Company (in thousands, except share and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80" w:type="dxa"/>
            <w:vAlign w:val="bottom"/>
            <w:gridSpan w:val="7"/>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2820" w:type="dxa"/>
            <w:vAlign w:val="bottom"/>
            <w:gridSpan w:val="5"/>
          </w:tcPr>
          <w:p>
            <w:pPr>
              <w:ind w:left="20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183"/>
        </w:trPr>
        <w:tc>
          <w:tcPr>
            <w:tcW w:w="506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373"/>
              <w:spacing w:after="0" w:line="183" w:lineRule="exact"/>
              <w:rPr>
                <w:sz w:val="20"/>
                <w:szCs w:val="20"/>
                <w:color w:val="auto"/>
              </w:rPr>
            </w:pPr>
            <w:r>
              <w:rPr>
                <w:rFonts w:ascii="Arial" w:cs="Arial" w:eastAsia="Arial" w:hAnsi="Arial"/>
                <w:sz w:val="16"/>
                <w:szCs w:val="16"/>
                <w:b w:val="1"/>
                <w:bCs w:val="1"/>
                <w:color w:val="auto"/>
              </w:rPr>
              <w:t>2025</w:t>
            </w: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12"/>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94"/>
              <w:spacing w:after="0" w:line="183" w:lineRule="exact"/>
              <w:rPr>
                <w:sz w:val="20"/>
                <w:szCs w:val="20"/>
                <w:color w:val="auto"/>
              </w:rPr>
            </w:pPr>
            <w:r>
              <w:rPr>
                <w:rFonts w:ascii="Arial" w:cs="Arial" w:eastAsia="Arial" w:hAnsi="Arial"/>
                <w:sz w:val="16"/>
                <w:szCs w:val="16"/>
                <w:b w:val="1"/>
                <w:bCs w:val="1"/>
                <w:color w:val="auto"/>
              </w:rPr>
              <w:t>2025</w:t>
            </w:r>
          </w:p>
        </w:tc>
        <w:tc>
          <w:tcPr>
            <w:tcW w:w="24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12"/>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(33,876)</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(63,201)</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(64,842)</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(98,218)</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060" w:type="dxa"/>
            <w:vAlign w:val="bottom"/>
          </w:tcPr>
          <w:p>
            <w:pPr>
              <w:spacing w:after="0" w:line="177" w:lineRule="exact"/>
              <w:rPr>
                <w:sz w:val="20"/>
                <w:szCs w:val="20"/>
                <w:color w:val="auto"/>
              </w:rPr>
            </w:pPr>
            <w:r>
              <w:rPr>
                <w:rFonts w:ascii="Arial" w:cs="Arial" w:eastAsia="Arial" w:hAnsi="Arial"/>
                <w:sz w:val="18"/>
                <w:szCs w:val="18"/>
                <w:color w:val="auto"/>
              </w:rPr>
              <w:t>Weighted-average shares of common stock used in</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283,355,730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217,806,567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283,308,273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184,484,154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060" w:type="dxa"/>
            <w:vAlign w:val="bottom"/>
          </w:tcPr>
          <w:p>
            <w:pPr>
              <w:spacing w:after="0"/>
              <w:rPr>
                <w:sz w:val="20"/>
                <w:szCs w:val="20"/>
                <w:color w:val="auto"/>
              </w:rPr>
            </w:pPr>
            <w:r>
              <w:rPr>
                <w:rFonts w:ascii="Arial" w:cs="Arial" w:eastAsia="Arial" w:hAnsi="Arial"/>
                <w:sz w:val="18"/>
                <w:szCs w:val="18"/>
                <w:color w:val="auto"/>
              </w:rPr>
              <w:t>computing net loss per share, basic and diluted</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0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Net loss per share, basic and diluted</w:t>
            </w: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(0.12)</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(0.29)</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(0.23)</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(0.53)</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862"/>
        </w:trPr>
        <w:tc>
          <w:tcPr>
            <w:tcW w:w="5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513"/>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5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-1464945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-1464945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-1464945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-1464945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-1071245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-1053465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-1071245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-1053465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-1071245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-1053465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22" w:name="page23"/>
    <w:bookmarkEnd w:id="22"/>
    <w:p>
      <w:pPr>
        <w:ind w:right="60"/>
        <w:spacing w:after="0" w:line="242" w:lineRule="auto"/>
        <w:rPr>
          <w:sz w:val="20"/>
          <w:szCs w:val="20"/>
          <w:color w:val="auto"/>
        </w:rPr>
      </w:pPr>
      <w:r>
        <w:rPr>
          <w:rFonts w:ascii="Arial" w:cs="Arial" w:eastAsia="Arial" w:hAnsi="Arial"/>
          <w:sz w:val="18"/>
          <w:szCs w:val="18"/>
          <w:color w:val="auto"/>
        </w:rPr>
        <w:t>The Company’s potentially dilutive securities, which include options to purchase common stock, shares purchasable under the ESPP and common stock subject to repurchase related to options early exercised, have been excluded from the computation of diluted net loss per share as the effect would be to reduce the net loss per share. Therefore, the weighted-average number of common shares outstanding used to calculate both basic and diluted net loss per share is the same. The Company excluded the following potential common shares, presented as amounts outstanding at each period end, from the computation of diluted net loss per share for the periods indicated because including them would have had an anti-dilutive effect: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0" w:type="dxa"/>
            <w:vAlign w:val="bottom"/>
          </w:tcPr>
          <w:p>
            <w:pPr>
              <w:spacing w:after="0"/>
              <w:rPr>
                <w:sz w:val="16"/>
                <w:szCs w:val="16"/>
                <w:color w:val="auto"/>
              </w:rPr>
            </w:pPr>
          </w:p>
        </w:tc>
        <w:tc>
          <w:tcPr>
            <w:tcW w:w="2220" w:type="dxa"/>
            <w:vAlign w:val="bottom"/>
            <w:gridSpan w:val="2"/>
          </w:tcPr>
          <w:p>
            <w:pPr>
              <w:jc w:val="right"/>
              <w:ind w:right="940"/>
              <w:spacing w:after="0"/>
              <w:rPr>
                <w:sz w:val="20"/>
                <w:szCs w:val="20"/>
                <w:color w:val="auto"/>
              </w:rPr>
            </w:pPr>
            <w:r>
              <w:rPr>
                <w:rFonts w:ascii="Arial" w:cs="Arial" w:eastAsia="Arial" w:hAnsi="Arial"/>
                <w:sz w:val="16"/>
                <w:szCs w:val="16"/>
                <w:b w:val="1"/>
                <w:bCs w:val="1"/>
                <w:color w:val="auto"/>
              </w:rPr>
              <w:t>June 30,</w:t>
            </w:r>
          </w:p>
        </w:tc>
        <w:tc>
          <w:tcPr>
            <w:tcW w:w="2020" w:type="dxa"/>
            <w:vAlign w:val="bottom"/>
            <w:gridSpan w:val="2"/>
          </w:tcPr>
          <w:p>
            <w:pPr>
              <w:ind w:left="640"/>
              <w:spacing w:after="0"/>
              <w:rPr>
                <w:sz w:val="20"/>
                <w:szCs w:val="20"/>
                <w:color w:val="auto"/>
              </w:rPr>
            </w:pPr>
            <w:r>
              <w:rPr>
                <w:rFonts w:ascii="Arial" w:cs="Arial" w:eastAsia="Arial" w:hAnsi="Arial"/>
                <w:sz w:val="16"/>
                <w:szCs w:val="16"/>
                <w:b w:val="1"/>
                <w:bCs w:val="1"/>
                <w:color w:val="auto"/>
              </w:rPr>
              <w:t>June 30,</w:t>
            </w:r>
          </w:p>
        </w:tc>
      </w:tr>
      <w:tr>
        <w:trPr>
          <w:trHeight w:val="203"/>
        </w:trPr>
        <w:tc>
          <w:tcPr>
            <w:tcW w:w="7000" w:type="dxa"/>
            <w:vAlign w:val="bottom"/>
          </w:tcPr>
          <w:p>
            <w:pPr>
              <w:spacing w:after="0"/>
              <w:rPr>
                <w:sz w:val="17"/>
                <w:szCs w:val="17"/>
                <w:color w:val="auto"/>
              </w:rPr>
            </w:pPr>
          </w:p>
        </w:tc>
        <w:tc>
          <w:tcPr>
            <w:tcW w:w="190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2025</w:t>
            </w:r>
          </w:p>
        </w:tc>
        <w:tc>
          <w:tcPr>
            <w:tcW w:w="320" w:type="dxa"/>
            <w:vAlign w:val="bottom"/>
          </w:tcPr>
          <w:p>
            <w:pPr>
              <w:spacing w:after="0"/>
              <w:rPr>
                <w:sz w:val="17"/>
                <w:szCs w:val="17"/>
                <w:color w:val="auto"/>
              </w:rPr>
            </w:pPr>
          </w:p>
        </w:tc>
        <w:tc>
          <w:tcPr>
            <w:tcW w:w="1920" w:type="dxa"/>
            <w:vAlign w:val="bottom"/>
            <w:tcBorders>
              <w:bottom w:val="single" w:sz="8" w:color="auto"/>
            </w:tcBorders>
          </w:tcPr>
          <w:p>
            <w:pPr>
              <w:jc w:val="right"/>
              <w:ind w:right="693"/>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7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Options to purchase common stock</w:t>
            </w:r>
          </w:p>
        </w:tc>
        <w:tc>
          <w:tcPr>
            <w:tcW w:w="1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47,790,988</w:t>
            </w:r>
          </w:p>
        </w:tc>
        <w:tc>
          <w:tcPr>
            <w:tcW w:w="320" w:type="dxa"/>
            <w:vAlign w:val="bottom"/>
            <w:shd w:val="clear" w:color="auto" w:fill="CFF0FC"/>
          </w:tcPr>
          <w:p>
            <w:pPr>
              <w:spacing w:after="0"/>
              <w:rPr>
                <w:sz w:val="17"/>
                <w:szCs w:val="17"/>
                <w:color w:val="auto"/>
              </w:rPr>
            </w:pPr>
          </w:p>
        </w:tc>
        <w:tc>
          <w:tcPr>
            <w:tcW w:w="20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34,828,546</w:t>
            </w: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Options early exercised subject to future vesting</w:t>
            </w:r>
          </w:p>
        </w:tc>
        <w:tc>
          <w:tcPr>
            <w:tcW w:w="2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123,961</w:t>
            </w:r>
          </w:p>
        </w:tc>
      </w:tr>
      <w:tr>
        <w:trPr>
          <w:trHeight w:val="203"/>
        </w:trPr>
        <w:tc>
          <w:tcPr>
            <w:tcW w:w="70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Estimated shares purchasable under the ESPP</w:t>
            </w:r>
          </w:p>
        </w:tc>
        <w:tc>
          <w:tcPr>
            <w:tcW w:w="1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1,521,200</w:t>
            </w:r>
          </w:p>
        </w:tc>
        <w:tc>
          <w:tcPr>
            <w:tcW w:w="320" w:type="dxa"/>
            <w:vAlign w:val="bottom"/>
            <w:tcBorders>
              <w:bottom w:val="single" w:sz="8" w:color="CFF0FC"/>
            </w:tcBorders>
            <w:shd w:val="clear" w:color="auto" w:fill="CFF0FC"/>
          </w:tcPr>
          <w:p>
            <w:pPr>
              <w:spacing w:after="0"/>
              <w:rPr>
                <w:sz w:val="17"/>
                <w:szCs w:val="17"/>
                <w:color w:val="auto"/>
              </w:rPr>
            </w:pPr>
          </w:p>
        </w:tc>
        <w:tc>
          <w:tcPr>
            <w:tcW w:w="1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798,238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000" w:type="dxa"/>
            <w:vAlign w:val="bottom"/>
          </w:tcPr>
          <w:p>
            <w:pPr>
              <w:spacing w:after="0" w:line="182" w:lineRule="exact"/>
              <w:rPr>
                <w:sz w:val="20"/>
                <w:szCs w:val="20"/>
                <w:color w:val="auto"/>
              </w:rPr>
            </w:pPr>
            <w:r>
              <w:rPr>
                <w:rFonts w:ascii="Arial" w:cs="Arial" w:eastAsia="Arial" w:hAnsi="Arial"/>
                <w:sz w:val="18"/>
                <w:szCs w:val="18"/>
                <w:color w:val="auto"/>
              </w:rPr>
              <w:t>Total potentially dilutive shares</w:t>
            </w:r>
          </w:p>
        </w:tc>
        <w:tc>
          <w:tcPr>
            <w:tcW w:w="1900" w:type="dxa"/>
            <w:vAlign w:val="bottom"/>
          </w:tcPr>
          <w:p>
            <w:pPr>
              <w:jc w:val="right"/>
              <w:spacing w:after="0" w:line="182" w:lineRule="exact"/>
              <w:rPr>
                <w:sz w:val="20"/>
                <w:szCs w:val="20"/>
                <w:color w:val="auto"/>
              </w:rPr>
            </w:pPr>
            <w:r>
              <w:rPr>
                <w:rFonts w:ascii="Arial" w:cs="Arial" w:eastAsia="Arial" w:hAnsi="Arial"/>
                <w:sz w:val="18"/>
                <w:szCs w:val="18"/>
                <w:color w:val="auto"/>
              </w:rPr>
              <w:t>49,312,188</w:t>
            </w:r>
          </w:p>
        </w:tc>
        <w:tc>
          <w:tcPr>
            <w:tcW w:w="320" w:type="dxa"/>
            <w:vAlign w:val="bottom"/>
          </w:tcPr>
          <w:p>
            <w:pPr>
              <w:spacing w:after="0"/>
              <w:rPr>
                <w:sz w:val="17"/>
                <w:szCs w:val="17"/>
                <w:color w:val="auto"/>
              </w:rPr>
            </w:pPr>
          </w:p>
        </w:tc>
        <w:tc>
          <w:tcPr>
            <w:tcW w:w="20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35,750,745</w:t>
            </w:r>
          </w:p>
        </w:tc>
      </w:tr>
      <w:tr>
        <w:trPr>
          <w:trHeight w:val="20"/>
        </w:trPr>
        <w:tc>
          <w:tcPr>
            <w:tcW w:w="70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-162560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198"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Company operates and manages its business as a single operating and reportable segment focused on the discovery and development of precision medicines for the benefit of patients with cancer. The Company's chief operating decision maker (CODM) is the chief executive officer and the CODM manages and allocates resources to the Company on a consolidated basis. Managing and allocating resources on a consolidated basis enables the CODM to assess the overall level of resources available, including cash, cash equivalents and marketable securities, and how to best deploy these resources based on unmet medical need, scientific data, probability of successful development, market potential and other considerations to best support the long-term growth of the business.</w:t>
      </w:r>
    </w:p>
    <w:p>
      <w:pPr>
        <w:spacing w:after="0" w:line="165"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The CODM assesses performance for the segment based on net loss, which is reported on the condensed consolidated statements of operations and comprehensive loss as consolidated net loss. The measure of segment assets is reported on the condensed consolidated balance sheets as total consolidated assets.</w:t>
      </w:r>
    </w:p>
    <w:p>
      <w:pPr>
        <w:spacing w:after="0" w:line="15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CODM uses cash forecast models in deciding how to invest into the segment. Such cash forecast models are reviewed to assess the consolidated operating results and performance. Net loss is used to monitor budget versus actual results. Monitoring budgeted versus actual results is used in assessing performance of the segment and in establishing cash forecast models. Significant segment expenses provided to the CODM are the same as presented on the condensed consolidated statements of operations and comprehensive loss as research and development expenses and general and administrative expenses.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198"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On August 12, 2025, the Company entered into an Amended and Restated Open Market Sale Agreement (the 2025 Sale Agreement) with Jefferies (the Agent), pursuant to which the Company may offer and sell shares of the Company’s common stock having an aggregate offering price of up to $200 million from time to time, in “at the market” offerings through the Agent. Sales of the shares of common stock, if any, will be made at prevailing market prices at the time of sale, or as otherwise agreed with the Agent. The Agent will receive a commission from the Company of up to 3.0% of the gross proceeds of any shares of common stock sold under the Sale Agreement.</w:t>
      </w:r>
    </w:p>
    <w:p>
      <w:pPr>
        <w:spacing w:after="0" w:line="16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is not obligated to sell, and the Agent is not obligated to buy or sell, any shares of common stock under the Sale Agreement. No assurance can be given that the Company will sell any shares of common stock under the Sale Agreement, or, if it does, as to the price or amount of shares of common stock that it sells or the dates when such sales will take place.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4"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notes thereto included elsewhere in this Quarterly Report on Form 10-Q and with our audited consolidated financial statements and notes thereto and management’s discussion and analysis of financial condition and results of operations for the year ended December 31, 2024, included in our Annual Report on Form 10-K for the year ended December 31, 2024 filed with the SEC on March 20, 2025.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Quarterly Report contains forward-looking statements within the meaning of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the anticipated timing, costs, design and conduct of our ongoing and planned preclinical studies and planned clinical trials for our product candidates, the timing and likelihood of regulatory filings and approvals for our product candidates, our ability to commercialize our product candidates, if approved, the impact of global geopolitical and economic events and war on our business, the pricing and reimbursement of our product candidates, if approved, the potential to develop future product candidates, the potential benefits of current and future licenses, acquisitions, and strategic arrangements with third parties, and our intent to enter into any future strategic arrangements, the timing and likelihood of success, plans and objectives of management for future operations and future results of anticipated product development efforts, are forward-looking statements. In some cases, you can identify forward-looking statements by terms such as “may,” “will,” “should,” “could,” “expect,” “intend,” "target," “plan,” “anticipate,” “believe,” “estimate,” “predict,” “potential,” “continue,” or the negative of these terms or other similar expressions. These forward-looking statements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risks, uncertainties and assumptions, including those described in Part II, Item 1A,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are a clinical-stage precision oncology company singularly focused on discovering, developing, and commercializing therapies for patients with RAS/MAPK pathway-driven cancers. Molecular alterations in RAS, the most frequently mutated oncogene, and the MAPK pathway, one of the most frequently altered signaling pathways in cancer, account for more than five million new patients diagnosed with cancer globally each year. Our company was co-founded by leading pioneers in precision oncology and RAS targeting to create novel therapies and combination regimens designed to comprehensively shut down the RAS/MAPK pathway for the treatment of patients with cancer. Our focused RAS/MAPK pipeline comprises modality-agnostic programs aligned with our three therapeutic strategies of: (1) targeting key upstream and downstream signaling nodes in the RAS/MAPK pathway; (2) targeting RAS directly; and (3) targeting escape routes that emerge in response to treatment.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24" w:name="page25"/>
    <w:bookmarkEnd w:id="24"/>
    <w:p>
      <w:pPr>
        <w:ind w:right="160"/>
        <w:spacing w:after="0" w:line="271" w:lineRule="auto"/>
        <w:rPr>
          <w:sz w:val="20"/>
          <w:szCs w:val="20"/>
          <w:color w:val="auto"/>
        </w:rPr>
      </w:pPr>
      <w:r>
        <w:rPr>
          <w:rFonts w:ascii="Arial" w:cs="Arial" w:eastAsia="Arial" w:hAnsi="Arial"/>
          <w:sz w:val="18"/>
          <w:szCs w:val="18"/>
          <w:color w:val="auto"/>
        </w:rPr>
        <w:t>The following figure shows the RAS/MAPK pathway and how the three therapeutic strategies listed above attempt to comprehensively and synergistically shut down the RAS/MAPK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100965</wp:posOffset>
            </wp:positionV>
            <wp:extent cx="5631815" cy="45345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31815" cy="453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Our pipeline enables us to pursue a systematic, data-driven, portfolio-wide clinical development effort to identify therapeutic approaches with the goal of prolonging survival in numerous patient populations with high unmet medical needs. Our modality-agnostic approach aims to allow us to selectively and potently target critical signaling nodes with the most appropriate modality, including small and large molecule therapeutics. Our purpose-built pipeline includes three clinical-stage programs (naporafenib, a pan-RAF inhibitor; ERAS-0015, a pan-RAS molecular glue; and ERAS-4001, a pan-KRAS inhibitor), and ERAS-12, a discovery-stage program (an EGFR D2/D3 biparatopic antibody). We believe our world-class team’s capabilities and experience, further guided by our scientific advisory board, which includes the world’s leading experts in the RAS/MAPK pathway, uniquely position us to achieve our bold mission of erasing cancer.</w:t>
      </w:r>
    </w:p>
    <w:p>
      <w:pPr>
        <w:spacing w:after="0" w:line="171" w:lineRule="exact"/>
        <w:rPr>
          <w:sz w:val="20"/>
          <w:szCs w:val="20"/>
          <w:color w:val="auto"/>
        </w:rPr>
      </w:pPr>
    </w:p>
    <w:p>
      <w:pPr>
        <w:ind w:right="400"/>
        <w:spacing w:after="0" w:line="247" w:lineRule="auto"/>
        <w:rPr>
          <w:sz w:val="20"/>
          <w:szCs w:val="20"/>
          <w:color w:val="auto"/>
        </w:rPr>
      </w:pPr>
      <w:r>
        <w:rPr>
          <w:rFonts w:ascii="Arial" w:cs="Arial" w:eastAsia="Arial" w:hAnsi="Arial"/>
          <w:sz w:val="18"/>
          <w:szCs w:val="18"/>
          <w:color w:val="auto"/>
        </w:rPr>
        <w:t>We in-licensed our RAS-targeting franchise in May 2024. The RAS targeting landscape can be divided into pan-RAS, pan-KRAS, and mutant-selective approaches. We believe pan-RAS and pan-KRAS targeting molecules can address a broad population of patients with G12X, G13X, and possibly Q61X mutations, and also have the potential to address or prevent resistance by blocking wildtype RAS activation.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71" w:right="419" w:bottom="1440" w:gutter="0" w:footer="0" w:header="0"/>
        </w:sectPr>
      </w:pPr>
    </w:p>
    <w:bookmarkStart w:id="25" w:name="page26"/>
    <w:bookmarkEnd w:id="25"/>
    <w:p>
      <w:pPr>
        <w:ind w:right="80"/>
        <w:spacing w:after="0"/>
        <w:rPr>
          <w:sz w:val="20"/>
          <w:szCs w:val="20"/>
          <w:color w:val="auto"/>
        </w:rPr>
      </w:pPr>
      <w:r>
        <w:rPr>
          <w:rFonts w:ascii="Arial" w:cs="Arial" w:eastAsia="Arial" w:hAnsi="Arial"/>
          <w:sz w:val="18"/>
          <w:szCs w:val="18"/>
          <w:color w:val="auto"/>
        </w:rPr>
        <w:t>ERAS-0015 is a potential best-in-class pan-RAS molecular glue in development for the treatment of patients with RAS-mutated solid tumors. In vitro, ERAS-0015 has shown approximately 8-21 times higher binding affinity to cyclophilin A versus the most advanced pan-RAS molecular glue in development. We believe this higher binding affinity results in approximately 5 times more potent RAS inhibition than the comparator that has been demonstrated in cell-based assays. ERAS-0015 also has favorable absorption, distribution, metabolism and excretion (ADME) and PK properties in multiple animal species. As a result of these favorable in vitro potency and ADME/PK attributes, ERAS-0015 has demonstrated comparable to greater in vivo antitumor activity at doses which are approximately one-tenth to one-eighth of the dose of the most advanced pan-RAS molecular glue. In combination with an anti-PD-1 antibody, ERAS-0015 was able to achieve complete disappearance of tumors in mice on day 31. The combination of ERAS-0015 plus the anti-EGFR antibody cetuximab induced significant tumor growth inhibition and demonstrated the combination benefit of blocking both oncogenic drivers. The initial clinical trial for ERAS-0015 is AURORAS-1. The investigational new drug application (IND) for AURORAS-1 was cleared by the US Food and Drug Administration (FDA) in May 2025. We anticipate a Phase 1 monotherapy data readout from the AURORAS-1 trial in 2026.</w:t>
      </w:r>
    </w:p>
    <w:p>
      <w:pPr>
        <w:spacing w:after="0" w:line="167"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ERAS-4001 is a potential first-in-class pan-KRAS inhibitor in development for the treatment of patients with KRAS-mutated solid tumors. The preclinical in vitro potency of ERAS-4001 showed good activity against KRAS G12X mutations, as well as KRAS wildtype amplifications, with no activity observed against HRAS or NRAS wildtype proteins. We believe sparing wildtype HRAS and NRAS has the potential to provide a wider therapeutic window in the clinic. ERAS-4001 demonstrated activity against both GDP-bound (“inactive state”) and GTP-bound (“active state”) KRAS G12D with single digit nanomolar IC</w:t>
      </w:r>
      <w:r>
        <w:rPr>
          <w:rFonts w:ascii="Arial" w:cs="Arial" w:eastAsia="Arial" w:hAnsi="Arial"/>
          <w:sz w:val="23"/>
          <w:szCs w:val="23"/>
          <w:color w:val="auto"/>
          <w:vertAlign w:val="subscript"/>
        </w:rPr>
        <w:t>50</w:t>
      </w:r>
      <w:r>
        <w:rPr>
          <w:rFonts w:ascii="Arial" w:cs="Arial" w:eastAsia="Arial" w:hAnsi="Arial"/>
          <w:sz w:val="17"/>
          <w:szCs w:val="17"/>
          <w:color w:val="auto"/>
        </w:rPr>
        <w:t xml:space="preserve"> (a measure of the drug concentration needed to achieve half-maximal inhibition) values</w:t>
      </w:r>
    </w:p>
    <w:p>
      <w:pPr>
        <w:spacing w:after="0" w:line="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 biochemical RAS – RAF1 RBD (RAS Binding Domain) assay. In vivo, ERAS-4001 showed tumor regression in multiple models when administered as a monotherapy. In combination with an anti-PD -1 antibody, ERAS-4001 was able to achieve complete disappearance of tumors in mice on day 31. The combination of ERAS-4001 plus the anti-EGFR antibody cetuximab induced significant tumor growth inhibition and demonstrated the combination benefit of blocking both oncogenic drivers. The initial clinical trial for ERAS-4001 is BOREALIS-1. The IND for BOREALIS-1 was cleared by the FDA in May 2025. We anticipate a Phase 1 monotherapy data readout from the BOREALIS-1 trial in 2026.</w:t>
      </w:r>
    </w:p>
    <w:p>
      <w:pPr>
        <w:spacing w:after="0" w:line="16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believe ERAS-0015 has the potential to address unmet medical needs in approximately 2.7 million patients who are diagnosed annually worldwide with RAS-mutant tumors, including the more than 2.2 million patients with KRAS-mutant tumors whom ERAS-4001 could also address.</w:t>
      </w:r>
    </w:p>
    <w:p>
      <w:pPr>
        <w:spacing w:after="0" w:line="155" w:lineRule="exact"/>
        <w:rPr>
          <w:sz w:val="20"/>
          <w:szCs w:val="20"/>
          <w:color w:val="auto"/>
        </w:rPr>
      </w:pPr>
    </w:p>
    <w:p>
      <w:pPr>
        <w:ind w:right="20"/>
        <w:spacing w:after="0" w:line="205" w:lineRule="exact"/>
        <w:rPr>
          <w:sz w:val="20"/>
          <w:szCs w:val="20"/>
          <w:color w:val="auto"/>
        </w:rPr>
      </w:pPr>
      <w:r>
        <w:rPr>
          <w:rFonts w:ascii="Arial" w:cs="Arial" w:eastAsia="Arial" w:hAnsi="Arial"/>
          <w:sz w:val="18"/>
          <w:szCs w:val="18"/>
          <w:color w:val="auto"/>
        </w:rPr>
        <w:t>Our latest clinical stage product candidate is naporafenib, for which we initiated two trials to evaluate the naporafenib plus trametinib (MEKINIST) combination (neither of which is enrolling patients currently), the SEACRAFT-2 pivotal Phase 3 trial for patients with NRAS-mutated (NRASm) melanoma and the SEACRAFT-1 Phase 1b trial for patients with RAS Q61X solid tumors. Naporafenib is a pan-RAF inhibitor with first-in-class and best-in-class potential for patients with NRASm melanoma and other RAS/MAPK pathway-driven tumors. RAF proteins are ubiquitously expressed serine-threonine kinases that constitute a key node of the RAS/MAPK pathway downstream of RAS and upstream of MEK. The RAF protein family consists of ARAF, BRAF, and CRAF (RAF1) that are activated through dimerization. Mutations in RAF proteins have been observed in many cancers, such as melanoma, colorectal cancer (CRC), non-small cell lung cancer (NSCLC), and thyroid cancer. We in-licensed naporafenib from Novartis Pharma AG (Novartis) in December 2022. Naporafenib has been dosed in over 600 patients to date, whereby safety, tolerability, and acceptable pharmacokinetics (PK) and pharmacodynamics have been established in both monotherapy and select combinations, with clinical proof-of-concept (PoC) data in combination with trametinib for patients with NRASm melanoma, which includes NRAS Q61X melanoma. In December 2023, we announced that the FDA granted Fast Track Designation (FTD) to naporafenib in combination with trametinib for the treatment of adult patients with unresectable or metastatic melanoma who have progressed on, or are intolerant to, an anti</w:t>
      </w:r>
      <w:r>
        <w:rPr>
          <w:rFonts w:ascii="MS PGothic" w:cs="MS PGothic" w:eastAsia="MS PGothic" w:hAnsi="MS PGothic"/>
          <w:sz w:val="18"/>
          <w:szCs w:val="18"/>
          <w:color w:val="auto"/>
        </w:rPr>
        <w:t>‑</w:t>
      </w:r>
      <w:r>
        <w:rPr>
          <w:rFonts w:ascii="Arial" w:cs="Arial" w:eastAsia="Arial" w:hAnsi="Arial"/>
          <w:sz w:val="18"/>
          <w:szCs w:val="18"/>
          <w:color w:val="auto"/>
        </w:rPr>
        <w:t>programmed death-1 (ligand 1) (PD</w:t>
      </w:r>
      <w:r>
        <w:rPr>
          <w:rFonts w:ascii="MS PGothic" w:cs="MS PGothic" w:eastAsia="MS PGothic" w:hAnsi="MS PGothic"/>
          <w:sz w:val="18"/>
          <w:szCs w:val="18"/>
          <w:color w:val="auto"/>
        </w:rPr>
        <w:t>‑</w:t>
      </w:r>
      <w:r>
        <w:rPr>
          <w:rFonts w:ascii="Arial" w:cs="Arial" w:eastAsia="Arial" w:hAnsi="Arial"/>
          <w:sz w:val="18"/>
          <w:szCs w:val="18"/>
          <w:color w:val="auto"/>
        </w:rPr>
        <w:t>(L)1)-based regimen, and whose tumors contain an NRAS mutation. Programs that receive FTD may benefit from early and frequent interactions with the FDA during the clinical development process and, if relevant criteria are met, the FDA may consider reviewing portions of a marketing application before the sponsor submits the complete application.</w:t>
      </w:r>
    </w:p>
    <w:p>
      <w:pPr>
        <w:spacing w:after="0" w:line="172"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In connection with our SEACRAFT-2 trial, we have entered into a clinical trial collaboration and supply agreement (CTCSA) with Novartis for its MEK inhibitor, trametinib. Pursuant to the CTCSA, we are sponsoring and funding the clinical trial and Novartis is providing its drug to us free of charge. In addition, we are evaluating additional combinations of naporafenib with our other RAS/MAPK pathway targeting agents and/or external agents in preclinical models.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6" w:name="page27"/>
    <w:bookmarkEnd w:id="26"/>
    <w:p>
      <w:pPr>
        <w:ind w:right="100"/>
        <w:spacing w:after="0" w:line="253" w:lineRule="auto"/>
        <w:rPr>
          <w:sz w:val="20"/>
          <w:szCs w:val="20"/>
          <w:color w:val="auto"/>
        </w:rPr>
      </w:pPr>
      <w:r>
        <w:rPr>
          <w:rFonts w:ascii="Arial" w:cs="Arial" w:eastAsia="Arial" w:hAnsi="Arial"/>
          <w:sz w:val="18"/>
          <w:szCs w:val="18"/>
          <w:color w:val="auto"/>
        </w:rPr>
        <w:t>On October 24, 2024, we announced preliminary data from our SEACRAFT-1 trial in an oral presentation at the 36th EORTC-NCI-AACR (ENA) Symposium. The preliminary clinical activity of naporafenib plus trametinib in the melanoma cohort of SEACRAFT-1 include, as of the efficacy cutoff date*:</w:t>
      </w:r>
    </w:p>
    <w:p>
      <w:pPr>
        <w:spacing w:after="0" w:line="61" w:lineRule="exact"/>
        <w:rPr>
          <w:sz w:val="20"/>
          <w:szCs w:val="20"/>
          <w:color w:val="auto"/>
        </w:rPr>
      </w:pPr>
    </w:p>
    <w:p>
      <w:pPr>
        <w:jc w:val="both"/>
        <w:ind w:left="1020" w:right="280" w:hanging="503"/>
        <w:spacing w:after="0" w:line="252"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40% (4/10) response rate observed in the efficacy-evaluable patients with NRAS Q61X melanoma, including three confirmed partial responses and one unconfirmed partial response; the melanoma cohort in SEACRAFT-1 is generally representative of the patient population currently being enrolled in the pivotal SEACRAFT-2 trial</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70% (7/10) of patients remained on treatment as of the data cutoff, including all four responders</w:t>
      </w:r>
    </w:p>
    <w:p>
      <w:pPr>
        <w:spacing w:after="0" w:line="211"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In addition, we reported that naporafenib plus trametinib was generally well tolerated as of the safety cutoff date*, with mostly low-grade adverse events in the majority of patients. We believe that the use of mandatory primary rash prophylaxis helped reduce the frequency and severity of skin toxicities, reduced the drug discontinuation rate due to skin -related adverse events, and improved the observed tolerability results as measured by the increased relative dose intensity, as compared to the prior clinical trials of naporafenib plus trametinib conducted by Novartis, which did not include the use of mandatory primary rash prophylaxis.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Efficacy data cutoff date was September 5, 2024. Safety data cutoff date was September 3, 2024.</w:t>
      </w:r>
    </w:p>
    <w:p>
      <w:pPr>
        <w:spacing w:after="0" w:line="19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In May 2025, in connection with our expectation that ERAS-0015 and ERAS-4001 would both become clinical stage programs, we conducted a strategic pipeline review. Following this review, in order to prioritize organizational focus and resources to rapidly advance our differentiated RAS-targeting franchise, we decided to evaluate strategic alternatives for the Stage 2 portion of the naporafenib Phase 3 trial, including pursuing potential partnership opportunities. As a result of this decision, we will not read out data from Stage 1 of the SEACRAFT-2 trial in the second half of 2025.</w:t>
      </w:r>
    </w:p>
    <w:p>
      <w:pPr>
        <w:spacing w:after="0" w:line="16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next program is ERAS-12, our investigational EGFR D2/D3 biparatopic antibody (bpAb). ERAS-12 is a potential best-in-class biologic that is designed to inhibit EGFR through multiple proposed mechanisms of action. In tumors where EGFR signaling is thought to be a primary driver of tumor growth, an antibody-based approach has been shown to be an effective way to target the receptor. However, all approved anti-EGFR antibodies target domain III (D3) only, which is the main site for ligand binding, and no approved antibodies target domain II (D2), which is responsible for dimerization of EGFR upon ligand binding. Binding of D2 prevents both EGFR homodimerization as well as heterodimerization. We believe the combined binding of D2 and D3 could result in differentiated and improved inhibition of downstream EGFR signaling. ERAS-12 also aims to exploit the innate immune system to induce tumor cell apoptosis. The Fragment crystallizable (Fc) region of IgG1 antibodies contain binding spots for both immune effector cells (e.g., NK cells) and the classical complement component C1q. By combining novel cell signal inhibition with enhancements to the Fc, we aim to create a potent multi-modal BIC anti-EGFR biologic which we believe could function as a targeted therapy with immunomodulatory activity.</w:t>
      </w:r>
    </w:p>
    <w:p>
      <w:pPr>
        <w:spacing w:after="0" w:line="166"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do not own or operate, and currently have no plans to establish, any manufacturing facilities. We rely, and expect to continue to rely, on third parties for the manufacture of our product candidates for preclinical and clinical testing, as well as for commercial manufacture if any of our product candidates obtain marketing approval. We are working with our current manufacturers to ensure that we will be able to scale up our manufacturing capabilities to support our clinical plans. We are also in the process of locating and qualifying additional manufacturers to build redundancies into our supply chain. In addition, we rely on third parties to package, label, store, and distribute our product candidates, and we intend to continue to rely on third parties with respect to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design and development of our product candidates.</w:t>
      </w:r>
    </w:p>
    <w:p>
      <w:pPr>
        <w:spacing w:after="0" w:line="17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 December 2022, we completed the sale and issuance of 15,384,616 shares of our common stock at a price to the public of $6.50 per share (the 2022 Offering). Proceeds from the 2022 Offering were $94.9 million, net of underwriting discounts and commissions and offering costs of $5.1 million.</w:t>
      </w:r>
    </w:p>
    <w:p>
      <w:pPr>
        <w:spacing w:after="0" w:line="155"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In March 2024, we entered into a stock purchase agreement with the purchasers named therein for the private placement of 21,844,660 shares of our common stock at a price of $2.06 per share, which closed on April 2, 2024 (the 2024 Private Placement). Proceeds from the 2024 Private Placement were $43.6 million, after deducting placement agent fees and expenses of approximately $1.4 million.</w:t>
      </w:r>
    </w:p>
    <w:p>
      <w:pPr>
        <w:spacing w:after="0" w:line="155"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In May 2024, we completed the sale and issuance of 99,459,458 shares of our common stock, including the exercise in full by the underwriters of their option to purchase 12,972,972 shares of our common stock, at a price to the public of $1.85 per share (the 2024 Offering). Proceeds from the 2024 Offering were $174.4 million, net of underwriting discounts and commissions and offering costs of $9.6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7" w:name="page28"/>
    <w:bookmarkEnd w:id="27"/>
    <w:p>
      <w:pPr>
        <w:spacing w:after="0" w:line="239" w:lineRule="auto"/>
        <w:rPr>
          <w:sz w:val="20"/>
          <w:szCs w:val="20"/>
          <w:color w:val="auto"/>
        </w:rPr>
      </w:pPr>
      <w:r>
        <w:rPr>
          <w:rFonts w:ascii="Arial" w:cs="Arial" w:eastAsia="Arial" w:hAnsi="Arial"/>
          <w:sz w:val="18"/>
          <w:szCs w:val="18"/>
          <w:color w:val="auto"/>
        </w:rPr>
        <w:t>In August 2022, we entered into an Open Market Sale Agreement (the Sale Agreement) with Jefferies LLC (the Agent), pursuant to which we may offer and sell shares of our common stock having an aggregate offering price of up to $ 200 million from time to time, in an “at-the-market offering” (ATM Offering) through the Agent. Sales of the shares of common stock, if any, will be made at prevailing market prices at the time of sale, or as otherwise agreed with the Agent. Pursuant to the Sale Agreement, the Agent will receive a commission from us of up to 3.0% of the gross proceeds of any shares of common stock sold under the Sale Agreement. During the year ended December 31, 2024, we sold 9,231,114 shares of our common stock under the Sale Agreement at a weighted-average price of $2.37 per share. Proceeds from the ATM Offering during the year ended December 31, 2024 were $21.0 million, net of commissions and expenses of $0.8 million. No shares of our common stock were sold under the Sale Agreement during the three and six months ended June 30, 2025 and 2024. As of June 30, 2025, we had $178.1 million of shares available for sale under the ATM program.</w:t>
      </w:r>
    </w:p>
    <w:p>
      <w:pPr>
        <w:spacing w:after="0" w:line="17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Since our inception in 2018, we have devoted substantially all of our resources to organizing and staffing our company, business planning, raising capital, identifying, acquiring, and in-licensing our product candidates, establishing our intellectual property portfolio, conducting research, preclinical studies and clinical trials, establishing arrangements with third parties for the manufacture of our product candidates and related raw materials, and providing general and administrative support for these operations. We do not have any products approved for sale and have not generated any revenue. As of June 30, 2025, we have raised a total of $1.0 billion to fund our operations, comprised primarily of gross proceeds from our IPO, underwritten offerings, a private placement of our common stock and the sale and issuance of convertible preferred stock. As of June 30, 2025, we had cash, cash equivalents and marketable securities of $386.7 million.</w:t>
      </w:r>
    </w:p>
    <w:p>
      <w:pPr>
        <w:spacing w:after="0" w:line="17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have incurred significant operating losses since inception. Our net losses were $ 33.9 million and $63.2 million for the three months ended June 30, 2025 and 2024, respectively, and $64.8 million and $98.2 million for the six months ended June 30, 2025 and 2024, respectively. As of June 30, 2025, we had an accumulated deficit of $ 832.5 million. We expect our expenses and operating losses will increase substantially for the foreseeable future, particularly if and as we conduct our ongoing and planned clinical trials and preclinical studies; continue our research and development activities; utilize third parties to manufacture our product candidates and related raw materials; hire additional personnel; acquire, in-license, or develop additional product candidates; expand and protect our intellectual property; and incur additional costs associated with being a public company. If we obtain regulatory approval for any of our product candidates, we expect to incur significant commercialization expenses related to product sales, marketing, manufacturing, and distribution. In addition, as our product candidates progress through development and toward commercialization, we will need to make milestone payments to the licensors and other third parties from whom we have in-licensed or acquired our product candidates. Our net losses may fluctuate significantly from quarter-to-quarter and year-to-year, depending on the timing of our clinical trials and preclinical studies and our expenditures on other research and development activities.</w:t>
      </w:r>
    </w:p>
    <w:p>
      <w:pPr>
        <w:spacing w:after="0" w:line="16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Based upon our current operating plans, we believe that our cash, cash equivalents and marketable securities as of June 30, 2025 will be sufficient to fund our operations into the second half of 2028. We do not expect to generate any revenues from product sales until we successfully complete development and obtain regulatory approval for one or more of our product candidates, which we expect will take a number of years and may never occur. Accordingly, until such time as we can generate significant revenue from sales of our product candidates, if ever,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research and development programs or other operations, or grant rights to develop and market product candidates that we would otherwise prefer to develop and market ourselves.</w:t>
      </w:r>
    </w:p>
    <w:p>
      <w:pPr>
        <w:spacing w:after="0" w:line="166"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Our financial condition and results of operations may also be impacted by other factors we may not be able to control, such as geopolitical and economic events. We do not believe that such factors had a material adverse impact on our results of operations during the three months ended June 30, 2025.</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Our acquisition and license agreements</w:t>
      </w:r>
    </w:p>
    <w:p>
      <w:pPr>
        <w:spacing w:after="0" w:line="19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We have entered into in-license and acquisition agreements pursuant to which we in-licensed or acquired certain intellectual property rights related to our product candidates and development programs.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Katmai Pharmaceuticals, Inc.</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May 2024, we announced a strategic reprioritization which included deprioritizing our THUNDERBBOLT-1 clinical trial evaluating ERAS-801 in patients with recurrent glioblastoma. In April 2025, we entered into a Termination Agreement (the Katmai Termination Agreement) with Katmai Pharmaceuticals, Inc. (Katmai). The Katmai Termination Agreement terminated the license agreement, dated March 12, 2020, between us and Katmai in which we obtained an exclusive worldwide license from Katmai to develop and commercialize ERAS-801 (the Katmai License Agreement). Pursuant to the Katmai Termination Agreement, the Katmai License Agreement was terminated as of April 1, 2025. Under the Katmai Termination Agreement, we assigned to Katmai certain know-how, intellectual property rights, third-party vendor agreements, regulatory filings, and materials that we developed in connection with the development of ERAS-801 under the Katmai License Agreement, and Katmai is obligated to make payments to us upon the occurrence of specific events related to Katmai’s future development and commercialization of ERAS-801. In addition, we provided certain transition services to Katmai for a 90-day period, for which Katmai is obligated to reimburse us for our internal costs related to such services.</w:t>
      </w:r>
    </w:p>
    <w:p>
      <w:pPr>
        <w:spacing w:after="0" w:line="166" w:lineRule="exact"/>
        <w:rPr>
          <w:sz w:val="20"/>
          <w:szCs w:val="20"/>
          <w:color w:val="auto"/>
        </w:rPr>
      </w:pPr>
    </w:p>
    <w:p>
      <w:pPr>
        <w:ind w:right="240"/>
        <w:spacing w:after="0" w:line="301" w:lineRule="auto"/>
        <w:rPr>
          <w:sz w:val="20"/>
          <w:szCs w:val="20"/>
          <w:color w:val="auto"/>
        </w:rPr>
      </w:pPr>
      <w:r>
        <w:rPr>
          <w:rFonts w:ascii="Arial" w:cs="Arial" w:eastAsia="Arial" w:hAnsi="Arial"/>
          <w:sz w:val="17"/>
          <w:szCs w:val="17"/>
          <w:color w:val="auto"/>
        </w:rPr>
        <w:t>For additional information regarding our other in-license and acquisition agreements, see the section titled “Business—Our acquisition and license agreements” in our Annual Report on Form 10-K for the year ended December 31, 2024 filed with the SEC on March 20, 2025.</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9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We do not expect to generate any revenue from the sale of products unless and until such time that our product candidates have advanced through clinical development and obtained regulatory approval, if ever. If we fail to complete preclinical and clinical development of product candidates or obtain regulatory approval for them, our ability to generate future revenues, and our results of operations and financial position would be adversely affected.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98" w:lineRule="exact"/>
        <w:rPr>
          <w:sz w:val="20"/>
          <w:szCs w:val="20"/>
          <w:color w:val="auto"/>
        </w:rPr>
      </w:pPr>
    </w:p>
    <w:p>
      <w:pPr>
        <w:ind w:right="680"/>
        <w:spacing w:after="0" w:line="253" w:lineRule="auto"/>
        <w:rPr>
          <w:sz w:val="20"/>
          <w:szCs w:val="20"/>
          <w:color w:val="auto"/>
        </w:rPr>
      </w:pPr>
      <w:r>
        <w:rPr>
          <w:rFonts w:ascii="Arial" w:cs="Arial" w:eastAsia="Arial" w:hAnsi="Arial"/>
          <w:sz w:val="18"/>
          <w:szCs w:val="18"/>
          <w:color w:val="auto"/>
        </w:rPr>
        <w:t>Research and development expenses consist of external and internal costs associated with our research and development activities, including our discovery and research efforts and the preclinical and clinical development of our product candidates. Research and development costs are expensed as incurred. Our research and development expenses include:</w:t>
      </w:r>
    </w:p>
    <w:p>
      <w:pPr>
        <w:spacing w:after="0" w:line="155" w:lineRule="exact"/>
        <w:rPr>
          <w:sz w:val="20"/>
          <w:szCs w:val="20"/>
          <w:color w:val="auto"/>
        </w:rPr>
      </w:pPr>
    </w:p>
    <w:p>
      <w:pPr>
        <w:ind w:left="760" w:right="360" w:hanging="752"/>
        <w:spacing w:after="0" w:line="271" w:lineRule="auto"/>
        <w:tabs>
          <w:tab w:leader="none" w:pos="411"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external costs, including expenses incurred under arrangements with third parties, such as contract research organizations (CROs), contract manufacturing organizations (CMOs), consultants and our scientific advisors; and</w:t>
      </w:r>
    </w:p>
    <w:p>
      <w:pPr>
        <w:spacing w:after="0" w:line="140" w:lineRule="exact"/>
        <w:rPr>
          <w:rFonts w:ascii="Arial" w:cs="Arial" w:eastAsia="Arial" w:hAnsi="Arial"/>
          <w:sz w:val="18"/>
          <w:szCs w:val="18"/>
          <w:color w:val="auto"/>
        </w:rPr>
      </w:pPr>
    </w:p>
    <w:p>
      <w:pPr>
        <w:ind w:left="400" w:hanging="392"/>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internal costs, including:</w:t>
      </w:r>
    </w:p>
    <w:p>
      <w:pPr>
        <w:spacing w:after="0" w:line="198" w:lineRule="exact"/>
        <w:rPr>
          <w:rFonts w:ascii="Arial" w:cs="Arial" w:eastAsia="Arial" w:hAnsi="Arial"/>
          <w:sz w:val="18"/>
          <w:szCs w:val="18"/>
          <w:color w:val="auto"/>
        </w:rPr>
      </w:pPr>
    </w:p>
    <w:p>
      <w:pPr>
        <w:ind w:left="1500" w:right="460" w:hanging="690"/>
        <w:spacing w:after="0" w:line="271" w:lineRule="auto"/>
        <w:tabs>
          <w:tab w:leader="none" w:pos="1205" w:val="left"/>
        </w:tabs>
        <w:numPr>
          <w:ilvl w:val="1"/>
          <w:numId w:val="6"/>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for those individuals involved in research and development efforts;</w:t>
      </w:r>
    </w:p>
    <w:p>
      <w:pPr>
        <w:spacing w:after="0" w:line="140" w:lineRule="exact"/>
        <w:rPr>
          <w:rFonts w:ascii="Arial" w:cs="Arial" w:eastAsia="Arial" w:hAnsi="Arial"/>
          <w:sz w:val="18"/>
          <w:szCs w:val="18"/>
          <w:color w:val="auto"/>
        </w:rPr>
      </w:pPr>
    </w:p>
    <w:p>
      <w:pPr>
        <w:ind w:left="1220" w:hanging="410"/>
        <w:spacing w:after="0"/>
        <w:tabs>
          <w:tab w:leader="none" w:pos="12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costs of laboratory supplies and acquiring, developing and manufacturing preclinical study materials; and</w:t>
      </w:r>
    </w:p>
    <w:p>
      <w:pPr>
        <w:spacing w:after="0" w:line="198" w:lineRule="exact"/>
        <w:rPr>
          <w:rFonts w:ascii="Arial" w:cs="Arial" w:eastAsia="Arial" w:hAnsi="Arial"/>
          <w:sz w:val="18"/>
          <w:szCs w:val="18"/>
          <w:color w:val="auto"/>
        </w:rPr>
      </w:pPr>
    </w:p>
    <w:p>
      <w:pPr>
        <w:ind w:left="1220" w:hanging="410"/>
        <w:spacing w:after="0"/>
        <w:tabs>
          <w:tab w:leader="none" w:pos="1220" w:val="left"/>
        </w:tabs>
        <w:numPr>
          <w:ilvl w:val="1"/>
          <w:numId w:val="6"/>
        </w:numPr>
        <w:rPr>
          <w:rFonts w:ascii="Arial" w:cs="Arial" w:eastAsia="Arial" w:hAnsi="Arial"/>
          <w:sz w:val="18"/>
          <w:szCs w:val="18"/>
          <w:color w:val="auto"/>
        </w:rPr>
      </w:pPr>
      <w:r>
        <w:rPr>
          <w:rFonts w:ascii="Arial" w:cs="Arial" w:eastAsia="Arial" w:hAnsi="Arial"/>
          <w:sz w:val="18"/>
          <w:szCs w:val="18"/>
          <w:color w:val="auto"/>
        </w:rPr>
        <w:t>facilities and depreciation, which include direct and allocated expenses for rent of facilities and depreciation.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5"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following table summarizes our research and development expenses incurred for the following periods (in thousands):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25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5"/>
          </w:tcPr>
          <w:p>
            <w:pPr>
              <w:ind w:left="40"/>
              <w:spacing w:after="0"/>
              <w:rPr>
                <w:sz w:val="20"/>
                <w:szCs w:val="20"/>
                <w:color w:val="auto"/>
              </w:rPr>
            </w:pPr>
            <w:r>
              <w:rPr>
                <w:rFonts w:ascii="Arial" w:cs="Arial" w:eastAsia="Arial" w:hAnsi="Arial"/>
                <w:sz w:val="16"/>
                <w:szCs w:val="16"/>
                <w:b w:val="1"/>
                <w:bCs w:val="1"/>
                <w:color w:val="auto"/>
              </w:rPr>
              <w:t>Six Months Ended June 30,</w:t>
            </w:r>
          </w:p>
        </w:tc>
      </w:tr>
      <w:tr>
        <w:trPr>
          <w:trHeight w:val="183"/>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51"/>
              <w:spacing w:after="0" w:line="183" w:lineRule="exact"/>
              <w:rPr>
                <w:sz w:val="20"/>
                <w:szCs w:val="20"/>
                <w:color w:val="auto"/>
              </w:rPr>
            </w:pPr>
            <w:r>
              <w:rPr>
                <w:rFonts w:ascii="Arial" w:cs="Arial" w:eastAsia="Arial" w:hAnsi="Arial"/>
                <w:sz w:val="16"/>
                <w:szCs w:val="16"/>
                <w:b w:val="1"/>
                <w:bCs w:val="1"/>
                <w:color w:val="auto"/>
              </w:rPr>
              <w:t>2025</w:t>
            </w:r>
          </w:p>
        </w:tc>
        <w:tc>
          <w:tcPr>
            <w:tcW w:w="24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71"/>
              <w:spacing w:after="0" w:line="183" w:lineRule="exact"/>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32"/>
              <w:spacing w:after="0" w:line="183" w:lineRule="exact"/>
              <w:rPr>
                <w:sz w:val="20"/>
                <w:szCs w:val="20"/>
                <w:color w:val="auto"/>
              </w:rPr>
            </w:pPr>
            <w:r>
              <w:rPr>
                <w:rFonts w:ascii="Arial" w:cs="Arial" w:eastAsia="Arial" w:hAnsi="Arial"/>
                <w:sz w:val="16"/>
                <w:szCs w:val="16"/>
                <w:b w:val="1"/>
                <w:bCs w:val="1"/>
                <w:color w:val="auto"/>
              </w:rPr>
              <w:t>2025</w:t>
            </w: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71"/>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620" w:type="dxa"/>
            <w:vAlign w:val="bottom"/>
            <w:shd w:val="clear" w:color="auto" w:fill="CFF0FC"/>
          </w:tcPr>
          <w:p>
            <w:pPr>
              <w:spacing w:after="0" w:line="195" w:lineRule="exact"/>
              <w:rPr>
                <w:sz w:val="20"/>
                <w:szCs w:val="20"/>
                <w:color w:val="auto"/>
              </w:rPr>
            </w:pPr>
            <w:r>
              <w:rPr>
                <w:rFonts w:ascii="Arial" w:cs="Arial" w:eastAsia="Arial" w:hAnsi="Arial"/>
                <w:sz w:val="17"/>
                <w:szCs w:val="17"/>
                <w:color w:val="auto"/>
              </w:rPr>
              <w:t>ERAS-0015</w:t>
            </w:r>
            <w:r>
              <w:rPr>
                <w:rFonts w:ascii="Arial" w:cs="Arial" w:eastAsia="Arial" w:hAnsi="Arial"/>
                <w:sz w:val="22"/>
                <w:szCs w:val="22"/>
                <w:color w:val="auto"/>
                <w:vertAlign w:val="superscript"/>
              </w:rPr>
              <w:t>(1)</w:t>
            </w:r>
          </w:p>
        </w:tc>
        <w:tc>
          <w:tcPr>
            <w:tcW w:w="32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5,283</w:t>
            </w:r>
          </w:p>
        </w:tc>
        <w:tc>
          <w:tcPr>
            <w:tcW w:w="4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w:t>
            </w:r>
          </w:p>
        </w:tc>
        <w:tc>
          <w:tcPr>
            <w:tcW w:w="480" w:type="dxa"/>
            <w:vAlign w:val="bottom"/>
            <w:gridSpan w:val="3"/>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11,827</w:t>
            </w:r>
          </w:p>
        </w:tc>
        <w:tc>
          <w:tcPr>
            <w:tcW w:w="5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20" w:type="dxa"/>
            <w:vAlign w:val="bottom"/>
          </w:tcPr>
          <w:p>
            <w:pPr>
              <w:spacing w:after="0" w:line="202" w:lineRule="exact"/>
              <w:rPr>
                <w:sz w:val="20"/>
                <w:szCs w:val="20"/>
                <w:color w:val="auto"/>
              </w:rPr>
            </w:pPr>
            <w:r>
              <w:rPr>
                <w:rFonts w:ascii="Arial" w:cs="Arial" w:eastAsia="Arial" w:hAnsi="Arial"/>
                <w:sz w:val="17"/>
                <w:szCs w:val="17"/>
                <w:color w:val="auto"/>
              </w:rPr>
              <w:t>ERAS-4001</w:t>
            </w:r>
            <w:r>
              <w:rPr>
                <w:rFonts w:ascii="Arial" w:cs="Arial" w:eastAsia="Arial" w:hAnsi="Arial"/>
                <w:sz w:val="23"/>
                <w:szCs w:val="23"/>
                <w:color w:val="auto"/>
                <w:vertAlign w:val="superscript"/>
              </w:rPr>
              <w:t>(1)</w:t>
            </w: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4,013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793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8,024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793</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Naporafenib</w:t>
            </w: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8,085</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13,538</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18,682</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26,507</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20" w:type="dxa"/>
            <w:vAlign w:val="bottom"/>
          </w:tcPr>
          <w:p>
            <w:pPr>
              <w:spacing w:after="0" w:line="202" w:lineRule="exact"/>
              <w:rPr>
                <w:sz w:val="20"/>
                <w:szCs w:val="20"/>
                <w:color w:val="auto"/>
              </w:rPr>
            </w:pPr>
            <w:r>
              <w:rPr>
                <w:rFonts w:ascii="Arial" w:cs="Arial" w:eastAsia="Arial" w:hAnsi="Arial"/>
                <w:sz w:val="18"/>
                <w:szCs w:val="18"/>
                <w:color w:val="auto"/>
              </w:rPr>
              <w:t>Other clinical programs</w:t>
            </w: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7,047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discovery and preclinical programs</w:t>
            </w:r>
          </w:p>
        </w:tc>
        <w:tc>
          <w:tcPr>
            <w:tcW w:w="3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3,789</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18,693</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8,606</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27,251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20" w:type="dxa"/>
            <w:vAlign w:val="bottom"/>
          </w:tcPr>
          <w:p>
            <w:pPr>
              <w:spacing w:after="0" w:line="196" w:lineRule="exact"/>
              <w:rPr>
                <w:sz w:val="20"/>
                <w:szCs w:val="20"/>
                <w:color w:val="auto"/>
              </w:rPr>
            </w:pPr>
            <w:r>
              <w:rPr>
                <w:rFonts w:ascii="Arial" w:cs="Arial" w:eastAsia="Arial" w:hAnsi="Arial"/>
                <w:sz w:val="18"/>
                <w:szCs w:val="18"/>
                <w:color w:val="auto"/>
              </w:rPr>
              <w:t>Total research and development expenses</w:t>
            </w:r>
          </w:p>
        </w:tc>
        <w:tc>
          <w:tcPr>
            <w:tcW w:w="320" w:type="dxa"/>
            <w:vAlign w:val="bottom"/>
          </w:tcPr>
          <w:p>
            <w:pPr>
              <w:ind w:left="10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21,170</w:t>
            </w:r>
          </w:p>
        </w:tc>
        <w:tc>
          <w:tcPr>
            <w:tcW w:w="4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33,032</w:t>
            </w:r>
          </w:p>
        </w:tc>
        <w:tc>
          <w:tcPr>
            <w:tcW w:w="48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47,139</w:t>
            </w:r>
          </w:p>
        </w:tc>
        <w:tc>
          <w:tcPr>
            <w:tcW w:w="5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61,606</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-162560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-162560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-162560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-162560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4"/>
          <w:szCs w:val="14"/>
          <w:color w:val="auto"/>
        </w:rPr>
        <w:t>(1) We in-licensed ERAS-0015 and ERAS-4001 in May 2024.</w:t>
      </w:r>
    </w:p>
    <w:p>
      <w:pPr>
        <w:spacing w:after="0" w:line="306"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We expect our research and development expenses to increase substantially for the foreseeable future as we continue to conduct our ongoing research and development activities, conduct clinical trials and advance our preclinical research programs toward clinical development, particularly as more of our product candidates move into later stages of development, which typically cost more. The process of conducting clinical trials and preclinical studies necessary to obtain regulatory approval is costly and time-consuming. We may never succeed in achieving marketing approval for any of our product candidates.</w:t>
      </w:r>
    </w:p>
    <w:p>
      <w:pPr>
        <w:spacing w:after="0" w:line="16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timelines and costs with research and development activities are uncertain, can vary significantly for each product candidate and program and are difficult to predict. We anticipate we will make determinations as to which product candidates and programs to pursue and how much funding to direct to each product candidate and program on an ongoing basis in response to preclinical and clinical results, regulatory developments, ongoing assessments as to each product candidate’s and program’s commercial potential, and our ability to enter into collaborations, licenses, or other similar agreements to the extent we determine the resources or expertise of a third-party would be beneficial for a given product candidate or program. We will need to raise substantial additional capital in the future. In addition, we cannot forecast which product candidates and programs may be subject to future collaborations, licenses, or other agreements, when such arrangements will be secured, if at all, and to what degree such arrangements would affect our development plans and capital requirements.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development costs may vary significantly based on factors such as:</w:t>
      </w:r>
    </w:p>
    <w:p>
      <w:pPr>
        <w:spacing w:after="0" w:line="198"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and scope of preclinical and IND-enabling studies and clinical trials;</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number of sites included in the trials;</w:t>
      </w:r>
    </w:p>
    <w:p>
      <w:pPr>
        <w:spacing w:after="0" w:line="198" w:lineRule="exact"/>
        <w:rPr>
          <w:rFonts w:ascii="Arial" w:cs="Arial" w:eastAsia="Arial" w:hAnsi="Arial"/>
          <w:sz w:val="18"/>
          <w:szCs w:val="18"/>
          <w:b w:val="1"/>
          <w:bCs w:val="1"/>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timing of manufacturing our product candidates;</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phase of development of our product candidates;</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efficacy and safety profile of our product candidates;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1" w:right="399" w:bottom="1440" w:gutter="0" w:footer="0" w:header="0"/>
        </w:sectPr>
      </w:pPr>
    </w:p>
    <w:bookmarkStart w:id="30" w:name="page31"/>
    <w:bookmarkEnd w:id="30"/>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receipt and terms of any approvals from applicable regulatory authorities;</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products following approval, if any;</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198" w:lineRule="exact"/>
        <w:rPr>
          <w:rFonts w:ascii="Arial" w:cs="Arial" w:eastAsia="Arial" w:hAnsi="Arial"/>
          <w:sz w:val="18"/>
          <w:szCs w:val="18"/>
          <w:color w:val="auto"/>
        </w:rPr>
      </w:pPr>
    </w:p>
    <w:p>
      <w:pPr>
        <w:ind w:left="760" w:hanging="752"/>
        <w:spacing w:after="0" w:line="271" w:lineRule="auto"/>
        <w:tabs>
          <w:tab w:leader="none" w:pos="41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any interruptions to our operations or to those of third parties with whom we work due to geopolitical and economic events; and</w:t>
      </w:r>
    </w:p>
    <w:p>
      <w:pPr>
        <w:spacing w:after="0" w:line="140" w:lineRule="exact"/>
        <w:rPr>
          <w:rFonts w:ascii="Arial" w:cs="Arial" w:eastAsia="Arial" w:hAnsi="Arial"/>
          <w:sz w:val="18"/>
          <w:szCs w:val="18"/>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establish additional collaboration, license or other arrangements.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In-process research and development</w:t>
      </w:r>
    </w:p>
    <w:p>
      <w:pPr>
        <w:spacing w:after="0" w:line="198"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In-process research and development expenses include rights acquired as part of asset acquisitions or in-licenses to develop and commercialize product candidates. Upfront payments that relate to the acquisition of a new product candidate, as well as pre-commercial milestone payments, are immediately expensed as in-process research and development in the period in which they are incurred, provided that the new product candidate did not also include processes or activities that would constitute a “business” as defined under US generally accepted accounting principles (US GAAP), the product candidate has not achieved regulatory approval for marketing and, absent obtaining such approval, has no established alternative future use.</w:t>
      </w:r>
    </w:p>
    <w:p>
      <w:pPr>
        <w:spacing w:after="0" w:line="16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In-process research and development expenses consist primarily of our upfront payments, milestone payments, and our stock issuances in connection with our acquisition and in-license agreements.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General and administrative expenses consist primarily of employee-related expenses, including salaries, benefits and stock-based compensation, for employees in our finance, accounting, legal, information technology, business development and support functions. Other general and administrative expenses include allocated facility and depreciation related costs not otherwise included in research and development expenses and professional fees for auditing, tax, intellectual property and legal services. Costs related to filing and pursuing patent applications are recognized as general and administrative expenses as incurred since recoverability of such expenditures is uncertain.</w:t>
      </w:r>
    </w:p>
    <w:p>
      <w:pPr>
        <w:spacing w:after="0" w:line="163"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expect our general and administrative expenses will increase substantially for the foreseeable future as we continue to increase our general and administrative headcount to support our continued research and development activities and, if any product candidates receive marketing approval, commercialization activities, as well as to support our operations generally.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primarily of interest earned on our cash, cash equivalents and marketable securities.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2025 and 2024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June 30, 2025 and 2024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960" w:type="dxa"/>
            <w:vAlign w:val="bottom"/>
            <w:tcBorders>
              <w:bottom w:val="single" w:sz="8" w:color="auto"/>
            </w:tcBorders>
            <w:gridSpan w:val="4"/>
          </w:tcPr>
          <w:p>
            <w:pPr>
              <w:ind w:left="640"/>
              <w:spacing w:after="0"/>
              <w:rPr>
                <w:sz w:val="20"/>
                <w:szCs w:val="20"/>
                <w:color w:val="auto"/>
              </w:rPr>
            </w:pPr>
            <w:r>
              <w:rPr>
                <w:rFonts w:ascii="Arial" w:cs="Arial" w:eastAsia="Arial" w:hAnsi="Arial"/>
                <w:sz w:val="16"/>
                <w:szCs w:val="16"/>
                <w:b w:val="1"/>
                <w:bCs w:val="1"/>
                <w:color w:val="auto"/>
              </w:rPr>
              <w:t>Three Months Ended June 30,</w:t>
            </w:r>
          </w:p>
        </w:tc>
        <w:tc>
          <w:tcPr>
            <w:tcW w:w="6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gridSpan w:val="2"/>
            <w:vMerge w:val="restart"/>
          </w:tcPr>
          <w:p>
            <w:pPr>
              <w:jc w:val="right"/>
              <w:ind w:right="64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5600" w:type="dxa"/>
            <w:vAlign w:val="bottom"/>
          </w:tcPr>
          <w:p>
            <w:pPr>
              <w:spacing w:after="0"/>
              <w:rPr>
                <w:sz w:val="15"/>
                <w:szCs w:val="15"/>
                <w:color w:val="auto"/>
              </w:rPr>
            </w:pPr>
          </w:p>
        </w:tc>
        <w:tc>
          <w:tcPr>
            <w:tcW w:w="1000" w:type="dxa"/>
            <w:vAlign w:val="bottom"/>
          </w:tcPr>
          <w:p>
            <w:pPr>
              <w:ind w:left="620"/>
              <w:spacing w:after="0" w:line="183" w:lineRule="exact"/>
              <w:rPr>
                <w:sz w:val="20"/>
                <w:szCs w:val="20"/>
                <w:color w:val="auto"/>
              </w:rPr>
            </w:pPr>
            <w:r>
              <w:rPr>
                <w:rFonts w:ascii="Arial" w:cs="Arial" w:eastAsia="Arial" w:hAnsi="Arial"/>
                <w:sz w:val="16"/>
                <w:szCs w:val="16"/>
                <w:b w:val="1"/>
                <w:bCs w:val="1"/>
                <w:color w:val="auto"/>
              </w:rPr>
              <w:t>2025</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0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10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140"/>
              <w:spacing w:after="0" w:line="202" w:lineRule="exact"/>
              <w:rPr>
                <w:sz w:val="20"/>
                <w:szCs w:val="20"/>
                <w:color w:val="auto"/>
              </w:rPr>
            </w:pPr>
            <w:r>
              <w:rPr>
                <w:rFonts w:ascii="Arial" w:cs="Arial" w:eastAsia="Arial" w:hAnsi="Arial"/>
                <w:sz w:val="18"/>
                <w:szCs w:val="18"/>
                <w:color w:val="auto"/>
              </w:rPr>
              <w:t>Research and development</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21,170</w:t>
            </w:r>
          </w:p>
        </w:tc>
        <w:tc>
          <w:tcPr>
            <w:tcW w:w="300" w:type="dxa"/>
            <w:vAlign w:val="bottom"/>
          </w:tcPr>
          <w:p>
            <w:pPr>
              <w:spacing w:after="0"/>
              <w:rPr>
                <w:sz w:val="17"/>
                <w:szCs w:val="17"/>
                <w:color w:val="auto"/>
              </w:rPr>
            </w:pPr>
          </w:p>
        </w:tc>
        <w:tc>
          <w:tcPr>
            <w:tcW w:w="1020" w:type="dxa"/>
            <w:vAlign w:val="bottom"/>
          </w:tcPr>
          <w:p>
            <w:pPr>
              <w:jc w:val="right"/>
              <w:ind w:right="833"/>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33,032</w:t>
            </w:r>
          </w:p>
        </w:tc>
        <w:tc>
          <w:tcPr>
            <w:tcW w:w="30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(11,862)</w:t>
            </w:r>
          </w:p>
        </w:tc>
        <w:tc>
          <w:tcPr>
            <w:tcW w:w="0" w:type="dxa"/>
            <w:vAlign w:val="bottom"/>
          </w:tcPr>
          <w:p>
            <w:pPr>
              <w:spacing w:after="0"/>
              <w:rPr>
                <w:sz w:val="1"/>
                <w:szCs w:val="1"/>
                <w:color w:val="auto"/>
              </w:rPr>
            </w:pPr>
          </w:p>
        </w:tc>
      </w:tr>
      <w:tr>
        <w:trPr>
          <w:trHeight w:val="203"/>
        </w:trPr>
        <w:tc>
          <w:tcPr>
            <w:tcW w:w="5600" w:type="dxa"/>
            <w:vAlign w:val="bottom"/>
            <w:tcBorders>
              <w:right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In-process research and development</w:t>
            </w:r>
          </w:p>
        </w:tc>
        <w:tc>
          <w:tcPr>
            <w:tcW w:w="10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7,500</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22,500</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3"/>
        </w:trPr>
        <w:tc>
          <w:tcPr>
            <w:tcW w:w="5600" w:type="dxa"/>
            <w:vAlign w:val="bottom"/>
          </w:tcPr>
          <w:p>
            <w:pPr>
              <w:ind w:left="140"/>
              <w:spacing w:after="0" w:line="202" w:lineRule="exact"/>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9,455</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12,250</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196"/>
        </w:trPr>
        <w:tc>
          <w:tcPr>
            <w:tcW w:w="5600" w:type="dxa"/>
            <w:vAlign w:val="bottom"/>
            <w:tcBorders>
              <w:top w:val="single" w:sz="8" w:color="CFF0FC"/>
              <w:bottom w:val="single" w:sz="8" w:color="CFF0FC"/>
              <w:right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operating expenses</w:t>
            </w:r>
          </w:p>
        </w:tc>
        <w:tc>
          <w:tcPr>
            <w:tcW w:w="1000" w:type="dxa"/>
            <w:vAlign w:val="bottom"/>
            <w:tcBorders>
              <w:top w:val="single" w:sz="8" w:color="auto"/>
              <w:bottom w:val="single" w:sz="8" w:color="auto"/>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38,125</w:t>
            </w: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67,782</w:t>
            </w: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(29,657)</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1000" w:type="dxa"/>
            <w:vAlign w:val="bottom"/>
          </w:tcPr>
          <w:p>
            <w:pPr>
              <w:spacing w:after="0"/>
              <w:rPr>
                <w:sz w:val="17"/>
                <w:szCs w:val="17"/>
                <w:color w:val="auto"/>
              </w:rPr>
            </w:pPr>
          </w:p>
        </w:tc>
        <w:tc>
          <w:tcPr>
            <w:tcW w:w="9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(38,125)</w:t>
            </w:r>
          </w:p>
        </w:tc>
        <w:tc>
          <w:tcPr>
            <w:tcW w:w="1020" w:type="dxa"/>
            <w:vAlign w:val="bottom"/>
          </w:tcPr>
          <w:p>
            <w:pPr>
              <w:spacing w:after="0"/>
              <w:rPr>
                <w:sz w:val="17"/>
                <w:szCs w:val="17"/>
                <w:color w:val="auto"/>
              </w:rPr>
            </w:pPr>
          </w:p>
        </w:tc>
        <w:tc>
          <w:tcPr>
            <w:tcW w:w="9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w w:val="98"/>
              </w:rPr>
              <w:t>(67,782)</w:t>
            </w:r>
          </w:p>
        </w:tc>
        <w:tc>
          <w:tcPr>
            <w:tcW w:w="32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29,657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Total other income (expense), net</w:t>
            </w:r>
          </w:p>
        </w:tc>
        <w:tc>
          <w:tcPr>
            <w:tcW w:w="10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4,249</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4,581</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5600" w:type="dxa"/>
            <w:vAlign w:val="bottom"/>
            <w:tcBorders>
              <w:right w:val="single" w:sz="8" w:color="CFF0FC"/>
            </w:tcBorders>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0" w:type="dxa"/>
            <w:vAlign w:val="bottom"/>
          </w:tcPr>
          <w:p>
            <w:pPr>
              <w:spacing w:after="0" w:line="182" w:lineRule="exact"/>
              <w:rPr>
                <w:sz w:val="20"/>
                <w:szCs w:val="20"/>
                <w:color w:val="auto"/>
              </w:rPr>
            </w:pPr>
            <w:r>
              <w:rPr>
                <w:rFonts w:ascii="Arial" w:cs="Arial" w:eastAsia="Arial" w:hAnsi="Arial"/>
                <w:sz w:val="18"/>
                <w:szCs w:val="18"/>
                <w:color w:val="auto"/>
              </w:rPr>
              <w:t>Net loss</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(33,876)</w:t>
            </w:r>
          </w:p>
        </w:tc>
        <w:tc>
          <w:tcPr>
            <w:tcW w:w="1020" w:type="dxa"/>
            <w:vAlign w:val="bottom"/>
          </w:tcPr>
          <w:p>
            <w:pPr>
              <w:jc w:val="right"/>
              <w:ind w:right="833"/>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w w:val="98"/>
              </w:rPr>
              <w:t>(63,201)</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29,325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4587240</wp:posOffset>
            </wp:positionH>
            <wp:positionV relativeFrom="paragraph">
              <wp:posOffset>-577850</wp:posOffset>
            </wp:positionV>
            <wp:extent cx="9398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-577850</wp:posOffset>
            </wp:positionV>
            <wp:extent cx="9398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-162560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-162560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98"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Research and development expenses were $21.2 million for the three months ended June 30, 2025 compared to $33.0 million for the three months ended June 30, 2024. The decrease of $11.9 million was primarily driven by an impairment charge of $3.0 million on operating lease assets, leasehold improvements, and furniture related to the sublease plan of the first floor of our San Diego facility during the three months ended June 30, 2024, and decreases of $2.5 million in personnel costs, including stock-based compensation expense, $2.4 million in outsourced services and consulting fees, $2.3 million in expenses incurred in connection with clinical trials, preclinical studies and discovery activities, and $1.2 million in facilities-related expenses and depreciation.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In-process research and development expenses</w:t>
      </w:r>
    </w:p>
    <w:p>
      <w:pPr>
        <w:spacing w:after="0" w:line="198"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In-process research and development expenses were $7.5 million for the three months ended June 30, 2025 compared to $22.5 million for the three months ended June 30, 2024. In-process research and development expenses for the three months ended June 30, 2025 were related to the achievement of milestones in connection with our license agreement with Joyo. In-process research and development expenses for the three months ended June 30, 2024 were related to upfront payments in connection with our license agreements with Joyo and Medshine.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98"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General and administrative expenses were $ 9.5 million for the three months ended June 30, 2025 compared to $ 12.3 million for the three months ended June 30, 2024. The decrease of $2.8 million was primarily driven by an impairment charge of $1.7 million on operating lease assets, leasehold improvements, and furniture related to the sublease plan of the first floor of our San Diego facility during the three months ended June 30, 2024, and decreases of $0.5 million in legal fees, $0.2 million in insurance costs, and $0.2 million in facilities and office-related expenses.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9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Other income (expense), net was $4.2 million for the three months ended June 30, 2025 compared to $4.6 million for the three months ended June 30, 2024. The decrease of $0.3 million was primarily related to a decrease in interest earned on our cash, cash equivalents and marketable securities of $ 0.7 million, partially offset by a $0.4 million impairment charge on our investment in equity securities during the three months ended June 30,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Comparison of the six months ended June 30, 2025 and 2024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six months ended June 30, 2025 and 2024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gridSpan w:val="6"/>
          </w:tcPr>
          <w:p>
            <w:pPr>
              <w:jc w:val="right"/>
              <w:ind w:right="1060"/>
              <w:spacing w:after="0"/>
              <w:rPr>
                <w:sz w:val="20"/>
                <w:szCs w:val="20"/>
                <w:color w:val="auto"/>
              </w:rPr>
            </w:pPr>
            <w:r>
              <w:rPr>
                <w:rFonts w:ascii="Arial" w:cs="Arial" w:eastAsia="Arial" w:hAnsi="Arial"/>
                <w:sz w:val="16"/>
                <w:szCs w:val="16"/>
                <w:b w:val="1"/>
                <w:bCs w:val="1"/>
                <w:color w:val="auto"/>
              </w:rPr>
              <w:t>Six Months Ended June 30,</w:t>
            </w:r>
          </w:p>
        </w:tc>
        <w:tc>
          <w:tcPr>
            <w:tcW w:w="320" w:type="dxa"/>
            <w:vAlign w:val="bottom"/>
          </w:tcPr>
          <w:p>
            <w:pPr>
              <w:spacing w:after="0"/>
              <w:rPr>
                <w:sz w:val="17"/>
                <w:szCs w:val="17"/>
                <w:color w:val="auto"/>
              </w:rPr>
            </w:pPr>
          </w:p>
        </w:tc>
        <w:tc>
          <w:tcPr>
            <w:tcW w:w="1440" w:type="dxa"/>
            <w:vAlign w:val="bottom"/>
            <w:gridSpan w:val="2"/>
            <w:vMerge w:val="restart"/>
          </w:tcPr>
          <w:p>
            <w:pPr>
              <w:jc w:val="right"/>
              <w:ind w:right="64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6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551"/>
              <w:spacing w:after="0" w:line="183" w:lineRule="exact"/>
              <w:rPr>
                <w:sz w:val="20"/>
                <w:szCs w:val="20"/>
                <w:color w:val="auto"/>
              </w:rPr>
            </w:pPr>
            <w:r>
              <w:rPr>
                <w:rFonts w:ascii="Arial" w:cs="Arial" w:eastAsia="Arial" w:hAnsi="Arial"/>
                <w:sz w:val="16"/>
                <w:szCs w:val="16"/>
                <w:b w:val="1"/>
                <w:bCs w:val="1"/>
                <w:color w:val="auto"/>
              </w:rPr>
              <w:t>2024</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2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140"/>
              <w:spacing w:after="0" w:line="202" w:lineRule="exact"/>
              <w:rPr>
                <w:sz w:val="20"/>
                <w:szCs w:val="20"/>
                <w:color w:val="auto"/>
              </w:rPr>
            </w:pPr>
            <w:r>
              <w:rPr>
                <w:rFonts w:ascii="Arial" w:cs="Arial" w:eastAsia="Arial" w:hAnsi="Arial"/>
                <w:sz w:val="18"/>
                <w:szCs w:val="18"/>
                <w:color w:val="auto"/>
              </w:rPr>
              <w:t>Research and development</w:t>
            </w:r>
          </w:p>
        </w:tc>
        <w:tc>
          <w:tcPr>
            <w:tcW w:w="1020" w:type="dxa"/>
            <w:vAlign w:val="bottom"/>
            <w:gridSpan w:val="2"/>
          </w:tcPr>
          <w:p>
            <w:pPr>
              <w:jc w:val="right"/>
              <w:ind w:right="839"/>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47,139</w:t>
            </w:r>
          </w:p>
        </w:tc>
        <w:tc>
          <w:tcPr>
            <w:tcW w:w="300" w:type="dxa"/>
            <w:vAlign w:val="bottom"/>
          </w:tcPr>
          <w:p>
            <w:pPr>
              <w:spacing w:after="0"/>
              <w:rPr>
                <w:sz w:val="17"/>
                <w:szCs w:val="17"/>
                <w:color w:val="auto"/>
              </w:rPr>
            </w:pP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61,606</w:t>
            </w:r>
          </w:p>
        </w:tc>
        <w:tc>
          <w:tcPr>
            <w:tcW w:w="30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(14,467)</w:t>
            </w:r>
          </w:p>
        </w:tc>
        <w:tc>
          <w:tcPr>
            <w:tcW w:w="0" w:type="dxa"/>
            <w:vAlign w:val="bottom"/>
          </w:tcPr>
          <w:p>
            <w:pPr>
              <w:spacing w:after="0"/>
              <w:rPr>
                <w:sz w:val="1"/>
                <w:szCs w:val="1"/>
                <w:color w:val="auto"/>
              </w:rPr>
            </w:pPr>
          </w:p>
        </w:tc>
      </w:tr>
      <w:tr>
        <w:trPr>
          <w:trHeight w:val="203"/>
        </w:trPr>
        <w:tc>
          <w:tcPr>
            <w:tcW w:w="55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In-process research and development</w:t>
            </w:r>
          </w:p>
        </w:tc>
        <w:tc>
          <w:tcPr>
            <w:tcW w:w="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7,500</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22,500</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3"/>
        </w:trPr>
        <w:tc>
          <w:tcPr>
            <w:tcW w:w="5580" w:type="dxa"/>
            <w:vAlign w:val="bottom"/>
          </w:tcPr>
          <w:p>
            <w:pPr>
              <w:ind w:left="140"/>
              <w:spacing w:after="0" w:line="202" w:lineRule="exact"/>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19,116</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22,527</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196"/>
        </w:trPr>
        <w:tc>
          <w:tcPr>
            <w:tcW w:w="5580" w:type="dxa"/>
            <w:vAlign w:val="bottom"/>
            <w:tcBorders>
              <w:top w:val="single" w:sz="8" w:color="CFF0FC"/>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operating expenses</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73,755</w:t>
            </w: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106,633</w:t>
            </w: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(32,878)</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8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(73,755)</w:t>
            </w:r>
          </w:p>
        </w:tc>
        <w:tc>
          <w:tcPr>
            <w:tcW w:w="360" w:type="dxa"/>
            <w:vAlign w:val="bottom"/>
          </w:tcPr>
          <w:p>
            <w:pPr>
              <w:spacing w:after="0"/>
              <w:rPr>
                <w:sz w:val="17"/>
                <w:szCs w:val="17"/>
                <w:color w:val="auto"/>
              </w:rPr>
            </w:pPr>
          </w:p>
        </w:tc>
        <w:tc>
          <w:tcPr>
            <w:tcW w:w="15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(106,633)</w:t>
            </w:r>
          </w:p>
        </w:tc>
        <w:tc>
          <w:tcPr>
            <w:tcW w:w="32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32,878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Total other income (expense), net</w:t>
            </w:r>
          </w:p>
        </w:tc>
        <w:tc>
          <w:tcPr>
            <w:tcW w:w="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8,913</w:t>
            </w:r>
          </w:p>
        </w:tc>
        <w:tc>
          <w:tcPr>
            <w:tcW w:w="3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8,415</w:t>
            </w:r>
          </w:p>
        </w:tc>
        <w:tc>
          <w:tcPr>
            <w:tcW w:w="3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80" w:type="dxa"/>
            <w:vAlign w:val="bottom"/>
          </w:tcPr>
          <w:p>
            <w:pPr>
              <w:spacing w:after="0" w:line="182" w:lineRule="exact"/>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839"/>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(64,842)</w:t>
            </w:r>
          </w:p>
        </w:tc>
        <w:tc>
          <w:tcPr>
            <w:tcW w:w="360" w:type="dxa"/>
            <w:vAlign w:val="bottom"/>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(98,218)</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33,376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4587240</wp:posOffset>
            </wp:positionH>
            <wp:positionV relativeFrom="paragraph">
              <wp:posOffset>-577850</wp:posOffset>
            </wp:positionV>
            <wp:extent cx="93980"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-577850</wp:posOffset>
            </wp:positionV>
            <wp:extent cx="93980"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-161925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-161925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98"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Research and development expenses were $47.1 million for the six months ended June 30, 2025 compared to $ 61.6 million for the six months ended June 30, 2024. The decrease of $ 14.5 million was primarily driven by decreases of $3.8 million in personnel costs, including stock-based compensation expense, $3.0 million in expenses incurred in connection with clinical trials, preclinical studies and discovery activities, $ 2.5 million in outsourced services and consulting fees, and $1.7 million in facilities-related expenses and depreciation, and an impairment charge of $3.0 million on operating lease assets, leasehold improvements, and furniture related to the sublease plan of the first floor of our San Diego facility during the six months ended June 30, 2024.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In-process research and development expenses</w:t>
      </w:r>
    </w:p>
    <w:p>
      <w:pPr>
        <w:spacing w:after="0" w:line="198"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In-process research and development expenses were $7.5 million for the six months ended June 30, 2025 compared to $22.5 million for the six months ended June 30, 2024. In-process research and development expenses for the six months ended June 30, 2025 were related to the achievement of milestones in connection with our license agreement with Joyo. In-process research and development expenses for the six months ended June 30, 2024 were related to upfront payments in connection with our license agreements with Joyo and Medshine.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98"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General and administrative expenses were $ 19.1 million for the six months ended June 30, 2025 compared to $22.5 million for the six months ended June 30, 2024. The decrease of $3.4 million was primarily driven by an impairment charge of $1.7 million on operating lease assets, leasehold improvements, and furniture related to the sublease plan of the first floor of our San Diego facility during the six months ended June 30, 2024, and decreases of $1.0 million in legal fees, $0.4 million in facilities and office-related expenses, and $0.3 million in insurance costs.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98"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Other income (expense), net was $8.9 million for the six months ended June 30, 2025 compared to $ 8.4 million for the six months ended June 30, 2024. The increase of $0.5 million was primarily related to a $ 0.4 million impairment charge on our investment in equity securities during the six months ended June 30, 2024 and an increase in interest earned on our cash, cash equivalents and marketable securities of $0.1 million during the six months ended June 30, 2025.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198"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In July 2021, we completed our IPO and issued 21,562,500 shares of our common stock, including the exercise in full by the underwriters of their option to purchase 2,812,500 shares of our common stock, at a price to the public of $16.00 per share. Our aggregate net proceeds from the offering were $ 317.0 million, net of underwriting discounts and commissions of $24.2 million and offering costs of $3.8 million. Prior to the IPO, we received aggregate gross proceeds of $320.4 million from the sale of shares of our convertible preferred stock.</w:t>
      </w:r>
    </w:p>
    <w:p>
      <w:pPr>
        <w:spacing w:after="0" w:line="16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August 2022, we entered into the Sale Agreement with the Agent, pursuant to which we may offer and sell shares of our common stock having an aggregate offering price of up to $200 million from time to time, in ATM Offerings through the Agent. Sales of the shares of common stock, if any, will be made at prevailing market prices at the time of sale, or as otherwise agreed with the Agent. Pursuant to the Sale Agreement, the Agent will receive a commission from us of up to 3.0% of the gross proceeds of any shares of common stock sold under the Sale Agreement. During the year ended December 31, 2024, we sold 9,231,114 shares of our common stock under the Sale Agreement at a weighted-average price of $2.37 per share. Proceeds from the ATM Offering during the year ended December 31, 2024 were $21.0 million, net of commissions and expenses of $0.8 million. No shares of our common stock were sold under the Sale Agreement during the three and six months ended June 30, 2025 and 2024. As of June 30, 2025, we had $178.1 million of shares available for sale under the ATM program.</w:t>
      </w:r>
    </w:p>
    <w:p>
      <w:pPr>
        <w:spacing w:after="0" w:line="170"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In December 2022, we completed the 2022 Offering and issued 15,384,616 shares of our common stock at a price to the public of $6.50 per share. Proceeds from the 2022 Offering were $94.9 million, net of underwriting discounts and commissions and offering costs of $5.1 million.</w:t>
      </w:r>
    </w:p>
    <w:p>
      <w:pPr>
        <w:spacing w:after="0" w:line="140" w:lineRule="exact"/>
        <w:rPr>
          <w:sz w:val="20"/>
          <w:szCs w:val="20"/>
          <w:color w:val="auto"/>
        </w:rPr>
      </w:pPr>
    </w:p>
    <w:p>
      <w:pPr>
        <w:jc w:val="both"/>
        <w:ind w:right="400"/>
        <w:spacing w:after="0" w:line="253" w:lineRule="auto"/>
        <w:rPr>
          <w:sz w:val="20"/>
          <w:szCs w:val="20"/>
          <w:color w:val="auto"/>
        </w:rPr>
      </w:pPr>
      <w:r>
        <w:rPr>
          <w:rFonts w:ascii="Arial" w:cs="Arial" w:eastAsia="Arial" w:hAnsi="Arial"/>
          <w:sz w:val="18"/>
          <w:szCs w:val="18"/>
          <w:color w:val="auto"/>
        </w:rPr>
        <w:t>In March 2024, in connection with the 2024 Private Placement, we entered into a stock purchase agreement with the purchasers named therein for the private placement of 21,844,660 shares of our common stock at a price of $2.06 per share, which closed on April 2, 2024. Proceeds from the 2024 Private Placement were $43.6 million, net of placement agent fees and expenses of approximately $1.4 million.</w:t>
      </w:r>
    </w:p>
    <w:p>
      <w:pPr>
        <w:spacing w:after="0" w:line="15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 May 2024, we completed the 2024 Offering and issued 99,459,458 shares of our common stock, including the exercise in full by the underwriters of their option to purchase 12,972,972 shares of our common stock, at a price to the public of $1.85 per share. Proceeds from the 2024 Offering were $174.4 million, net of underwriting discounts and commissions and offering costs of $9.6 million.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19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As of June 30, 2025, we had cash, cash equivalents and marketable securities of $386.7 million. Based upon our current operating plans, we believe that our cash, cash equivalents and marketable securities will be sufficient to fund our operations into the second half of 2028.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 but not limited to:</w:t>
      </w:r>
    </w:p>
    <w:p>
      <w:pPr>
        <w:spacing w:after="0" w:line="198" w:lineRule="exact"/>
        <w:rPr>
          <w:sz w:val="20"/>
          <w:szCs w:val="20"/>
          <w:color w:val="auto"/>
        </w:rPr>
      </w:pPr>
    </w:p>
    <w:p>
      <w:pPr>
        <w:ind w:left="760" w:hanging="752"/>
        <w:spacing w:after="0" w:line="253" w:lineRule="auto"/>
        <w:tabs>
          <w:tab w:leader="none" w:pos="41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type, number, scope, progress, expansions, results, costs and timing of discovery, preclinical studies and clinical trials of our product candidates that we are pursuing or may choose to pursue in the future, including the costs of any third-party products used in our combination clinical trials that are not covered by such third party or other sources;</w:t>
      </w:r>
    </w:p>
    <w:p>
      <w:pPr>
        <w:spacing w:after="0" w:line="155" w:lineRule="exact"/>
        <w:rPr>
          <w:rFonts w:ascii="Arial" w:cs="Arial" w:eastAsia="Arial" w:hAnsi="Arial"/>
          <w:sz w:val="18"/>
          <w:szCs w:val="18"/>
          <w:color w:val="auto"/>
        </w:rPr>
      </w:pPr>
    </w:p>
    <w:p>
      <w:pPr>
        <w:ind w:left="760" w:right="620" w:hanging="752"/>
        <w:spacing w:after="0" w:line="271" w:lineRule="auto"/>
        <w:tabs>
          <w:tab w:leader="none" w:pos="41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and timing of manufacturing for our product candidates with CMOs, including commercial manufacturing, if any product candidate is approved;</w:t>
      </w:r>
    </w:p>
    <w:p>
      <w:pPr>
        <w:spacing w:after="0" w:line="140" w:lineRule="exact"/>
        <w:rPr>
          <w:rFonts w:ascii="Arial" w:cs="Arial" w:eastAsia="Arial" w:hAnsi="Arial"/>
          <w:sz w:val="18"/>
          <w:szCs w:val="18"/>
          <w:color w:val="auto"/>
        </w:rPr>
      </w:pPr>
    </w:p>
    <w:p>
      <w:pPr>
        <w:ind w:left="400" w:hanging="39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34" w:name="page35"/>
    <w:bookmarkEnd w:id="34"/>
    <w:p>
      <w:pPr>
        <w:ind w:left="760" w:right="580" w:hanging="752"/>
        <w:spacing w:after="0" w:line="271" w:lineRule="auto"/>
        <w:tabs>
          <w:tab w:leader="none" w:pos="4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140" w:lineRule="exact"/>
        <w:rPr>
          <w:rFonts w:ascii="Arial" w:cs="Arial" w:eastAsia="Arial" w:hAnsi="Arial"/>
          <w:sz w:val="18"/>
          <w:szCs w:val="18"/>
          <w:color w:val="auto"/>
        </w:rPr>
      </w:pPr>
    </w:p>
    <w:p>
      <w:pPr>
        <w:ind w:left="400" w:hanging="392"/>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consultants, and CROs as our preclinical and clinical activities increase;</w:t>
      </w:r>
    </w:p>
    <w:p>
      <w:pPr>
        <w:spacing w:after="0" w:line="198" w:lineRule="exact"/>
        <w:rPr>
          <w:rFonts w:ascii="Arial" w:cs="Arial" w:eastAsia="Arial" w:hAnsi="Arial"/>
          <w:sz w:val="18"/>
          <w:szCs w:val="18"/>
          <w:color w:val="auto"/>
        </w:rPr>
      </w:pPr>
    </w:p>
    <w:p>
      <w:pPr>
        <w:ind w:left="760" w:right="60" w:hanging="752"/>
        <w:spacing w:after="0" w:line="271" w:lineRule="auto"/>
        <w:tabs>
          <w:tab w:leader="none" w:pos="4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amount of the milestone or other payments we must make to the licensors and other third parties from whom we have in-licensed or acquired our product candidates or technologies;</w:t>
      </w:r>
    </w:p>
    <w:p>
      <w:pPr>
        <w:spacing w:after="0" w:line="140" w:lineRule="exact"/>
        <w:rPr>
          <w:rFonts w:ascii="Arial" w:cs="Arial" w:eastAsia="Arial" w:hAnsi="Arial"/>
          <w:sz w:val="18"/>
          <w:szCs w:val="18"/>
          <w:color w:val="auto"/>
        </w:rPr>
      </w:pPr>
    </w:p>
    <w:p>
      <w:pPr>
        <w:ind w:left="400" w:hanging="392"/>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if any product candidate is approved;</w:t>
      </w:r>
    </w:p>
    <w:p>
      <w:pPr>
        <w:spacing w:after="0" w:line="198" w:lineRule="exact"/>
        <w:rPr>
          <w:rFonts w:ascii="Arial" w:cs="Arial" w:eastAsia="Arial" w:hAnsi="Arial"/>
          <w:sz w:val="18"/>
          <w:szCs w:val="18"/>
          <w:color w:val="auto"/>
        </w:rPr>
      </w:pPr>
    </w:p>
    <w:p>
      <w:pPr>
        <w:ind w:left="760" w:right="20" w:hanging="752"/>
        <w:spacing w:after="0" w:line="271" w:lineRule="auto"/>
        <w:tabs>
          <w:tab w:leader="none" w:pos="4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140" w:lineRule="exact"/>
        <w:rPr>
          <w:rFonts w:ascii="Arial" w:cs="Arial" w:eastAsia="Arial" w:hAnsi="Arial"/>
          <w:sz w:val="18"/>
          <w:szCs w:val="18"/>
          <w:color w:val="auto"/>
        </w:rPr>
      </w:pPr>
    </w:p>
    <w:p>
      <w:pPr>
        <w:ind w:left="760" w:right="220" w:hanging="752"/>
        <w:spacing w:after="0" w:line="271" w:lineRule="auto"/>
        <w:tabs>
          <w:tab w:leader="none" w:pos="4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patients’ willingness to pay out-of-pocket for any approved products in the absence of coverage and/or adequate reimbursement from third-party payors;</w:t>
      </w:r>
    </w:p>
    <w:p>
      <w:pPr>
        <w:spacing w:after="0" w:line="140" w:lineRule="exact"/>
        <w:rPr>
          <w:rFonts w:ascii="Arial" w:cs="Arial" w:eastAsia="Arial" w:hAnsi="Arial"/>
          <w:sz w:val="18"/>
          <w:szCs w:val="18"/>
          <w:color w:val="auto"/>
        </w:rPr>
      </w:pPr>
    </w:p>
    <w:p>
      <w:pPr>
        <w:ind w:left="400" w:hanging="392"/>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w:t>
      </w:r>
    </w:p>
    <w:p>
      <w:pPr>
        <w:spacing w:after="0" w:line="198" w:lineRule="exact"/>
        <w:rPr>
          <w:rFonts w:ascii="Arial" w:cs="Arial" w:eastAsia="Arial" w:hAnsi="Arial"/>
          <w:sz w:val="18"/>
          <w:szCs w:val="18"/>
          <w:color w:val="auto"/>
        </w:rPr>
      </w:pPr>
    </w:p>
    <w:p>
      <w:pPr>
        <w:ind w:left="400" w:hanging="392"/>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delays and cost increases that result from geopolitical and economic events;</w:t>
      </w:r>
    </w:p>
    <w:p>
      <w:pPr>
        <w:spacing w:after="0" w:line="198" w:lineRule="exact"/>
        <w:rPr>
          <w:rFonts w:ascii="Arial" w:cs="Arial" w:eastAsia="Arial" w:hAnsi="Arial"/>
          <w:sz w:val="18"/>
          <w:szCs w:val="18"/>
          <w:color w:val="auto"/>
        </w:rPr>
      </w:pPr>
    </w:p>
    <w:p>
      <w:pPr>
        <w:ind w:left="760" w:right="300" w:hanging="752"/>
        <w:spacing w:after="0" w:line="271" w:lineRule="auto"/>
        <w:tabs>
          <w:tab w:leader="none" w:pos="4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evolving government regulation that impacts the way we operate, including the potential negative effects of changes in United States tariff and import/export regulations; and</w:t>
      </w:r>
    </w:p>
    <w:p>
      <w:pPr>
        <w:spacing w:after="0" w:line="140" w:lineRule="exact"/>
        <w:rPr>
          <w:rFonts w:ascii="Arial" w:cs="Arial" w:eastAsia="Arial" w:hAnsi="Arial"/>
          <w:sz w:val="18"/>
          <w:szCs w:val="18"/>
          <w:color w:val="auto"/>
        </w:rPr>
      </w:pPr>
    </w:p>
    <w:p>
      <w:pPr>
        <w:ind w:left="400" w:hanging="392"/>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19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have no other committed sources of capital. Until we can generate a sufficient amount of product revenue to finance our cash requirements, if ever, we expect to finance our future cash needs primarily through equity offerings (including through the Sale Agreement),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collaborations, licensing, or other similar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research and development programs or other operations, or grant rights to develop and market product candidates to third parties that we would otherwise prefer to develop and market ourselves.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periods presented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720" w:type="dxa"/>
            <w:vAlign w:val="bottom"/>
            <w:gridSpan w:val="6"/>
          </w:tcPr>
          <w:p>
            <w:pPr>
              <w:jc w:val="right"/>
              <w:ind w:right="860"/>
              <w:spacing w:after="0"/>
              <w:rPr>
                <w:sz w:val="20"/>
                <w:szCs w:val="20"/>
                <w:color w:val="auto"/>
              </w:rPr>
            </w:pPr>
            <w:r>
              <w:rPr>
                <w:rFonts w:ascii="Arial" w:cs="Arial" w:eastAsia="Arial" w:hAnsi="Arial"/>
                <w:sz w:val="16"/>
                <w:szCs w:val="16"/>
                <w:b w:val="1"/>
                <w:bCs w:val="1"/>
                <w:color w:val="auto"/>
              </w:rPr>
              <w:t>Six Months Ended June 30,</w:t>
            </w:r>
          </w:p>
        </w:tc>
      </w:tr>
      <w:tr>
        <w:trPr>
          <w:trHeight w:val="183"/>
        </w:trPr>
        <w:tc>
          <w:tcPr>
            <w:tcW w:w="6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62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72"/>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r>
      <w:tr>
        <w:trPr>
          <w:trHeight w:val="196"/>
        </w:trPr>
        <w:tc>
          <w:tcPr>
            <w:tcW w:w="6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(used in) provided by:</w:t>
            </w:r>
          </w:p>
        </w:tc>
        <w:tc>
          <w:tcPr>
            <w:tcW w:w="9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20" w:type="dxa"/>
            <w:vAlign w:val="bottom"/>
          </w:tcPr>
          <w:p>
            <w:pPr>
              <w:ind w:left="160"/>
              <w:spacing w:after="0" w:line="202" w:lineRule="exact"/>
              <w:rPr>
                <w:sz w:val="20"/>
                <w:szCs w:val="20"/>
                <w:color w:val="auto"/>
              </w:rPr>
            </w:pPr>
            <w:r>
              <w:rPr>
                <w:rFonts w:ascii="Arial" w:cs="Arial" w:eastAsia="Arial" w:hAnsi="Arial"/>
                <w:sz w:val="18"/>
                <w:szCs w:val="18"/>
                <w:color w:val="auto"/>
              </w:rPr>
              <w:t>Operating activities</w:t>
            </w:r>
          </w:p>
        </w:tc>
        <w:tc>
          <w:tcPr>
            <w:tcW w:w="1940" w:type="dxa"/>
            <w:vAlign w:val="bottom"/>
            <w:gridSpan w:val="2"/>
          </w:tcPr>
          <w:p>
            <w:pPr>
              <w:jc w:val="right"/>
              <w:ind w:right="856"/>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8"/>
              </w:rPr>
              <w:t>(52,086)</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(62,434)</w:t>
            </w:r>
          </w:p>
        </w:tc>
      </w:tr>
      <w:tr>
        <w:trPr>
          <w:trHeight w:val="203"/>
        </w:trPr>
        <w:tc>
          <w:tcPr>
            <w:tcW w:w="66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Investing activities</w:t>
            </w:r>
          </w:p>
        </w:tc>
        <w:tc>
          <w:tcPr>
            <w:tcW w:w="9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50,010</w:t>
            </w:r>
          </w:p>
        </w:tc>
        <w:tc>
          <w:tcPr>
            <w:tcW w:w="3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(76,638)</w:t>
            </w:r>
          </w:p>
        </w:tc>
      </w:tr>
      <w:tr>
        <w:trPr>
          <w:trHeight w:val="203"/>
        </w:trPr>
        <w:tc>
          <w:tcPr>
            <w:tcW w:w="6620" w:type="dxa"/>
            <w:vAlign w:val="bottom"/>
          </w:tcPr>
          <w:p>
            <w:pPr>
              <w:ind w:left="160"/>
              <w:spacing w:after="0" w:line="202" w:lineRule="exact"/>
              <w:rPr>
                <w:sz w:val="20"/>
                <w:szCs w:val="20"/>
                <w:color w:val="auto"/>
              </w:rPr>
            </w:pPr>
            <w:r>
              <w:rPr>
                <w:rFonts w:ascii="Arial" w:cs="Arial" w:eastAsia="Arial" w:hAnsi="Arial"/>
                <w:sz w:val="18"/>
                <w:szCs w:val="18"/>
                <w:color w:val="auto"/>
              </w:rPr>
              <w:t>Financing activities</w:t>
            </w: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480</w:t>
            </w:r>
          </w:p>
        </w:tc>
        <w:tc>
          <w:tcPr>
            <w:tcW w:w="380" w:type="dxa"/>
            <w:vAlign w:val="bottom"/>
          </w:tcPr>
          <w:p>
            <w:pPr>
              <w:spacing w:after="0"/>
              <w:rPr>
                <w:sz w:val="17"/>
                <w:szCs w:val="17"/>
                <w:color w:val="auto"/>
              </w:rPr>
            </w:pP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218,799</w:t>
            </w:r>
          </w:p>
        </w:tc>
      </w:tr>
      <w:tr>
        <w:trPr>
          <w:trHeight w:val="20"/>
        </w:trPr>
        <w:tc>
          <w:tcPr>
            <w:tcW w:w="6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6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Net (decrease) increase in cash, cash equivalents and restricted cash</w:t>
            </w:r>
          </w:p>
        </w:tc>
        <w:tc>
          <w:tcPr>
            <w:tcW w:w="90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856"/>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240"/>
              <w:spacing w:after="0" w:line="182" w:lineRule="exact"/>
              <w:rPr>
                <w:sz w:val="20"/>
                <w:szCs w:val="20"/>
                <w:color w:val="auto"/>
              </w:rPr>
            </w:pPr>
            <w:r>
              <w:rPr>
                <w:rFonts w:ascii="Arial" w:cs="Arial" w:eastAsia="Arial" w:hAnsi="Arial"/>
                <w:sz w:val="18"/>
                <w:szCs w:val="18"/>
                <w:color w:val="auto"/>
              </w:rPr>
              <w:t>(1,596)</w:t>
            </w:r>
          </w:p>
        </w:tc>
        <w:tc>
          <w:tcPr>
            <w:tcW w:w="380" w:type="dxa"/>
            <w:vAlign w:val="bottom"/>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79,727</w:t>
            </w:r>
          </w:p>
        </w:tc>
      </w:tr>
      <w:tr>
        <w:trPr>
          <w:trHeight w:val="862"/>
        </w:trPr>
        <w:tc>
          <w:tcPr>
            <w:tcW w:w="6620" w:type="dxa"/>
            <w:vAlign w:val="bottom"/>
            <w:tcBorders>
              <w:top w:val="single" w:sz="8" w:color="CFF0FC"/>
            </w:tcBorders>
          </w:tcPr>
          <w:p>
            <w:pPr>
              <w:ind w:left="5520"/>
              <w:spacing w:after="0"/>
              <w:rPr>
                <w:sz w:val="20"/>
                <w:szCs w:val="20"/>
                <w:color w:val="auto"/>
              </w:rPr>
            </w:pPr>
            <w:r>
              <w:rPr>
                <w:rFonts w:ascii="Arial" w:cs="Arial" w:eastAsia="Arial" w:hAnsi="Arial"/>
                <w:sz w:val="18"/>
                <w:szCs w:val="18"/>
                <w:color w:val="auto"/>
              </w:rPr>
              <w:t>33</w:t>
            </w:r>
          </w:p>
        </w:tc>
        <w:tc>
          <w:tcPr>
            <w:tcW w:w="90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5"/>
        </w:trPr>
        <w:tc>
          <w:tcPr>
            <w:tcW w:w="6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-1070610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-1053465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Operating activities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Cash used in operating activities was $52.1 million during the six months ended June 30, 2025, primarily resulting from a net loss of $64.8 million, changes in operating assets and liabilities of $6.0 million and accretion on marketable securities of $3.5 million, partially reduced by stock-based compensation expense of $13.1 million, in-process research and development expenses of $7.5 million, which are reflected in noncash and investing activities, and depreciation and amortization expense of $1.6 million. Net cash used from changes in operating assets and liabilities consisted primarily of decreases in accrued expenses and other current and long-term liabilities of $6.6 million and operating lease assets and liabilities, net of $1.1 million, partially offset by an increase in accounts payable of $1.2 million and a decrease in prepaid expenses and other current and long-term assets of $0.5 million.</w:t>
      </w:r>
    </w:p>
    <w:p>
      <w:pPr>
        <w:spacing w:after="0" w:line="17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Cash used in operating activities was $62.4 million during the six months ended June 30, 2024, primarily resulting from a net loss of $98.2 million, accretion on marketable securities of $4.7 million and changes in operating assets and liabilities of $3.2 million, partially reduced by in-process research and development expenses of $22.5 million, which are reflected in investing activities, stock-based compensation expense of $ 14.0 million, an impairment charge of $4.7 million on operating lease assets, leasehold improvements and furniture and depreciation and amortization expense of $2.1 million. Net cash used from changes in operating assets and liabilities consisted primarily of a decrease in accounts payable, accrued expenses and other current and long-term liabilities of $2.4 million and an increase in prepaid expenses and other current and long-term assets of $0.8 million.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98"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color w:val="auto"/>
        </w:rPr>
        <w:t>Net cash provided by investing activities was $50.0 million during the six months ended June 30, 2025 as compared to net cash used in investing activities of $76.6 million during the six months ended June 30, 2024. The increase in cash provided by investing activities of $126.6 million was primarily the result of a decrease in purchases of marketable securities of $ 77.1 million, an increase in maturities of marketable securities of $32.6 million and a decrease in in-process research and development of $17.0 million.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98"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Net cash provided by financing activities was $0.5 million during the six months ended June 30, 2025 as compared to $218.8 million during the six months ended June 30, 2024. During the six months ended June 30, 2025, we received $ 0.4 million from the issuance of common stock under our ESPP and $0.1 million from the exercise of stock options. During the six months ended June 30, 2024, we received $174.6 million of net proceeds for the issuance of common stock from the 2024 Offering, $43.6 million in net proceeds for the issuance of common stock from the 2024 Private Placement, $0.4 million from the issuance of common stock under our ESPP and $0.1 million from the exercise of stock options.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98"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As of June 30, 2025, there have been no material changes outside the ordinary course of our business to the contractual obligations we reported in “Management’s discussion and analysis of financial condition and results of operations – Cash requirements due to contractual obligations and other commitments,” included in our Annual Report on Form 10-K for the year ended December 31, 2024 filed with the SEC on March 20, 2025.</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This management discussion and analysis of financial condition and results of operations is based on our condensed consolidated financial statements, which have been prepared in accordance with US GAAP. The preparation of these condensed consolidated financial statements requires us to make estimates and judgments that affect the reported amounts of assets, liabilities, revenue and expenses. On an ongoing basis, we evaluate these estimates and judgments. We base our estimates on historical experience and on various assumptions that we believe to be reasonable under the circumstances. These estimates and assumptions form the basis for making judgments about the carrying values of assets and liabilities and the recording of revenue and expenses that are not readily apparent from other sources. Actual results may differ materially from these estimates. As of June 30, 2025, there have been no material changes to our critical accounting policies and estimates from those disclosed in “Management’s discussion and analysis of financial condition and results of operations – Critical accounting policies and estimates,” included in our Annual Report on Form 10-K for the year ended December 31, 2024 filed with the SEC on March 20, 2025.</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5"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See Note 2 to our condensed consolidated financial statements included elsewhere in this Quarterly Report on Form 10-Q for recently issued and adopted accounting pronouncements.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9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As an emerging growth company under the Jumpstart Our Business Startups Act of 2012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our condensed consolidated financial statements may not be comparable to companies that comply with new or revised accounting pronouncements as of public company effective dates. We also intend to rely on other exemptions provided by the JOBS Act, including without limitation, not being required to comply with the auditor attestation requirements of Section 404(b) of the Sarbanes-Oxley Act of 2002 (Sarbanes-Oxley).</w:t>
      </w:r>
    </w:p>
    <w:p>
      <w:pPr>
        <w:spacing w:after="0" w:line="17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will remain an emerging growth company until the earliest of (i) the last day of the fiscal year following the fifth anniversary of the consummation of our IPO;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65"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As of June 30, 2025,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in our Annual Report on Form 10-K for the year ended December 31, 2024 filed with the SEC on March 20, 2025.</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5" w:right="359" w:bottom="1440" w:gutter="0" w:footer="0" w:header="0"/>
        </w:sectPr>
      </w:pPr>
    </w:p>
    <w:bookmarkStart w:id="37" w:name="page38"/>
    <w:bookmarkEnd w:id="37"/>
    <w:p>
      <w:pPr>
        <w:spacing w:after="0" w:line="247"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have concluded that, as of June 30, 2025, our disclosure controls and procedures were effective at the reasonable assurance level.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8"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June 30, 2025 that have materially affected, or are reasonably likely to materially affect, our internal control over financial reporting.</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71" w:right="41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are not currently a party to any material proceedings. From time to time, we may become involved in legal proceedings or be subject to claims arising in the ordinary course of our business. Regardless of outcome, such proceedings or claims can have an adverse impact on us because of defense and settlement costs, diversion of resources and other factors, and there can be no assurances that favorable outcomes will be obtained.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There have been no material changes to the risk factors set forth in Part I, Item 1A of our Annual Report on Form 10-K for the year ended December 31, 2024 filed with the SEC on March 20, 2025, other than as set forth in Part II, Item 1A, "Risk Factors" of our Quarterly Report on Form 10-Q for the quarter ended March 31, 2025 filed with the SEC on May 13, 2025.</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19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During the three months ended June 30, 2025, none of our officers (as defined in Rule 16a–1(f)) or directors adopted, materially modified or terminated any Rule 10b5-1 trading arrangement or non-Rule 10b5-1 trading arrangement, as each such term is defined in Item 408 of Regulation S-K.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 the Market Sales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Sale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On August 11, 2022, we entered into an Open Market Sale Agreement (the Sale Agreement), with Jefferies LLC (the Agent), pursuant to which we could offer and sell shares of our common stock having an aggregate offering price of up to $200 million from time to time, in an “at-the-market offering” (2022 ATM Offering) through the Agent. In connection with the 2022 ATM Offering, we filed a sales agreement prospectus (the 2022 ATM Prospectus) with a shelf registration statement on Form S-3 (File No. 333-266802), which was declared effective by the SEC on August 18, 2022. In connection with the Amended and Restated Sale Agreement (defined below), effective August 12, 2025, we amended and restated the Sale Agreement, and we have discontinued all offers and sales of shares of our common stock under the Sale Agreement and the 2022 ATM Prospectus. As of June 30, 2025, we had $178.1 million of shares available for sale under the 2022 ATM Offering.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5"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Amended and Restated Sale Agreement</w:t>
      </w:r>
    </w:p>
    <w:p>
      <w:pPr>
        <w:spacing w:after="0" w:line="198"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On August 12, 2025, we entered into an Amended and Restated Open Market Sale Agreement (the Amended and Restated Sale Agreement) with the Agent, pursuant to which we may offer and sell shares of our common stock having an aggregate offering price of up to $200 million from time to time, in an “at-the-market offering” (2025 ATM Offering) through the Agent. Sales of the shares of common stock, if any, will be made at prevailing market prices at the time of sale, or as otherwise agreed with the Agent. The Agent will receive a commission from us of up to 3.0% of the gross proceeds of any shares of common stock sold under the Amended and Restated Sale Agreement.</w:t>
      </w:r>
    </w:p>
    <w:p>
      <w:pPr>
        <w:spacing w:after="0" w:line="145"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We are not obligated to sell, and the Agent is not obligated to buy or sell, any shares of common stock under the Amended and Restated Sale Agreement. No assurance can be given that we will sell any shares of common stock under the Amended and Restated Sale Agreement, or, if we do, as to the price or amount of shares of common stock that we sell or the dates when such sales will take place.</w:t>
      </w:r>
    </w:p>
    <w:p>
      <w:pPr>
        <w:spacing w:after="0" w:line="15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the Amended and Restated Sale Agreement, we agreed to indemnify the Agent against certain liabilities, including under the Securities Act of 1933, as amended, or the Securities Exchange Act of 1934, as amended, or to contribute to payments that the Agent may be required to make because of such liabilities. We and the Agent may each terminate the Amended and Restated Sale Agreement at any time upon specified prior written notice.</w:t>
      </w:r>
    </w:p>
    <w:p>
      <w:pPr>
        <w:spacing w:after="0" w:line="16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foregoing description of the Amended and Restated Sale Agreement is not complete and is qualified in its entirety by reference to the Amended and Restated Sale Agreement, a copy of which will be filed as Exhibit 1.2 to our Registration Statement on Form S-3 to be filed on August 12, 2025 with the SEC and is incorporated herein by reference.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900" w:type="dxa"/>
            <w:vAlign w:val="bottom"/>
            <w:tcBorders>
              <w:bottom w:val="single" w:sz="8" w:color="auto"/>
            </w:tcBorders>
            <w:gridSpan w:val="14"/>
          </w:tcPr>
          <w:p>
            <w:pPr>
              <w:ind w:left="1540"/>
              <w:spacing w:after="0"/>
              <w:rPr>
                <w:sz w:val="20"/>
                <w:szCs w:val="20"/>
                <w:color w:val="auto"/>
              </w:rPr>
            </w:pPr>
            <w:r>
              <w:rPr>
                <w:rFonts w:ascii="Arial" w:cs="Arial" w:eastAsia="Arial" w:hAnsi="Arial"/>
                <w:sz w:val="14"/>
                <w:szCs w:val="14"/>
                <w:b w:val="1"/>
                <w:bCs w:val="1"/>
                <w:color w:val="auto"/>
              </w:rPr>
              <w:t>Exhibit Description</w:t>
            </w:r>
          </w:p>
        </w:tc>
        <w:tc>
          <w:tcPr>
            <w:tcW w:w="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155"/>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3"/>
                <w:szCs w:val="13"/>
                <w:color w:val="auto"/>
              </w:rPr>
            </w:pPr>
          </w:p>
        </w:tc>
        <w:tc>
          <w:tcPr>
            <w:tcW w:w="5340" w:type="dxa"/>
            <w:vAlign w:val="bottom"/>
            <w:gridSpan w:val="16"/>
            <w:vMerge w:val="restart"/>
          </w:tcPr>
          <w:p>
            <w:pPr>
              <w:spacing w:after="0"/>
              <w:rPr>
                <w:rFonts w:ascii="Arial" w:cs="Arial" w:eastAsia="Arial" w:hAnsi="Arial"/>
                <w:sz w:val="18"/>
                <w:szCs w:val="18"/>
                <w:color w:val="0000FF"/>
              </w:rPr>
            </w:pPr>
            <w:hyperlink r:id="rId225">
              <w:r>
                <w:rPr>
                  <w:rFonts w:ascii="Arial" w:cs="Arial" w:eastAsia="Arial" w:hAnsi="Arial"/>
                  <w:sz w:val="18"/>
                  <w:szCs w:val="18"/>
                  <w:color w:val="0000FF"/>
                </w:rPr>
                <w:t>Amended and Restated Certificate of Incorporation of Erasca, Inc.</w:t>
              </w:r>
            </w:hyperlink>
          </w:p>
        </w:tc>
        <w:tc>
          <w:tcPr>
            <w:tcW w:w="40" w:type="dxa"/>
            <w:vAlign w:val="bottom"/>
          </w:tcPr>
          <w:p>
            <w:pPr>
              <w:spacing w:after="0"/>
              <w:rPr>
                <w:sz w:val="13"/>
                <w:szCs w:val="13"/>
                <w:color w:val="auto"/>
              </w:rPr>
            </w:pPr>
          </w:p>
        </w:tc>
        <w:tc>
          <w:tcPr>
            <w:tcW w:w="660" w:type="dxa"/>
            <w:vAlign w:val="bottom"/>
            <w:tcBorders>
              <w:bottom w:val="single" w:sz="8" w:color="auto"/>
            </w:tcBorders>
          </w:tcPr>
          <w:p>
            <w:pPr>
              <w:jc w:val="center"/>
              <w:ind w:left="94"/>
              <w:spacing w:after="0" w:line="155" w:lineRule="exact"/>
              <w:rPr>
                <w:sz w:val="20"/>
                <w:szCs w:val="20"/>
                <w:color w:val="auto"/>
              </w:rPr>
            </w:pPr>
            <w:r>
              <w:rPr>
                <w:rFonts w:ascii="Arial" w:cs="Arial" w:eastAsia="Arial" w:hAnsi="Arial"/>
                <w:sz w:val="14"/>
                <w:szCs w:val="14"/>
                <w:b w:val="1"/>
                <w:bCs w:val="1"/>
                <w:color w:val="auto"/>
              </w:rPr>
              <w:t>Form</w:t>
            </w:r>
          </w:p>
        </w:tc>
        <w:tc>
          <w:tcPr>
            <w:tcW w:w="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3"/>
                <w:szCs w:val="13"/>
                <w:color w:val="auto"/>
              </w:rPr>
            </w:pPr>
          </w:p>
        </w:tc>
        <w:tc>
          <w:tcPr>
            <w:tcW w:w="11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340" w:type="dxa"/>
            <w:vAlign w:val="bottom"/>
            <w:gridSpan w:val="16"/>
            <w:vMerge w:val="continue"/>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jc w:val="center"/>
              <w:ind w:left="94"/>
              <w:spacing w:after="0" w:line="169" w:lineRule="exact"/>
              <w:rPr>
                <w:sz w:val="20"/>
                <w:szCs w:val="20"/>
                <w:color w:val="auto"/>
              </w:rPr>
            </w:pPr>
            <w:r>
              <w:rPr>
                <w:rFonts w:ascii="Arial" w:cs="Arial" w:eastAsia="Arial" w:hAnsi="Arial"/>
                <w:sz w:val="18"/>
                <w:szCs w:val="18"/>
                <w:color w:val="auto"/>
                <w:w w:val="99"/>
              </w:rPr>
              <w:t>8-K</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line="169" w:lineRule="exact"/>
              <w:rPr>
                <w:sz w:val="20"/>
                <w:szCs w:val="20"/>
                <w:color w:val="auto"/>
              </w:rPr>
            </w:pPr>
            <w:r>
              <w:rPr>
                <w:rFonts w:ascii="Arial" w:cs="Arial" w:eastAsia="Arial" w:hAnsi="Arial"/>
                <w:sz w:val="18"/>
                <w:szCs w:val="18"/>
                <w:color w:val="auto"/>
                <w:w w:val="99"/>
              </w:rPr>
              <w:t>7/20/2021</w:t>
            </w:r>
          </w:p>
        </w:tc>
        <w:tc>
          <w:tcPr>
            <w:tcW w:w="120" w:type="dxa"/>
            <w:vAlign w:val="bottom"/>
          </w:tcPr>
          <w:p>
            <w:pPr>
              <w:spacing w:after="0"/>
              <w:rPr>
                <w:sz w:val="14"/>
                <w:szCs w:val="14"/>
                <w:color w:val="auto"/>
              </w:rPr>
            </w:pPr>
          </w:p>
        </w:tc>
        <w:tc>
          <w:tcPr>
            <w:tcW w:w="1100" w:type="dxa"/>
            <w:vAlign w:val="bottom"/>
          </w:tcPr>
          <w:p>
            <w:pPr>
              <w:jc w:val="center"/>
              <w:spacing w:after="0" w:line="169" w:lineRule="exact"/>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60" w:type="dxa"/>
            <w:vAlign w:val="bottom"/>
          </w:tcPr>
          <w:p>
            <w:pPr>
              <w:jc w:val="center"/>
              <w:spacing w:after="0" w:line="182" w:lineRule="exact"/>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15"/>
                <w:szCs w:val="15"/>
                <w:color w:val="auto"/>
              </w:rPr>
            </w:pPr>
          </w:p>
        </w:tc>
        <w:tc>
          <w:tcPr>
            <w:tcW w:w="530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226">
              <w:r>
                <w:rPr>
                  <w:rFonts w:ascii="Arial" w:cs="Arial" w:eastAsia="Arial" w:hAnsi="Arial"/>
                  <w:sz w:val="18"/>
                  <w:szCs w:val="18"/>
                  <w:color w:val="0000FF"/>
                </w:rPr>
                <w:t>Amended and Restated Bylaws of Erasca, Inc.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center"/>
              <w:ind w:left="94"/>
              <w:spacing w:after="0" w:line="182" w:lineRule="exact"/>
              <w:rPr>
                <w:sz w:val="20"/>
                <w:szCs w:val="20"/>
                <w:color w:val="auto"/>
              </w:rPr>
            </w:pPr>
            <w:r>
              <w:rPr>
                <w:rFonts w:ascii="Arial" w:cs="Arial" w:eastAsia="Arial" w:hAnsi="Arial"/>
                <w:sz w:val="18"/>
                <w:szCs w:val="18"/>
                <w:color w:val="auto"/>
                <w:w w:val="99"/>
              </w:rPr>
              <w:t>8-K</w:t>
            </w:r>
          </w:p>
        </w:tc>
        <w:tc>
          <w:tcPr>
            <w:tcW w:w="1420" w:type="dxa"/>
            <w:vAlign w:val="bottom"/>
            <w:gridSpan w:val="3"/>
          </w:tcPr>
          <w:p>
            <w:pPr>
              <w:jc w:val="center"/>
              <w:ind w:left="215"/>
              <w:spacing w:after="0" w:line="182" w:lineRule="exact"/>
              <w:rPr>
                <w:sz w:val="20"/>
                <w:szCs w:val="20"/>
                <w:color w:val="auto"/>
              </w:rPr>
            </w:pPr>
            <w:r>
              <w:rPr>
                <w:rFonts w:ascii="Arial" w:cs="Arial" w:eastAsia="Arial" w:hAnsi="Arial"/>
                <w:sz w:val="18"/>
                <w:szCs w:val="18"/>
                <w:color w:val="auto"/>
                <w:w w:val="99"/>
              </w:rPr>
              <w:t>7/20/2021</w:t>
            </w:r>
          </w:p>
        </w:tc>
        <w:tc>
          <w:tcPr>
            <w:tcW w:w="1220" w:type="dxa"/>
            <w:vAlign w:val="bottom"/>
            <w:gridSpan w:val="2"/>
          </w:tcPr>
          <w:p>
            <w:pPr>
              <w:jc w:val="center"/>
              <w:ind w:left="10"/>
              <w:spacing w:after="0" w:line="182" w:lineRule="exact"/>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5"/>
              </w:rPr>
              <w:t>4.1</w:t>
            </w: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restart"/>
          </w:tcPr>
          <w:p>
            <w:pPr>
              <w:jc w:val="center"/>
              <w:ind w:left="94"/>
              <w:spacing w:after="0" w:line="202" w:lineRule="exact"/>
              <w:rPr>
                <w:sz w:val="20"/>
                <w:szCs w:val="20"/>
                <w:color w:val="auto"/>
              </w:rPr>
            </w:pPr>
            <w:r>
              <w:rPr>
                <w:rFonts w:ascii="Arial" w:cs="Arial" w:eastAsia="Arial" w:hAnsi="Arial"/>
                <w:sz w:val="18"/>
                <w:szCs w:val="18"/>
                <w:color w:val="auto"/>
                <w:w w:val="99"/>
              </w:rPr>
              <w:t>S-1</w:t>
            </w:r>
          </w:p>
        </w:tc>
        <w:tc>
          <w:tcPr>
            <w:tcW w:w="1420" w:type="dxa"/>
            <w:vAlign w:val="bottom"/>
            <w:gridSpan w:val="3"/>
            <w:vMerge w:val="restart"/>
          </w:tcPr>
          <w:p>
            <w:pPr>
              <w:jc w:val="center"/>
              <w:ind w:left="215"/>
              <w:spacing w:after="0" w:line="202" w:lineRule="exact"/>
              <w:rPr>
                <w:sz w:val="20"/>
                <w:szCs w:val="20"/>
                <w:color w:val="auto"/>
              </w:rPr>
            </w:pPr>
            <w:r>
              <w:rPr>
                <w:rFonts w:ascii="Arial" w:cs="Arial" w:eastAsia="Arial" w:hAnsi="Arial"/>
                <w:sz w:val="18"/>
                <w:szCs w:val="18"/>
                <w:color w:val="auto"/>
                <w:w w:val="99"/>
              </w:rPr>
              <w:t>6/25/2021</w:t>
            </w:r>
          </w:p>
        </w:tc>
        <w:tc>
          <w:tcPr>
            <w:tcW w:w="1220" w:type="dxa"/>
            <w:vAlign w:val="bottom"/>
            <w:gridSpan w:val="2"/>
            <w:vMerge w:val="restart"/>
          </w:tcPr>
          <w:p>
            <w:pPr>
              <w:jc w:val="center"/>
              <w:ind w:left="10"/>
              <w:spacing w:after="0" w:line="202" w:lineRule="exact"/>
              <w:rPr>
                <w:sz w:val="20"/>
                <w:szCs w:val="20"/>
                <w:color w:val="auto"/>
              </w:rPr>
            </w:pPr>
            <w:r>
              <w:rPr>
                <w:rFonts w:ascii="Arial" w:cs="Arial" w:eastAsia="Arial" w:hAnsi="Arial"/>
                <w:sz w:val="18"/>
                <w:szCs w:val="18"/>
                <w:color w:val="auto"/>
                <w:w w:val="95"/>
              </w:rPr>
              <w:t>4.1</w:t>
            </w: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340" w:type="dxa"/>
            <w:vAlign w:val="bottom"/>
            <w:gridSpan w:val="16"/>
          </w:tcPr>
          <w:p>
            <w:pPr>
              <w:spacing w:after="0" w:line="182" w:lineRule="exact"/>
              <w:rPr>
                <w:rFonts w:ascii="Arial" w:cs="Arial" w:eastAsia="Arial" w:hAnsi="Arial"/>
                <w:sz w:val="18"/>
                <w:szCs w:val="18"/>
                <w:color w:val="0000FF"/>
              </w:rPr>
            </w:pPr>
            <w:hyperlink r:id="rId227">
              <w:r>
                <w:rPr>
                  <w:rFonts w:ascii="Arial" w:cs="Arial" w:eastAsia="Arial" w:hAnsi="Arial"/>
                  <w:sz w:val="18"/>
                  <w:szCs w:val="18"/>
                  <w:color w:val="0000FF"/>
                </w:rPr>
                <w:t>Specimen stock certificate evidencing the shares of common</w:t>
              </w:r>
            </w:hyperlink>
          </w:p>
        </w:tc>
        <w:tc>
          <w:tcPr>
            <w:tcW w:w="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15"/>
                <w:szCs w:val="15"/>
                <w:color w:val="auto"/>
              </w:rPr>
            </w:pPr>
          </w:p>
        </w:tc>
        <w:tc>
          <w:tcPr>
            <w:tcW w:w="42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5"/>
              </w:rPr>
            </w:pPr>
            <w:hyperlink r:id="rId227">
              <w:r>
                <w:rPr>
                  <w:rFonts w:ascii="Arial" w:cs="Arial" w:eastAsia="Arial" w:hAnsi="Arial"/>
                  <w:sz w:val="18"/>
                  <w:szCs w:val="18"/>
                  <w:color w:val="0000FF"/>
                  <w:w w:val="95"/>
                </w:rPr>
                <w:t>stock</w:t>
              </w:r>
            </w:hyperlink>
          </w:p>
        </w:tc>
        <w:tc>
          <w:tcPr>
            <w:tcW w:w="20" w:type="dxa"/>
            <w:vAlign w:val="bottom"/>
            <w:tcBorders>
              <w:top w:val="single" w:sz="8" w:color="0000FF"/>
              <w:bottom w:val="single" w:sz="8" w:color="0000EE"/>
            </w:tcBorders>
          </w:tcPr>
          <w:p>
            <w:pPr>
              <w:spacing w:after="0"/>
              <w:rPr>
                <w:sz w:val="15"/>
                <w:szCs w:val="15"/>
                <w:color w:val="auto"/>
              </w:rPr>
            </w:pPr>
          </w:p>
        </w:tc>
        <w:tc>
          <w:tcPr>
            <w:tcW w:w="444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vMerge w:val="restart"/>
          </w:tcPr>
          <w:p>
            <w:pPr>
              <w:jc w:val="center"/>
              <w:ind w:left="94"/>
              <w:spacing w:after="0"/>
              <w:rPr>
                <w:sz w:val="20"/>
                <w:szCs w:val="20"/>
                <w:color w:val="auto"/>
              </w:rPr>
            </w:pPr>
            <w:r>
              <w:rPr>
                <w:rFonts w:ascii="Arial" w:cs="Arial" w:eastAsia="Arial" w:hAnsi="Arial"/>
                <w:sz w:val="18"/>
                <w:szCs w:val="18"/>
                <w:color w:val="auto"/>
                <w:w w:val="99"/>
              </w:rPr>
              <w:t>S-1</w:t>
            </w:r>
          </w:p>
        </w:tc>
        <w:tc>
          <w:tcPr>
            <w:tcW w:w="1420" w:type="dxa"/>
            <w:vAlign w:val="bottom"/>
            <w:gridSpan w:val="3"/>
            <w:vMerge w:val="restart"/>
          </w:tcPr>
          <w:p>
            <w:pPr>
              <w:jc w:val="center"/>
              <w:ind w:left="215"/>
              <w:spacing w:after="0"/>
              <w:rPr>
                <w:sz w:val="20"/>
                <w:szCs w:val="20"/>
                <w:color w:val="auto"/>
              </w:rPr>
            </w:pPr>
            <w:r>
              <w:rPr>
                <w:rFonts w:ascii="Arial" w:cs="Arial" w:eastAsia="Arial" w:hAnsi="Arial"/>
                <w:sz w:val="18"/>
                <w:szCs w:val="18"/>
                <w:color w:val="auto"/>
                <w:w w:val="99"/>
              </w:rPr>
              <w:t>6/25/2021</w:t>
            </w:r>
          </w:p>
        </w:tc>
        <w:tc>
          <w:tcPr>
            <w:tcW w:w="122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340" w:type="dxa"/>
            <w:vAlign w:val="bottom"/>
            <w:gridSpan w:val="16"/>
          </w:tcPr>
          <w:p>
            <w:pPr>
              <w:spacing w:after="0" w:line="182" w:lineRule="exact"/>
              <w:rPr>
                <w:rFonts w:ascii="Arial" w:cs="Arial" w:eastAsia="Arial" w:hAnsi="Arial"/>
                <w:sz w:val="18"/>
                <w:szCs w:val="18"/>
                <w:color w:val="0000FF"/>
              </w:rPr>
            </w:pPr>
            <w:hyperlink r:id="rId228">
              <w:r>
                <w:rPr>
                  <w:rFonts w:ascii="Arial" w:cs="Arial" w:eastAsia="Arial" w:hAnsi="Arial"/>
                  <w:sz w:val="18"/>
                  <w:szCs w:val="18"/>
                  <w:color w:val="0000FF"/>
                </w:rPr>
                <w:t>Amended and Restated Stockholders Agreement, dated April 15,</w:t>
              </w:r>
            </w:hyperlink>
          </w:p>
        </w:tc>
        <w:tc>
          <w:tcPr>
            <w:tcW w:w="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5"/>
                <w:szCs w:val="15"/>
                <w:color w:val="auto"/>
              </w:rPr>
            </w:pPr>
          </w:p>
        </w:tc>
        <w:tc>
          <w:tcPr>
            <w:tcW w:w="524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9"/>
              </w:rPr>
            </w:pPr>
            <w:hyperlink r:id="rId228">
              <w:r>
                <w:rPr>
                  <w:rFonts w:ascii="Arial" w:cs="Arial" w:eastAsia="Arial" w:hAnsi="Arial"/>
                  <w:sz w:val="18"/>
                  <w:szCs w:val="18"/>
                  <w:color w:val="0000FF"/>
                  <w:w w:val="99"/>
                </w:rPr>
                <w:t>2020, by and among the Registrant and certain of its stockholders</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80" w:type="dxa"/>
            <w:vAlign w:val="bottom"/>
            <w:tcBorders>
              <w:bottom w:val="single" w:sz="8" w:color="0000FF"/>
            </w:tcBorders>
            <w:gridSpan w:val="13"/>
          </w:tcPr>
          <w:p>
            <w:pPr>
              <w:spacing w:after="0" w:line="182" w:lineRule="exact"/>
              <w:rPr>
                <w:sz w:val="20"/>
                <w:szCs w:val="20"/>
                <w:color w:val="auto"/>
              </w:rPr>
            </w:pPr>
            <w:r>
              <w:rPr>
                <w:rFonts w:ascii="Arial" w:cs="Arial" w:eastAsia="Arial" w:hAnsi="Arial"/>
                <w:sz w:val="18"/>
                <w:szCs w:val="18"/>
                <w:color w:val="0000FF"/>
              </w:rPr>
              <w:t>Certification of Chief Executive Officer of Erasca, Inc., as required</w:t>
            </w: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20" w:type="dxa"/>
            <w:vAlign w:val="bottom"/>
            <w:gridSpan w:val="15"/>
          </w:tcPr>
          <w:p>
            <w:pPr>
              <w:spacing w:after="0" w:line="182" w:lineRule="exact"/>
              <w:rPr>
                <w:sz w:val="20"/>
                <w:szCs w:val="20"/>
                <w:color w:val="auto"/>
              </w:rPr>
            </w:pPr>
            <w:r>
              <w:rPr>
                <w:rFonts w:ascii="Arial" w:cs="Arial" w:eastAsia="Arial" w:hAnsi="Arial"/>
                <w:sz w:val="18"/>
                <w:szCs w:val="18"/>
                <w:color w:val="0000FF"/>
              </w:rPr>
              <w:t>by Rule 13a-14(a) or Rule 15d-14(a), as adopted pursuant to</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5"/>
                <w:szCs w:val="15"/>
                <w:color w:val="auto"/>
              </w:rPr>
            </w:pPr>
          </w:p>
        </w:tc>
        <w:tc>
          <w:tcPr>
            <w:tcW w:w="490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Section 302 of the Sarbanes-Oxley Act of 2002</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74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7"/>
              </w:rPr>
              <w:t>Certification of Chief Financial Officer of Erasca,</w:t>
            </w:r>
          </w:p>
        </w:tc>
        <w:tc>
          <w:tcPr>
            <w:tcW w:w="20" w:type="dxa"/>
            <w:vAlign w:val="bottom"/>
            <w:tcBorders>
              <w:top w:val="single" w:sz="8" w:color="0000EE"/>
            </w:tcBorders>
          </w:tcPr>
          <w:p>
            <w:pPr>
              <w:spacing w:after="0"/>
              <w:rPr>
                <w:sz w:val="15"/>
                <w:szCs w:val="15"/>
                <w:color w:val="auto"/>
              </w:rPr>
            </w:pPr>
          </w:p>
        </w:tc>
        <w:tc>
          <w:tcPr>
            <w:tcW w:w="1580" w:type="dxa"/>
            <w:vAlign w:val="bottom"/>
            <w:gridSpan w:val="10"/>
          </w:tcPr>
          <w:p>
            <w:pPr>
              <w:jc w:val="center"/>
              <w:ind w:right="60"/>
              <w:spacing w:after="0" w:line="182" w:lineRule="exact"/>
              <w:rPr>
                <w:sz w:val="20"/>
                <w:szCs w:val="20"/>
                <w:color w:val="auto"/>
              </w:rPr>
            </w:pPr>
            <w:r>
              <w:rPr>
                <w:rFonts w:ascii="Arial" w:cs="Arial" w:eastAsia="Arial" w:hAnsi="Arial"/>
                <w:sz w:val="18"/>
                <w:szCs w:val="18"/>
                <w:color w:val="0000FF"/>
                <w:w w:val="99"/>
              </w:rPr>
              <w:t>Inc., as required</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2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by Rule 13a-14(a) or Rule 15d-14(a), as adopted pursuant to</w:t>
            </w: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32.1*</w:t>
            </w:r>
          </w:p>
        </w:tc>
        <w:tc>
          <w:tcPr>
            <w:tcW w:w="120" w:type="dxa"/>
            <w:vAlign w:val="bottom"/>
          </w:tcPr>
          <w:p>
            <w:pPr>
              <w:spacing w:after="0"/>
              <w:rPr>
                <w:sz w:val="15"/>
                <w:szCs w:val="15"/>
                <w:color w:val="auto"/>
              </w:rPr>
            </w:pPr>
          </w:p>
        </w:tc>
        <w:tc>
          <w:tcPr>
            <w:tcW w:w="490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Section 302 of the Sarbanes-Oxley Act of 2002</w:t>
            </w:r>
          </w:p>
        </w:tc>
        <w:tc>
          <w:tcPr>
            <w:tcW w:w="26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74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8"/>
              </w:rPr>
              <w:t>Certification of Chief Executive Officer pursuant</w:t>
            </w:r>
          </w:p>
        </w:tc>
        <w:tc>
          <w:tcPr>
            <w:tcW w:w="20" w:type="dxa"/>
            <w:vAlign w:val="bottom"/>
            <w:tcBorders>
              <w:top w:val="single" w:sz="8" w:color="0000EE"/>
            </w:tcBorders>
          </w:tcPr>
          <w:p>
            <w:pPr>
              <w:spacing w:after="0"/>
              <w:rPr>
                <w:sz w:val="15"/>
                <w:szCs w:val="15"/>
                <w:color w:val="auto"/>
              </w:rPr>
            </w:pPr>
          </w:p>
        </w:tc>
        <w:tc>
          <w:tcPr>
            <w:tcW w:w="1580" w:type="dxa"/>
            <w:vAlign w:val="bottom"/>
            <w:gridSpan w:val="10"/>
          </w:tcPr>
          <w:p>
            <w:pPr>
              <w:jc w:val="center"/>
              <w:ind w:right="100"/>
              <w:spacing w:after="0" w:line="182" w:lineRule="exact"/>
              <w:rPr>
                <w:sz w:val="20"/>
                <w:szCs w:val="20"/>
                <w:color w:val="auto"/>
              </w:rPr>
            </w:pPr>
            <w:r>
              <w:rPr>
                <w:rFonts w:ascii="Arial" w:cs="Arial" w:eastAsia="Arial" w:hAnsi="Arial"/>
                <w:sz w:val="18"/>
                <w:szCs w:val="18"/>
                <w:color w:val="0000FF"/>
              </w:rPr>
              <w:t>to Section 906 of</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32.2*</w:t>
            </w:r>
          </w:p>
        </w:tc>
        <w:tc>
          <w:tcPr>
            <w:tcW w:w="120" w:type="dxa"/>
            <w:vAlign w:val="bottom"/>
          </w:tcPr>
          <w:p>
            <w:pPr>
              <w:spacing w:after="0"/>
              <w:rPr>
                <w:sz w:val="15"/>
                <w:szCs w:val="15"/>
                <w:color w:val="auto"/>
              </w:rPr>
            </w:pPr>
          </w:p>
        </w:tc>
        <w:tc>
          <w:tcPr>
            <w:tcW w:w="5260" w:type="dxa"/>
            <w:vAlign w:val="bottom"/>
            <w:tcBorders>
              <w:top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the Sarbanes-Oxley Act of 2002</w:t>
            </w:r>
          </w:p>
        </w:tc>
        <w:tc>
          <w:tcPr>
            <w:tcW w:w="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Borders>
              <w:top w:val="single" w:sz="8" w:color="0000FF"/>
            </w:tcBorders>
            <w:gridSpan w:val="3"/>
          </w:tcPr>
          <w:p>
            <w:pPr>
              <w:spacing w:after="0" w:line="182" w:lineRule="exact"/>
              <w:rPr>
                <w:sz w:val="20"/>
                <w:szCs w:val="20"/>
                <w:color w:val="auto"/>
              </w:rPr>
            </w:pPr>
            <w:r>
              <w:rPr>
                <w:rFonts w:ascii="Arial" w:cs="Arial" w:eastAsia="Arial" w:hAnsi="Arial"/>
                <w:sz w:val="18"/>
                <w:szCs w:val="18"/>
                <w:color w:val="0000FF"/>
              </w:rPr>
              <w:t>Certification of Chief Financial</w:t>
            </w:r>
          </w:p>
        </w:tc>
        <w:tc>
          <w:tcPr>
            <w:tcW w:w="2800" w:type="dxa"/>
            <w:vAlign w:val="bottom"/>
            <w:gridSpan w:val="13"/>
          </w:tcPr>
          <w:p>
            <w:pPr>
              <w:spacing w:after="0" w:line="182" w:lineRule="exact"/>
              <w:rPr>
                <w:sz w:val="20"/>
                <w:szCs w:val="20"/>
                <w:color w:val="auto"/>
              </w:rPr>
            </w:pPr>
            <w:r>
              <w:rPr>
                <w:rFonts w:ascii="Arial" w:cs="Arial" w:eastAsia="Arial" w:hAnsi="Arial"/>
                <w:sz w:val="18"/>
                <w:szCs w:val="18"/>
                <w:color w:val="0000FF"/>
              </w:rPr>
              <w:t>Officer pursuant to Section 906 of</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8"/>
              </w:rPr>
              <w:t>101.INS</w:t>
            </w:r>
          </w:p>
        </w:tc>
        <w:tc>
          <w:tcPr>
            <w:tcW w:w="120" w:type="dxa"/>
            <w:vAlign w:val="bottom"/>
          </w:tcPr>
          <w:p>
            <w:pPr>
              <w:spacing w:after="0"/>
              <w:rPr>
                <w:sz w:val="15"/>
                <w:szCs w:val="15"/>
                <w:color w:val="auto"/>
              </w:rPr>
            </w:pPr>
          </w:p>
        </w:tc>
        <w:tc>
          <w:tcPr>
            <w:tcW w:w="516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the Sarbanes-Oxley Act of 2002</w:t>
            </w:r>
          </w:p>
        </w:tc>
        <w:tc>
          <w:tcPr>
            <w:tcW w:w="180" w:type="dxa"/>
            <w:vAlign w:val="bottom"/>
            <w:gridSpan w:val="7"/>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1"/>
        </w:trPr>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Borders>
              <w:top w:val="single" w:sz="8" w:color="0000FF"/>
            </w:tcBorders>
            <w:gridSpan w:val="3"/>
          </w:tcPr>
          <w:p>
            <w:pPr>
              <w:spacing w:after="0" w:line="191" w:lineRule="exact"/>
              <w:rPr>
                <w:sz w:val="20"/>
                <w:szCs w:val="20"/>
                <w:color w:val="auto"/>
              </w:rPr>
            </w:pPr>
            <w:r>
              <w:rPr>
                <w:rFonts w:ascii="Arial" w:cs="Arial" w:eastAsia="Arial" w:hAnsi="Arial"/>
                <w:sz w:val="18"/>
                <w:szCs w:val="18"/>
                <w:color w:val="auto"/>
                <w:w w:val="98"/>
              </w:rPr>
              <w:t>Inline XBRL Instance Document</w:t>
            </w:r>
          </w:p>
        </w:tc>
        <w:tc>
          <w:tcPr>
            <w:tcW w:w="2800" w:type="dxa"/>
            <w:vAlign w:val="bottom"/>
            <w:gridSpan w:val="13"/>
          </w:tcPr>
          <w:p>
            <w:pPr>
              <w:ind w:left="60"/>
              <w:spacing w:after="0" w:line="191" w:lineRule="exact"/>
              <w:rPr>
                <w:sz w:val="20"/>
                <w:szCs w:val="20"/>
                <w:color w:val="auto"/>
              </w:rPr>
            </w:pPr>
            <w:r>
              <w:rPr>
                <w:rFonts w:ascii="Arial" w:cs="Arial" w:eastAsia="Arial" w:hAnsi="Arial"/>
                <w:sz w:val="18"/>
                <w:szCs w:val="18"/>
                <w:color w:val="auto"/>
              </w:rPr>
              <w:t>– the instance document does</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40" w:type="dxa"/>
            <w:vAlign w:val="bottom"/>
            <w:gridSpan w:val="16"/>
          </w:tcPr>
          <w:p>
            <w:pPr>
              <w:spacing w:after="0" w:line="202" w:lineRule="exact"/>
              <w:rPr>
                <w:sz w:val="20"/>
                <w:szCs w:val="20"/>
                <w:color w:val="auto"/>
              </w:rPr>
            </w:pPr>
            <w:r>
              <w:rPr>
                <w:rFonts w:ascii="Arial" w:cs="Arial" w:eastAsia="Arial" w:hAnsi="Arial"/>
                <w:sz w:val="18"/>
                <w:szCs w:val="18"/>
                <w:color w:val="auto"/>
              </w:rPr>
              <w:t>not appear in the Interactive Data File because XBRL tags are</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40" w:type="dxa"/>
            <w:vAlign w:val="bottom"/>
            <w:gridSpan w:val="16"/>
          </w:tcPr>
          <w:p>
            <w:pPr>
              <w:spacing w:after="0" w:line="202" w:lineRule="exact"/>
              <w:rPr>
                <w:sz w:val="20"/>
                <w:szCs w:val="20"/>
                <w:color w:val="auto"/>
              </w:rPr>
            </w:pPr>
            <w:r>
              <w:rPr>
                <w:rFonts w:ascii="Arial" w:cs="Arial" w:eastAsia="Arial" w:hAnsi="Arial"/>
                <w:sz w:val="18"/>
                <w:szCs w:val="18"/>
                <w:color w:val="auto"/>
              </w:rPr>
              <w:t>embedded within the Inline XBRL document.</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8"/>
              </w:rPr>
              <w:t>101.SCH</w:t>
            </w:r>
          </w:p>
        </w:tc>
        <w:tc>
          <w:tcPr>
            <w:tcW w:w="120" w:type="dxa"/>
            <w:vAlign w:val="bottom"/>
          </w:tcPr>
          <w:p>
            <w:pPr>
              <w:spacing w:after="0"/>
              <w:rPr>
                <w:sz w:val="17"/>
                <w:szCs w:val="17"/>
                <w:color w:val="auto"/>
              </w:rPr>
            </w:pPr>
          </w:p>
        </w:tc>
        <w:tc>
          <w:tcPr>
            <w:tcW w:w="5340" w:type="dxa"/>
            <w:vAlign w:val="bottom"/>
            <w:gridSpan w:val="16"/>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3"/>
        </w:trPr>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9"/>
              </w:rPr>
              <w:t>104</w:t>
            </w:r>
          </w:p>
        </w:tc>
        <w:tc>
          <w:tcPr>
            <w:tcW w:w="120" w:type="dxa"/>
            <w:vAlign w:val="bottom"/>
          </w:tcPr>
          <w:p>
            <w:pPr>
              <w:spacing w:after="0"/>
              <w:rPr>
                <w:sz w:val="17"/>
                <w:szCs w:val="17"/>
                <w:color w:val="auto"/>
              </w:rPr>
            </w:pPr>
          </w:p>
        </w:tc>
        <w:tc>
          <w:tcPr>
            <w:tcW w:w="5340" w:type="dxa"/>
            <w:vAlign w:val="bottom"/>
            <w:gridSpan w:val="16"/>
          </w:tcPr>
          <w:p>
            <w:pPr>
              <w:spacing w:after="0" w:line="202" w:lineRule="exact"/>
              <w:rPr>
                <w:sz w:val="20"/>
                <w:szCs w:val="20"/>
                <w:color w:val="auto"/>
              </w:rPr>
            </w:pPr>
            <w:r>
              <w:rPr>
                <w:rFonts w:ascii="Arial" w:cs="Arial" w:eastAsia="Arial" w:hAnsi="Arial"/>
                <w:sz w:val="18"/>
                <w:szCs w:val="18"/>
                <w:color w:val="auto"/>
              </w:rPr>
              <w:t>Cover Page Interactive Data File (embedded within the Inline</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9"/>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gridSpan w:val="16"/>
          </w:tcPr>
          <w:p>
            <w:pPr>
              <w:spacing w:after="0"/>
              <w:rPr>
                <w:sz w:val="20"/>
                <w:szCs w:val="20"/>
                <w:color w:val="auto"/>
              </w:rPr>
            </w:pPr>
            <w:r>
              <w:rPr>
                <w:rFonts w:ascii="Arial" w:cs="Arial" w:eastAsia="Arial" w:hAnsi="Arial"/>
                <w:sz w:val="18"/>
                <w:szCs w:val="18"/>
                <w:color w:val="auto"/>
              </w:rPr>
              <w:t>XBRL document)</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95123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20" w:right="20" w:hanging="512"/>
        <w:spacing w:after="0" w:line="271" w:lineRule="auto"/>
        <w:tabs>
          <w:tab w:leader="none" w:pos="4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41" w:name="page42"/>
    <w:bookmarkEnd w:id="41"/>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840"/>
          </w:cols>
          <w:pgMar w:left="320" w:top="971" w:right="7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2025</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Erasca, Inc.</w:t>
      </w:r>
    </w:p>
    <w:p>
      <w:pPr>
        <w:spacing w:after="0" w:line="198"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E. Lim,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8890</wp:posOffset>
            </wp:positionV>
            <wp:extent cx="330898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Jonathan E. Lim, M.D.</w:t>
      </w:r>
    </w:p>
    <w:p>
      <w:pPr>
        <w:jc w:val="center"/>
        <w:ind w:right="-719"/>
        <w:spacing w:after="0"/>
        <w:rPr>
          <w:sz w:val="20"/>
          <w:szCs w:val="20"/>
          <w:color w:val="auto"/>
        </w:rPr>
      </w:pPr>
      <w:r>
        <w:rPr>
          <w:rFonts w:ascii="Arial" w:cs="Arial" w:eastAsia="Arial" w:hAnsi="Arial"/>
          <w:sz w:val="17"/>
          <w:szCs w:val="17"/>
          <w:color w:val="auto"/>
        </w:rPr>
        <w:t>Chairman, Chief Executive Officer and Co-Founder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(Principal Executive Officer)</w:t>
      </w:r>
    </w:p>
    <w:p>
      <w:pPr>
        <w:spacing w:after="0" w:line="187"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M. Chacko,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8890</wp:posOffset>
            </wp:positionV>
            <wp:extent cx="330898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David M. Chacko, M.D.</w:t>
      </w:r>
    </w:p>
    <w:p>
      <w:pPr>
        <w:jc w:val="center"/>
        <w:ind w:right="-719"/>
        <w:spacing w:after="0"/>
        <w:rPr>
          <w:sz w:val="20"/>
          <w:szCs w:val="20"/>
          <w:color w:val="auto"/>
        </w:rPr>
      </w:pPr>
      <w:r>
        <w:rPr>
          <w:rFonts w:ascii="Arial" w:cs="Arial" w:eastAsia="Arial" w:hAnsi="Arial"/>
          <w:sz w:val="18"/>
          <w:szCs w:val="18"/>
          <w:color w:val="auto"/>
        </w:rPr>
        <w:t>Chief Financial Officer and Chief Business Officer</w:t>
      </w:r>
    </w:p>
    <w:p>
      <w:pPr>
        <w:spacing w:after="0" w:line="12"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ectPr>
          <w:pgSz w:w="11900" w:h="16838" w:orient="portrait"/>
          <w:cols w:equalWidth="0" w:num="2">
            <w:col w:w="4980" w:space="720"/>
            <w:col w:w="5140"/>
          </w:cols>
          <w:pgMar w:left="320" w:top="971"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71" w:right="739" w:bottom="1440" w:gutter="0" w:footer="0" w:header="0"/>
          <w:type w:val="continuous"/>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 Jonathan E. Lim, M.D., certify that:</w:t>
      </w:r>
    </w:p>
    <w:p>
      <w:pPr>
        <w:spacing w:after="0" w:line="59"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Erasca, Inc.;</w:t>
      </w:r>
    </w:p>
    <w:p>
      <w:pPr>
        <w:spacing w:after="0" w:line="59" w:lineRule="exact"/>
        <w:rPr>
          <w:rFonts w:ascii="Arial" w:cs="Arial" w:eastAsia="Arial" w:hAnsi="Arial"/>
          <w:sz w:val="16"/>
          <w:szCs w:val="16"/>
          <w:color w:val="auto"/>
        </w:rPr>
      </w:pPr>
    </w:p>
    <w:p>
      <w:pPr>
        <w:jc w:val="both"/>
        <w:ind w:left="380" w:right="380" w:hanging="372"/>
        <w:spacing w:after="0" w:line="266" w:lineRule="auto"/>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Arial" w:cs="Arial" w:eastAsia="Arial" w:hAnsi="Arial"/>
          <w:sz w:val="16"/>
          <w:szCs w:val="16"/>
          <w:color w:val="auto"/>
        </w:rPr>
      </w:pPr>
    </w:p>
    <w:p>
      <w:pPr>
        <w:ind w:left="380" w:right="520" w:hanging="372"/>
        <w:spacing w:after="0" w:line="281" w:lineRule="auto"/>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380" w:right="140" w:hanging="372"/>
        <w:spacing w:after="0" w:line="266" w:lineRule="auto"/>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Arial" w:cs="Arial" w:eastAsia="Arial" w:hAnsi="Arial"/>
          <w:sz w:val="16"/>
          <w:szCs w:val="16"/>
          <w:color w:val="auto"/>
        </w:rPr>
      </w:pPr>
    </w:p>
    <w:p>
      <w:pPr>
        <w:jc w:val="both"/>
        <w:ind w:left="940" w:right="120" w:hanging="370"/>
        <w:spacing w:after="0" w:line="266" w:lineRule="auto"/>
        <w:tabs>
          <w:tab w:leader="none" w:pos="9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 w:lineRule="exact"/>
        <w:rPr>
          <w:rFonts w:ascii="Arial" w:cs="Arial" w:eastAsia="Arial" w:hAnsi="Arial"/>
          <w:sz w:val="16"/>
          <w:szCs w:val="16"/>
          <w:color w:val="auto"/>
        </w:rPr>
      </w:pPr>
    </w:p>
    <w:p>
      <w:pPr>
        <w:ind w:left="940" w:right="520" w:hanging="370"/>
        <w:spacing w:after="0" w:line="266" w:lineRule="auto"/>
        <w:tabs>
          <w:tab w:leader="none" w:pos="9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 w:lineRule="exact"/>
        <w:rPr>
          <w:rFonts w:ascii="Arial" w:cs="Arial" w:eastAsia="Arial" w:hAnsi="Arial"/>
          <w:sz w:val="16"/>
          <w:szCs w:val="16"/>
          <w:color w:val="auto"/>
        </w:rPr>
      </w:pPr>
    </w:p>
    <w:p>
      <w:pPr>
        <w:jc w:val="both"/>
        <w:ind w:left="940" w:right="520" w:hanging="370"/>
        <w:spacing w:after="0" w:line="281" w:lineRule="auto"/>
        <w:tabs>
          <w:tab w:leader="none" w:pos="9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40" w:right="220" w:hanging="370"/>
        <w:spacing w:after="0" w:line="266" w:lineRule="auto"/>
        <w:tabs>
          <w:tab w:leader="none" w:pos="9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 w:lineRule="exact"/>
        <w:rPr>
          <w:rFonts w:ascii="Arial" w:cs="Arial" w:eastAsia="Arial" w:hAnsi="Arial"/>
          <w:sz w:val="16"/>
          <w:szCs w:val="16"/>
          <w:color w:val="auto"/>
        </w:rPr>
      </w:pPr>
    </w:p>
    <w:p>
      <w:pPr>
        <w:ind w:left="380" w:right="260" w:hanging="372"/>
        <w:spacing w:after="0" w:line="281" w:lineRule="auto"/>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60" w:right="160" w:hanging="383"/>
        <w:spacing w:after="0" w:line="281" w:lineRule="auto"/>
        <w:tabs>
          <w:tab w:leader="none" w:pos="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960" w:right="100" w:hanging="383"/>
        <w:spacing w:after="0" w:line="286" w:lineRule="auto"/>
        <w:tabs>
          <w:tab w:leader="none" w:pos="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ind w:left="60"/>
        <w:spacing w:after="0"/>
        <w:tabs>
          <w:tab w:leader="none" w:pos="5580" w:val="left"/>
          <w:tab w:leader="none" w:pos="7700" w:val="left"/>
        </w:tabs>
        <w:rPr>
          <w:sz w:val="20"/>
          <w:szCs w:val="20"/>
          <w:color w:val="auto"/>
        </w:rPr>
      </w:pPr>
      <w:r>
        <w:rPr>
          <w:rFonts w:ascii="Arial" w:cs="Arial" w:eastAsia="Arial" w:hAnsi="Arial"/>
          <w:sz w:val="16"/>
          <w:szCs w:val="16"/>
          <w:color w:val="auto"/>
        </w:rPr>
        <w:t>Date: August 12,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Jonathan E. Lim,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29210</wp:posOffset>
            </wp:positionV>
            <wp:extent cx="33089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80" w:lineRule="exact"/>
        <w:rPr>
          <w:sz w:val="20"/>
          <w:szCs w:val="20"/>
          <w:color w:val="auto"/>
        </w:rPr>
      </w:pPr>
    </w:p>
    <w:p>
      <w:pPr>
        <w:ind w:left="7840"/>
        <w:spacing w:after="0"/>
        <w:rPr>
          <w:sz w:val="20"/>
          <w:szCs w:val="20"/>
          <w:color w:val="auto"/>
        </w:rPr>
      </w:pPr>
      <w:r>
        <w:rPr>
          <w:rFonts w:ascii="Arial" w:cs="Arial" w:eastAsia="Arial" w:hAnsi="Arial"/>
          <w:sz w:val="16"/>
          <w:szCs w:val="16"/>
          <w:color w:val="auto"/>
        </w:rPr>
        <w:t>Jonathan E. Lim, M.D.</w:t>
      </w:r>
    </w:p>
    <w:p>
      <w:pPr>
        <w:spacing w:after="0" w:line="86"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Chairman, Chief Executive Officer and Co-Founder</w:t>
      </w:r>
    </w:p>
    <w:p>
      <w:pPr>
        <w:spacing w:after="0" w:line="32" w:lineRule="exact"/>
        <w:rPr>
          <w:sz w:val="20"/>
          <w:szCs w:val="20"/>
          <w:color w:val="auto"/>
        </w:rPr>
      </w:pPr>
    </w:p>
    <w:p>
      <w:pPr>
        <w:ind w:left="764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1045210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 David M. Chacko, M.D., certify that:</w:t>
      </w:r>
    </w:p>
    <w:p>
      <w:pPr>
        <w:spacing w:after="0" w:line="59"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Erasca, Inc.;</w:t>
      </w:r>
    </w:p>
    <w:p>
      <w:pPr>
        <w:spacing w:after="0" w:line="59" w:lineRule="exact"/>
        <w:rPr>
          <w:rFonts w:ascii="Arial" w:cs="Arial" w:eastAsia="Arial" w:hAnsi="Arial"/>
          <w:sz w:val="16"/>
          <w:szCs w:val="16"/>
          <w:color w:val="auto"/>
        </w:rPr>
      </w:pPr>
    </w:p>
    <w:p>
      <w:pPr>
        <w:jc w:val="both"/>
        <w:ind w:left="380" w:right="380" w:hanging="372"/>
        <w:spacing w:after="0" w:line="266"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Arial" w:cs="Arial" w:eastAsia="Arial" w:hAnsi="Arial"/>
          <w:sz w:val="16"/>
          <w:szCs w:val="16"/>
          <w:color w:val="auto"/>
        </w:rPr>
      </w:pPr>
    </w:p>
    <w:p>
      <w:pPr>
        <w:ind w:left="380" w:right="520" w:hanging="372"/>
        <w:spacing w:after="0" w:line="281"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380" w:right="140" w:hanging="372"/>
        <w:spacing w:after="0" w:line="266"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Arial" w:cs="Arial" w:eastAsia="Arial" w:hAnsi="Arial"/>
          <w:sz w:val="16"/>
          <w:szCs w:val="16"/>
          <w:color w:val="auto"/>
        </w:rPr>
      </w:pPr>
    </w:p>
    <w:p>
      <w:pPr>
        <w:jc w:val="both"/>
        <w:ind w:left="960" w:right="120" w:hanging="383"/>
        <w:spacing w:after="0" w:line="266" w:lineRule="auto"/>
        <w:tabs>
          <w:tab w:leader="none" w:pos="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 w:lineRule="exact"/>
        <w:rPr>
          <w:rFonts w:ascii="Arial" w:cs="Arial" w:eastAsia="Arial" w:hAnsi="Arial"/>
          <w:sz w:val="16"/>
          <w:szCs w:val="16"/>
          <w:color w:val="auto"/>
        </w:rPr>
      </w:pPr>
    </w:p>
    <w:p>
      <w:pPr>
        <w:ind w:left="940" w:right="520" w:hanging="370"/>
        <w:spacing w:after="0" w:line="266" w:lineRule="auto"/>
        <w:tabs>
          <w:tab w:leader="none" w:pos="9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 w:lineRule="exact"/>
        <w:rPr>
          <w:rFonts w:ascii="Arial" w:cs="Arial" w:eastAsia="Arial" w:hAnsi="Arial"/>
          <w:sz w:val="16"/>
          <w:szCs w:val="16"/>
          <w:color w:val="auto"/>
        </w:rPr>
      </w:pPr>
    </w:p>
    <w:p>
      <w:pPr>
        <w:jc w:val="both"/>
        <w:ind w:left="960" w:right="520" w:hanging="383"/>
        <w:spacing w:after="0" w:line="281" w:lineRule="auto"/>
        <w:tabs>
          <w:tab w:leader="none" w:pos="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60" w:right="220" w:hanging="383"/>
        <w:spacing w:after="0" w:line="266" w:lineRule="auto"/>
        <w:tabs>
          <w:tab w:leader="none" w:pos="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 w:lineRule="exact"/>
        <w:rPr>
          <w:rFonts w:ascii="Arial" w:cs="Arial" w:eastAsia="Arial" w:hAnsi="Arial"/>
          <w:sz w:val="16"/>
          <w:szCs w:val="16"/>
          <w:color w:val="auto"/>
        </w:rPr>
      </w:pPr>
    </w:p>
    <w:p>
      <w:pPr>
        <w:ind w:left="380" w:right="260" w:hanging="372"/>
        <w:spacing w:after="0" w:line="281"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60" w:right="160" w:hanging="383"/>
        <w:spacing w:after="0" w:line="281" w:lineRule="auto"/>
        <w:tabs>
          <w:tab w:leader="none" w:pos="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960" w:right="100" w:hanging="383"/>
        <w:spacing w:after="0" w:line="286" w:lineRule="auto"/>
        <w:tabs>
          <w:tab w:leader="none" w:pos="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ind w:left="60"/>
        <w:spacing w:after="0"/>
        <w:tabs>
          <w:tab w:leader="none" w:pos="5580" w:val="left"/>
          <w:tab w:leader="none" w:pos="7680" w:val="left"/>
        </w:tabs>
        <w:rPr>
          <w:sz w:val="20"/>
          <w:szCs w:val="20"/>
          <w:color w:val="auto"/>
        </w:rPr>
      </w:pPr>
      <w:r>
        <w:rPr>
          <w:rFonts w:ascii="Arial" w:cs="Arial" w:eastAsia="Arial" w:hAnsi="Arial"/>
          <w:sz w:val="16"/>
          <w:szCs w:val="16"/>
          <w:color w:val="auto"/>
        </w:rPr>
        <w:t>Date: August 12,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David M. Chacko,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29210</wp:posOffset>
            </wp:positionV>
            <wp:extent cx="330898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80" w:lineRule="exact"/>
        <w:rPr>
          <w:sz w:val="20"/>
          <w:szCs w:val="20"/>
          <w:color w:val="auto"/>
        </w:rPr>
      </w:pPr>
    </w:p>
    <w:p>
      <w:pPr>
        <w:ind w:left="7800"/>
        <w:spacing w:after="0"/>
        <w:rPr>
          <w:sz w:val="20"/>
          <w:szCs w:val="20"/>
          <w:color w:val="auto"/>
        </w:rPr>
      </w:pPr>
      <w:r>
        <w:rPr>
          <w:rFonts w:ascii="Arial" w:cs="Arial" w:eastAsia="Arial" w:hAnsi="Arial"/>
          <w:sz w:val="16"/>
          <w:szCs w:val="16"/>
          <w:color w:val="auto"/>
        </w:rPr>
        <w:t>David M. Chacko, M.D.</w:t>
      </w:r>
    </w:p>
    <w:p>
      <w:pPr>
        <w:spacing w:after="0" w:line="11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Chief Financial Officer and Chief Business Officer</w:t>
      </w:r>
    </w:p>
    <w:p>
      <w:pPr>
        <w:spacing w:after="0" w:line="21"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18 U.S.C. SECTION 1350, AS ADOPTED PURSUANT TO</w:t>
      </w:r>
    </w:p>
    <w:p>
      <w:pPr>
        <w:ind w:left="336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4" w:lineRule="exact"/>
        <w:rPr>
          <w:sz w:val="20"/>
          <w:szCs w:val="20"/>
          <w:color w:val="auto"/>
        </w:rPr>
      </w:pPr>
    </w:p>
    <w:p>
      <w:pPr>
        <w:ind w:right="100" w:firstLine="562"/>
        <w:spacing w:after="0" w:line="249" w:lineRule="auto"/>
        <w:rPr>
          <w:sz w:val="20"/>
          <w:szCs w:val="20"/>
          <w:color w:val="auto"/>
        </w:rPr>
      </w:pPr>
      <w:r>
        <w:rPr>
          <w:rFonts w:ascii="Arial" w:cs="Arial" w:eastAsia="Arial" w:hAnsi="Arial"/>
          <w:sz w:val="17"/>
          <w:szCs w:val="17"/>
          <w:color w:val="auto"/>
        </w:rPr>
        <w:t>In connection with the Quarterly Report on Form 10-Q of Erasca, Inc. (the “Company”) for the period ended June 30, 2025 as filed with the Securities and Exchange Commission on the date hereof (the “Report”), I certify, pursuant to 18 U.S.C. § 1350, as adopted pursuant to § 906 of the Sarbanes-Oxley Act of 2002, that, to the best of my knowledge:</w:t>
      </w:r>
    </w:p>
    <w:p>
      <w:pPr>
        <w:spacing w:after="0" w:line="175" w:lineRule="exact"/>
        <w:rPr>
          <w:sz w:val="20"/>
          <w:szCs w:val="20"/>
          <w:color w:val="auto"/>
        </w:rPr>
      </w:pPr>
    </w:p>
    <w:p>
      <w:pPr>
        <w:ind w:left="940" w:hanging="370"/>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09" w:lineRule="exact"/>
        <w:rPr>
          <w:rFonts w:ascii="Arial" w:cs="Arial" w:eastAsia="Arial" w:hAnsi="Arial"/>
          <w:sz w:val="17"/>
          <w:szCs w:val="17"/>
          <w:color w:val="auto"/>
        </w:rPr>
      </w:pPr>
    </w:p>
    <w:p>
      <w:pPr>
        <w:ind w:left="940" w:right="260" w:hanging="370"/>
        <w:spacing w:after="0" w:line="267" w:lineRule="auto"/>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6" w:lineRule="exact"/>
        <w:rPr>
          <w:sz w:val="20"/>
          <w:szCs w:val="20"/>
          <w:color w:val="auto"/>
        </w:rPr>
      </w:pPr>
    </w:p>
    <w:p>
      <w:pPr>
        <w:ind w:left="60"/>
        <w:spacing w:after="0"/>
        <w:tabs>
          <w:tab w:leader="none" w:pos="5200" w:val="left"/>
          <w:tab w:leader="none" w:pos="7520" w:val="left"/>
        </w:tabs>
        <w:rPr>
          <w:sz w:val="20"/>
          <w:szCs w:val="20"/>
          <w:color w:val="auto"/>
        </w:rPr>
      </w:pPr>
      <w:r>
        <w:rPr>
          <w:rFonts w:ascii="Arial" w:cs="Arial" w:eastAsia="Arial" w:hAnsi="Arial"/>
          <w:sz w:val="17"/>
          <w:szCs w:val="17"/>
          <w:color w:val="auto"/>
        </w:rPr>
        <w:t>Date: August 12, 2025</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Jonathan E. Lim,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27305</wp:posOffset>
            </wp:positionV>
            <wp:extent cx="34886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68" w:lineRule="exact"/>
        <w:rPr>
          <w:sz w:val="20"/>
          <w:szCs w:val="20"/>
          <w:color w:val="auto"/>
        </w:rPr>
      </w:pPr>
    </w:p>
    <w:p>
      <w:pPr>
        <w:jc w:val="center"/>
        <w:ind w:left="5720"/>
        <w:spacing w:after="0"/>
        <w:rPr>
          <w:sz w:val="20"/>
          <w:szCs w:val="20"/>
          <w:color w:val="auto"/>
        </w:rPr>
      </w:pPr>
      <w:r>
        <w:rPr>
          <w:rFonts w:ascii="Arial" w:cs="Arial" w:eastAsia="Arial" w:hAnsi="Arial"/>
          <w:sz w:val="17"/>
          <w:szCs w:val="17"/>
          <w:color w:val="auto"/>
        </w:rPr>
        <w:t>Jonathan E. Lim, M.D.</w:t>
      </w:r>
    </w:p>
    <w:p>
      <w:pPr>
        <w:spacing w:after="0" w:line="183" w:lineRule="exact"/>
        <w:rPr>
          <w:sz w:val="20"/>
          <w:szCs w:val="20"/>
          <w:color w:val="auto"/>
        </w:rPr>
      </w:pPr>
    </w:p>
    <w:p>
      <w:pPr>
        <w:jc w:val="center"/>
        <w:ind w:left="5720"/>
        <w:spacing w:after="0"/>
        <w:rPr>
          <w:sz w:val="20"/>
          <w:szCs w:val="20"/>
          <w:color w:val="auto"/>
        </w:rPr>
      </w:pPr>
      <w:r>
        <w:rPr>
          <w:rFonts w:ascii="Arial" w:cs="Arial" w:eastAsia="Arial" w:hAnsi="Arial"/>
          <w:sz w:val="17"/>
          <w:szCs w:val="17"/>
          <w:color w:val="auto"/>
        </w:rPr>
        <w:t>Chairman, Chief Executive Officer and Co-Founder</w:t>
      </w:r>
    </w:p>
    <w:p>
      <w:pPr>
        <w:spacing w:after="0" w:line="29" w:lineRule="exact"/>
        <w:rPr>
          <w:sz w:val="20"/>
          <w:szCs w:val="20"/>
          <w:color w:val="auto"/>
        </w:rPr>
      </w:pPr>
    </w:p>
    <w:p>
      <w:pPr>
        <w:ind w:left="750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1045210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18 U.S.C. SECTION 1350, AS ADOPTED PURSUANT TO</w:t>
      </w:r>
    </w:p>
    <w:p>
      <w:pPr>
        <w:ind w:left="336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4" w:lineRule="exact"/>
        <w:rPr>
          <w:sz w:val="20"/>
          <w:szCs w:val="20"/>
          <w:color w:val="auto"/>
        </w:rPr>
      </w:pPr>
    </w:p>
    <w:p>
      <w:pPr>
        <w:ind w:right="100" w:firstLine="562"/>
        <w:spacing w:after="0" w:line="249" w:lineRule="auto"/>
        <w:rPr>
          <w:sz w:val="20"/>
          <w:szCs w:val="20"/>
          <w:color w:val="auto"/>
        </w:rPr>
      </w:pPr>
      <w:r>
        <w:rPr>
          <w:rFonts w:ascii="Arial" w:cs="Arial" w:eastAsia="Arial" w:hAnsi="Arial"/>
          <w:sz w:val="17"/>
          <w:szCs w:val="17"/>
          <w:color w:val="auto"/>
        </w:rPr>
        <w:t>In connection with the Quarterly Report on Form 10-Q of Erasca, Inc. (the “Company”) for the period ended June 30, 2025 as filed with the Securities and Exchange Commission on the date hereof (the “Report”), I certify, pursuant to 18 U.S.C. § 1350, as adopted pursuant to § 906 of the Sarbanes-Oxley Act of 2002, that, to the best of my knowledge:</w:t>
      </w:r>
    </w:p>
    <w:p>
      <w:pPr>
        <w:spacing w:after="0" w:line="175" w:lineRule="exact"/>
        <w:rPr>
          <w:sz w:val="20"/>
          <w:szCs w:val="20"/>
          <w:color w:val="auto"/>
        </w:rPr>
      </w:pPr>
    </w:p>
    <w:p>
      <w:pPr>
        <w:ind w:left="940" w:hanging="370"/>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09" w:lineRule="exact"/>
        <w:rPr>
          <w:rFonts w:ascii="Arial" w:cs="Arial" w:eastAsia="Arial" w:hAnsi="Arial"/>
          <w:sz w:val="17"/>
          <w:szCs w:val="17"/>
          <w:color w:val="auto"/>
        </w:rPr>
      </w:pPr>
    </w:p>
    <w:p>
      <w:pPr>
        <w:ind w:left="940" w:right="260" w:hanging="370"/>
        <w:spacing w:after="0" w:line="267" w:lineRule="auto"/>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6" w:lineRule="exact"/>
        <w:rPr>
          <w:sz w:val="20"/>
          <w:szCs w:val="20"/>
          <w:color w:val="auto"/>
        </w:rPr>
      </w:pPr>
    </w:p>
    <w:p>
      <w:pPr>
        <w:ind w:left="60"/>
        <w:spacing w:after="0"/>
        <w:tabs>
          <w:tab w:leader="none" w:pos="5580" w:val="left"/>
          <w:tab w:leader="none" w:pos="7620" w:val="left"/>
        </w:tabs>
        <w:rPr>
          <w:sz w:val="20"/>
          <w:szCs w:val="20"/>
          <w:color w:val="auto"/>
        </w:rPr>
      </w:pPr>
      <w:r>
        <w:rPr>
          <w:rFonts w:ascii="Arial" w:cs="Arial" w:eastAsia="Arial" w:hAnsi="Arial"/>
          <w:sz w:val="17"/>
          <w:szCs w:val="17"/>
          <w:color w:val="auto"/>
        </w:rPr>
        <w:t>Date: August 12, 2025</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David M. Chacko,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27305</wp:posOffset>
            </wp:positionV>
            <wp:extent cx="330898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68"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David M. Chacko, M.D.</w:t>
      </w:r>
    </w:p>
    <w:p>
      <w:pPr>
        <w:spacing w:after="0" w:line="223"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Chief Financial Officer and Chief Business Officer</w:t>
      </w:r>
    </w:p>
    <w:p>
      <w:pPr>
        <w:spacing w:after="0" w:line="18"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lvl w:ilvl="1">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25" Type="http://schemas.openxmlformats.org/officeDocument/2006/relationships/hyperlink" Target="https://www.sec.gov/Archives/edgar/data/1761918/000119312521219642/d81810dex31.htm" TargetMode="External"/><Relationship Id="rId226" Type="http://schemas.openxmlformats.org/officeDocument/2006/relationships/hyperlink" Target="https://www.sec.gov/Archives/edgar/data/1761918/000119312521219642/d81810dex32.htm" TargetMode="External"/><Relationship Id="rId227" Type="http://schemas.openxmlformats.org/officeDocument/2006/relationships/hyperlink" Target="https://www.sec.gov/Archives/edgar/data/1761918/000119312521200537/d176019dex41.htm" TargetMode="External"/><Relationship Id="rId228" Type="http://schemas.openxmlformats.org/officeDocument/2006/relationships/hyperlink" Target="https://www.sec.gov/Archives/edgar/data/1761918/000119312521200537/d176019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2025-08-12T15:30:04Z</dcterms:created>
  <dcterms:modified xsi:type="dcterms:W3CDTF">2025-08-12T15:30:04Z</dcterms:modified>
</cp:coreProperties>
</file>